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sz w:val="32"/>
        </w:rPr>
        <w:t>Codebook</w:t>
      </w:r>
    </w:p>
    <w:p>
      <w:pPr>
        <w:spacing w:after="240"/>
        <w:jc w:val="center"/>
      </w:pPr>
      <w:r>
        <w:rPr>
          <w:sz w:val="28"/>
        </w:rPr>
        <w:t>Brand Covenant Broken: Digital Activism, Corporate Communication,</w:t>
        <w:br/>
        <w:t>and Community Accountability in the Target DEI Boycott</w:t>
      </w:r>
    </w:p>
    <w:p>
      <w:pPr>
        <w:spacing w:after="120"/>
        <w:jc w:val="center"/>
      </w:pPr>
      <w:r>
        <w:rPr>
          <w:sz w:val="24"/>
        </w:rPr>
        <w:t>Endalkachew H. Chala, PhD</w:t>
      </w:r>
    </w:p>
    <w:p>
      <w:pPr>
        <w:spacing w:after="120"/>
        <w:jc w:val="center"/>
      </w:pPr>
      <w:r>
        <w:rPr>
          <w:sz w:val="24"/>
        </w:rPr>
        <w:t>April 2026</w:t>
      </w:r>
    </w:p>
    <w:p>
      <w:r>
        <w:br w:type="page"/>
      </w:r>
    </w:p>
    <w:p>
      <w:pPr>
        <w:spacing w:before="0" w:after="120"/>
        <w:jc w:val="center"/>
      </w:pPr>
      <w:r>
        <w:rPr>
          <w:b/>
          <w:sz w:val="28"/>
        </w:rPr>
        <w:t>Study Overview</w:t>
      </w:r>
    </w:p>
    <w:p>
      <w:pPr>
        <w:spacing w:after="120"/>
      </w:pPr>
      <w:r>
        <w:t>This codebook provides instructions for coding TikTok video content related to the Target DEI boycott (January 2025 – March 2026). The study examines how communities used digital platforms to hold a corporation accountable for withdrawing diversity, equity, and inclusion commitments, and how Target communicated during this period.</w:t>
      </w:r>
    </w:p>
    <w:p>
      <w:pPr>
        <w:spacing w:before="240" w:after="120"/>
        <w:jc w:val="left"/>
      </w:pPr>
      <w:r>
        <w:rPr>
          <w:b/>
          <w:sz w:val="24"/>
        </w:rPr>
        <w:t>Sampling Strategy</w:t>
      </w:r>
    </w:p>
    <w:p>
      <w:pPr>
        <w:spacing w:after="120"/>
      </w:pPr>
      <w:r>
        <w:t>The sample consists of TikTok videos collected using the following hashtags: #BoycottTarget, #TargetBoycott, #TargetFailsDEI, #TargetDEI, and related tags. Videos are sampled from two periods: (1) the peak boycott period (January – April 2025), and (2) the boycott resolution period (February – March 2026). The target sample size is 250–300 videos, stratified across both periods.</w:t>
      </w:r>
    </w:p>
    <w:p>
      <w:pPr>
        <w:spacing w:before="240" w:after="120"/>
        <w:jc w:val="left"/>
      </w:pPr>
      <w:r>
        <w:rPr>
          <w:b/>
          <w:sz w:val="24"/>
        </w:rPr>
        <w:t>Unit of Analysis</w:t>
      </w:r>
    </w:p>
    <w:p>
      <w:pPr>
        <w:spacing w:after="120"/>
      </w:pPr>
      <w:r>
        <w:t>Each TikTok video constitutes one unit of analysis. Coders should watch the full video (including any text overlays, captions, and audio) and read the video description/caption before coding.</w:t>
      </w:r>
    </w:p>
    <w:p>
      <w:pPr>
        <w:spacing w:before="240" w:after="120"/>
        <w:jc w:val="left"/>
      </w:pPr>
      <w:r>
        <w:rPr>
          <w:b/>
          <w:sz w:val="24"/>
        </w:rPr>
        <w:t>Coding Instructions</w:t>
      </w:r>
    </w:p>
    <w:p>
      <w:pPr>
        <w:spacing w:after="120"/>
      </w:pPr>
      <w:r>
        <w:t>Each video should be coded on all variables listed below. If a variable is not applicable or cannot be determined, code as 0 (Not Present) or 99 (Cannot Determine) as specified. When multiple codes could apply, code the PRIMARY or DOMINANT frame/theme unless the variable is marked as "code all that apply."</w:t>
      </w:r>
    </w:p>
    <w:p>
      <w:r>
        <w:br w:type="page"/>
      </w:r>
    </w:p>
    <w:p>
      <w:pPr>
        <w:spacing w:before="0" w:after="120"/>
        <w:jc w:val="center"/>
      </w:pPr>
      <w:r>
        <w:rPr>
          <w:b/>
          <w:sz w:val="28"/>
        </w:rPr>
        <w:t>Section I: Identification Variables</w:t>
      </w:r>
    </w:p>
    <w:p>
      <w:pPr>
        <w:spacing w:before="240" w:after="80"/>
      </w:pPr>
      <w:r>
        <w:rPr>
          <w:b/>
          <w:sz w:val="24"/>
        </w:rPr>
        <w:t>Variable I.1: Video ID</w:t>
      </w:r>
    </w:p>
    <w:p>
      <w:pPr>
        <w:spacing w:after="80"/>
        <w:ind w:left="360"/>
      </w:pPr>
      <w:r>
        <w:rPr>
          <w:b/>
        </w:rPr>
        <w:t xml:space="preserve">Definition: </w:t>
      </w:r>
      <w:r>
        <w:t>Unique TikTok video identifier extracted from the URL.</w:t>
      </w:r>
    </w:p>
    <w:p>
      <w:pPr>
        <w:spacing w:after="40"/>
        <w:ind w:left="360"/>
      </w:pPr>
      <w:r>
        <w:rPr>
          <w:b/>
        </w:rPr>
        <w:t>Coding Values:</w:t>
      </w:r>
    </w:p>
    <w:p>
      <w:pPr>
        <w:spacing w:before="240" w:after="80"/>
      </w:pPr>
      <w:r>
        <w:rPr>
          <w:b/>
          <w:sz w:val="24"/>
        </w:rPr>
        <w:t>Variable I.2: Date Posted</w:t>
      </w:r>
    </w:p>
    <w:p>
      <w:pPr>
        <w:spacing w:after="80"/>
        <w:ind w:left="360"/>
      </w:pPr>
      <w:r>
        <w:rPr>
          <w:b/>
        </w:rPr>
        <w:t xml:space="preserve">Definition: </w:t>
      </w:r>
      <w:r>
        <w:t>The date the video was published on TikTok (MM/DD/YYYY format).</w:t>
      </w:r>
    </w:p>
    <w:p>
      <w:pPr>
        <w:spacing w:after="40"/>
        <w:ind w:left="360"/>
      </w:pPr>
      <w:r>
        <w:rPr>
          <w:b/>
        </w:rPr>
        <w:t>Coding Values:</w:t>
      </w:r>
    </w:p>
    <w:p>
      <w:pPr>
        <w:spacing w:before="240" w:after="80"/>
      </w:pPr>
      <w:r>
        <w:rPr>
          <w:b/>
          <w:sz w:val="24"/>
        </w:rPr>
        <w:t>Variable I.3: Creator Handle</w:t>
      </w:r>
    </w:p>
    <w:p>
      <w:pPr>
        <w:spacing w:after="80"/>
        <w:ind w:left="360"/>
      </w:pPr>
      <w:r>
        <w:rPr>
          <w:b/>
        </w:rPr>
        <w:t xml:space="preserve">Definition: </w:t>
      </w:r>
      <w:r>
        <w:t>The TikTok username of the video creator (e.g., @username).</w:t>
      </w:r>
    </w:p>
    <w:p>
      <w:pPr>
        <w:spacing w:after="40"/>
        <w:ind w:left="360"/>
      </w:pPr>
      <w:r>
        <w:rPr>
          <w:b/>
        </w:rPr>
        <w:t>Coding Values:</w:t>
      </w:r>
    </w:p>
    <w:p>
      <w:pPr>
        <w:spacing w:before="240" w:after="80"/>
      </w:pPr>
      <w:r>
        <w:rPr>
          <w:b/>
          <w:sz w:val="24"/>
        </w:rPr>
        <w:t>Variable I.4: View Count</w:t>
      </w:r>
    </w:p>
    <w:p>
      <w:pPr>
        <w:spacing w:after="80"/>
        <w:ind w:left="360"/>
      </w:pPr>
      <w:r>
        <w:rPr>
          <w:b/>
        </w:rPr>
        <w:t xml:space="preserve">Definition: </w:t>
      </w:r>
      <w:r>
        <w:t>Total number of views at the time of data collection.</w:t>
      </w:r>
    </w:p>
    <w:p>
      <w:pPr>
        <w:spacing w:after="40"/>
        <w:ind w:left="360"/>
      </w:pPr>
      <w:r>
        <w:rPr>
          <w:b/>
        </w:rPr>
        <w:t>Coding Values:</w:t>
      </w:r>
    </w:p>
    <w:p>
      <w:pPr>
        <w:spacing w:before="240" w:after="80"/>
      </w:pPr>
      <w:r>
        <w:rPr>
          <w:b/>
          <w:sz w:val="24"/>
        </w:rPr>
        <w:t>Variable I.5: Like Count</w:t>
      </w:r>
    </w:p>
    <w:p>
      <w:pPr>
        <w:spacing w:after="80"/>
        <w:ind w:left="360"/>
      </w:pPr>
      <w:r>
        <w:rPr>
          <w:b/>
        </w:rPr>
        <w:t xml:space="preserve">Definition: </w:t>
      </w:r>
      <w:r>
        <w:t>Total number of likes at the time of data collection.</w:t>
      </w:r>
    </w:p>
    <w:p>
      <w:pPr>
        <w:spacing w:after="40"/>
        <w:ind w:left="360"/>
      </w:pPr>
      <w:r>
        <w:rPr>
          <w:b/>
        </w:rPr>
        <w:t>Coding Values:</w:t>
      </w:r>
    </w:p>
    <w:p>
      <w:pPr>
        <w:spacing w:before="240" w:after="80"/>
      </w:pPr>
      <w:r>
        <w:rPr>
          <w:b/>
          <w:sz w:val="24"/>
        </w:rPr>
        <w:t>Variable I.6: Comment Count</w:t>
      </w:r>
    </w:p>
    <w:p>
      <w:pPr>
        <w:spacing w:after="80"/>
        <w:ind w:left="360"/>
      </w:pPr>
      <w:r>
        <w:rPr>
          <w:b/>
        </w:rPr>
        <w:t xml:space="preserve">Definition: </w:t>
      </w:r>
      <w:r>
        <w:t>Total number of comments at the time of data collection.</w:t>
      </w:r>
    </w:p>
    <w:p>
      <w:pPr>
        <w:spacing w:after="40"/>
        <w:ind w:left="360"/>
      </w:pPr>
      <w:r>
        <w:rPr>
          <w:b/>
        </w:rPr>
        <w:t>Coding Values:</w:t>
      </w:r>
    </w:p>
    <w:p>
      <w:pPr>
        <w:spacing w:before="240" w:after="80"/>
      </w:pPr>
      <w:r>
        <w:rPr>
          <w:b/>
          <w:sz w:val="24"/>
        </w:rPr>
        <w:t>Variable I.7: Share Count</w:t>
      </w:r>
    </w:p>
    <w:p>
      <w:pPr>
        <w:spacing w:after="80"/>
        <w:ind w:left="360"/>
      </w:pPr>
      <w:r>
        <w:rPr>
          <w:b/>
        </w:rPr>
        <w:t xml:space="preserve">Definition: </w:t>
      </w:r>
      <w:r>
        <w:t>Total number of shares at the time of data collection.</w:t>
      </w:r>
    </w:p>
    <w:p>
      <w:pPr>
        <w:spacing w:after="40"/>
        <w:ind w:left="360"/>
      </w:pPr>
      <w:r>
        <w:rPr>
          <w:b/>
        </w:rPr>
        <w:t>Coding Values:</w:t>
      </w:r>
    </w:p>
    <w:p>
      <w:pPr>
        <w:spacing w:before="240" w:after="80"/>
      </w:pPr>
      <w:r>
        <w:rPr>
          <w:b/>
          <w:sz w:val="24"/>
        </w:rPr>
        <w:t>Variable I.8: Video Duration (seconds)</w:t>
      </w:r>
    </w:p>
    <w:p>
      <w:pPr>
        <w:spacing w:after="80"/>
        <w:ind w:left="360"/>
      </w:pPr>
      <w:r>
        <w:rPr>
          <w:b/>
        </w:rPr>
        <w:t xml:space="preserve">Definition: </w:t>
      </w:r>
      <w:r>
        <w:t>Length of the video in seconds.</w:t>
      </w:r>
    </w:p>
    <w:p>
      <w:pPr>
        <w:spacing w:after="40"/>
        <w:ind w:left="360"/>
      </w:pPr>
      <w:r>
        <w:rPr>
          <w:b/>
        </w:rPr>
        <w:t>Coding Values:</w:t>
      </w:r>
    </w:p>
    <w:p>
      <w:pPr>
        <w:spacing w:before="240" w:after="80"/>
      </w:pPr>
      <w:r>
        <w:rPr>
          <w:b/>
          <w:sz w:val="24"/>
        </w:rPr>
        <w:t>Variable I.9: Hashtags Used</w:t>
      </w:r>
    </w:p>
    <w:p>
      <w:pPr>
        <w:spacing w:after="80"/>
        <w:ind w:left="360"/>
      </w:pPr>
      <w:r>
        <w:rPr>
          <w:b/>
        </w:rPr>
        <w:t xml:space="preserve">Definition: </w:t>
      </w:r>
      <w:r>
        <w:t>List all hashtags included in the video caption/description. Record verbatim, separated by commas.</w:t>
      </w:r>
    </w:p>
    <w:p>
      <w:pPr>
        <w:spacing w:after="40"/>
        <w:ind w:left="360"/>
      </w:pPr>
      <w:r>
        <w:rPr>
          <w:b/>
        </w:rPr>
        <w:t>Coding Values:</w:t>
      </w:r>
    </w:p>
    <w:p>
      <w:pPr>
        <w:spacing w:before="240" w:after="80"/>
      </w:pPr>
      <w:r>
        <w:rPr>
          <w:b/>
          <w:sz w:val="24"/>
        </w:rPr>
        <w:t>Variable I.10: Collection Period</w:t>
      </w:r>
    </w:p>
    <w:p>
      <w:pPr>
        <w:spacing w:after="80"/>
        <w:ind w:left="360"/>
      </w:pPr>
      <w:r>
        <w:rPr>
          <w:b/>
        </w:rPr>
        <w:t xml:space="preserve">Definition: </w:t>
      </w:r>
      <w:r>
        <w:t>The sampling period from which this video was collected.</w:t>
      </w:r>
    </w:p>
    <w:p>
      <w:pPr>
        <w:spacing w:after="40"/>
        <w:ind w:left="360"/>
      </w:pPr>
      <w:r>
        <w:rPr>
          <w:b/>
        </w:rPr>
        <w:t>Coding Values:</w:t>
      </w:r>
    </w:p>
    <w:p>
      <w:pPr>
        <w:spacing w:after="40"/>
        <w:ind w:left="720"/>
      </w:pPr>
      <w:r>
        <w:rPr>
          <w:b/>
        </w:rPr>
        <w:t>1 = Peak Boycott</w:t>
      </w:r>
      <w:r>
        <w:t xml:space="preserve"> — January – April 2025</w:t>
      </w:r>
    </w:p>
    <w:p>
      <w:pPr>
        <w:spacing w:after="40"/>
        <w:ind w:left="720"/>
      </w:pPr>
      <w:r>
        <w:rPr>
          <w:b/>
        </w:rPr>
        <w:t>2 = Resolution</w:t>
      </w:r>
      <w:r>
        <w:t xml:space="preserve"> — February – March 2026</w:t>
      </w:r>
    </w:p>
    <w:p>
      <w:r>
        <w:br w:type="page"/>
      </w:r>
    </w:p>
    <w:p>
      <w:pPr>
        <w:spacing w:before="0" w:after="120"/>
        <w:jc w:val="center"/>
      </w:pPr>
      <w:r>
        <w:rPr>
          <w:b/>
          <w:sz w:val="28"/>
        </w:rPr>
        <w:t>Section II: Creator Characteristics</w:t>
      </w:r>
    </w:p>
    <w:p>
      <w:pPr>
        <w:spacing w:before="240" w:after="80"/>
      </w:pPr>
      <w:r>
        <w:rPr>
          <w:b/>
          <w:sz w:val="24"/>
        </w:rPr>
        <w:t>Variable II.1: Creator Type</w:t>
      </w:r>
    </w:p>
    <w:p>
      <w:pPr>
        <w:spacing w:after="80"/>
        <w:ind w:left="360"/>
      </w:pPr>
      <w:r>
        <w:rPr>
          <w:b/>
        </w:rPr>
        <w:t xml:space="preserve">Definition: </w:t>
      </w:r>
      <w:r>
        <w:t>The apparent identity/role of the video creator based on profile and content.</w:t>
      </w:r>
    </w:p>
    <w:p>
      <w:pPr>
        <w:spacing w:after="40"/>
        <w:ind w:left="360"/>
      </w:pPr>
      <w:r>
        <w:rPr>
          <w:b/>
        </w:rPr>
        <w:t>Coding Values:</w:t>
      </w:r>
    </w:p>
    <w:p>
      <w:pPr>
        <w:spacing w:after="40"/>
        <w:ind w:left="720"/>
      </w:pPr>
      <w:r>
        <w:rPr>
          <w:b/>
        </w:rPr>
        <w:t>1 = Individual Consumer/Community Member</w:t>
      </w:r>
      <w:r>
        <w:t xml:space="preserve"> — Ordinary person sharing their perspective</w:t>
      </w:r>
    </w:p>
    <w:p>
      <w:pPr>
        <w:spacing w:after="40"/>
        <w:ind w:left="720"/>
      </w:pPr>
      <w:r>
        <w:rPr>
          <w:b/>
        </w:rPr>
        <w:t>2 = Content Creator/Influencer</w:t>
      </w:r>
      <w:r>
        <w:t xml:space="preserve"> — Person with established following creating commentary content</w:t>
      </w:r>
    </w:p>
    <w:p>
      <w:pPr>
        <w:spacing w:after="40"/>
        <w:ind w:left="720"/>
      </w:pPr>
      <w:r>
        <w:rPr>
          <w:b/>
        </w:rPr>
        <w:t>3 = Activist/Organizer</w:t>
      </w:r>
      <w:r>
        <w:t xml:space="preserve"> — Person explicitly affiliated with advocacy or organizing efforts</w:t>
      </w:r>
    </w:p>
    <w:p>
      <w:pPr>
        <w:spacing w:after="40"/>
        <w:ind w:left="720"/>
      </w:pPr>
      <w:r>
        <w:rPr>
          <w:b/>
        </w:rPr>
        <w:t>4 = Faith Leader/Clergy</w:t>
      </w:r>
      <w:r>
        <w:t xml:space="preserve"> — Religious leader (pastor, minister, etc.)</w:t>
      </w:r>
    </w:p>
    <w:p>
      <w:pPr>
        <w:spacing w:after="40"/>
        <w:ind w:left="720"/>
      </w:pPr>
      <w:r>
        <w:rPr>
          <w:b/>
        </w:rPr>
        <w:t>5 = Business Owner</w:t>
      </w:r>
      <w:r>
        <w:t xml:space="preserve"> — Person identifying as a Black-owned or minority business owner</w:t>
      </w:r>
    </w:p>
    <w:p>
      <w:pPr>
        <w:spacing w:after="40"/>
        <w:ind w:left="720"/>
      </w:pPr>
      <w:r>
        <w:rPr>
          <w:b/>
        </w:rPr>
        <w:t>6 = Journalist/Media</w:t>
      </w:r>
      <w:r>
        <w:t xml:space="preserve"> — News outlet or journalist reporting on the boycott</w:t>
      </w:r>
    </w:p>
    <w:p>
      <w:pPr>
        <w:spacing w:after="40"/>
        <w:ind w:left="720"/>
      </w:pPr>
      <w:r>
        <w:rPr>
          <w:b/>
        </w:rPr>
        <w:t>7 = Academic/Expert</w:t>
      </w:r>
      <w:r>
        <w:t xml:space="preserve"> — Scholar, researcher, or subject-matter expert</w:t>
      </w:r>
    </w:p>
    <w:p>
      <w:pPr>
        <w:spacing w:after="40"/>
        <w:ind w:left="720"/>
      </w:pPr>
      <w:r>
        <w:rPr>
          <w:b/>
        </w:rPr>
        <w:t>99 = Cannot Determine</w:t>
      </w:r>
    </w:p>
    <w:p>
      <w:pPr>
        <w:spacing w:before="240" w:after="80"/>
      </w:pPr>
      <w:r>
        <w:rPr>
          <w:b/>
          <w:sz w:val="24"/>
        </w:rPr>
        <w:t>Variable II.2: Creator Apparent Race/Ethnicity</w:t>
      </w:r>
    </w:p>
    <w:p>
      <w:pPr>
        <w:spacing w:after="80"/>
        <w:ind w:left="360"/>
      </w:pPr>
      <w:r>
        <w:rPr>
          <w:b/>
        </w:rPr>
        <w:t xml:space="preserve">Definition: </w:t>
      </w:r>
      <w:r>
        <w:t>The apparent racial/ethnic background of the primary creator visible in the video. Code based on visual presentation and self-identification if stated. Note: This variable is included for analyzing racial dimensions of the boycott discourse. Use with caution and note limitations in the methods section.</w:t>
      </w:r>
    </w:p>
    <w:p>
      <w:pPr>
        <w:spacing w:after="40"/>
        <w:ind w:left="360"/>
      </w:pPr>
      <w:r>
        <w:rPr>
          <w:b/>
        </w:rPr>
        <w:t>Coding Values:</w:t>
      </w:r>
    </w:p>
    <w:p>
      <w:pPr>
        <w:spacing w:after="40"/>
        <w:ind w:left="720"/>
      </w:pPr>
      <w:r>
        <w:rPr>
          <w:b/>
        </w:rPr>
        <w:t>1 = Black/African American</w:t>
      </w:r>
    </w:p>
    <w:p>
      <w:pPr>
        <w:spacing w:after="40"/>
        <w:ind w:left="720"/>
      </w:pPr>
      <w:r>
        <w:rPr>
          <w:b/>
        </w:rPr>
        <w:t>2 = White</w:t>
      </w:r>
    </w:p>
    <w:p>
      <w:pPr>
        <w:spacing w:after="40"/>
        <w:ind w:left="720"/>
      </w:pPr>
      <w:r>
        <w:rPr>
          <w:b/>
        </w:rPr>
        <w:t>3 = Latino/Hispanic</w:t>
      </w:r>
    </w:p>
    <w:p>
      <w:pPr>
        <w:spacing w:after="40"/>
        <w:ind w:left="720"/>
      </w:pPr>
      <w:r>
        <w:rPr>
          <w:b/>
        </w:rPr>
        <w:t>4 = Asian/Asian American</w:t>
      </w:r>
    </w:p>
    <w:p>
      <w:pPr>
        <w:spacing w:after="40"/>
        <w:ind w:left="720"/>
      </w:pPr>
      <w:r>
        <w:rPr>
          <w:b/>
        </w:rPr>
        <w:t>5 = Multiracial/Other</w:t>
      </w:r>
    </w:p>
    <w:p>
      <w:pPr>
        <w:spacing w:after="40"/>
        <w:ind w:left="720"/>
      </w:pPr>
      <w:r>
        <w:rPr>
          <w:b/>
        </w:rPr>
        <w:t>6 = Not Visible</w:t>
      </w:r>
      <w:r>
        <w:t xml:space="preserve"> — Creator does not appear on screen</w:t>
      </w:r>
    </w:p>
    <w:p>
      <w:pPr>
        <w:spacing w:after="40"/>
        <w:ind w:left="720"/>
      </w:pPr>
      <w:r>
        <w:rPr>
          <w:b/>
        </w:rPr>
        <w:t>99 = Cannot Determine</w:t>
      </w:r>
    </w:p>
    <w:p>
      <w:pPr>
        <w:spacing w:before="240" w:after="80"/>
      </w:pPr>
      <w:r>
        <w:rPr>
          <w:b/>
          <w:sz w:val="24"/>
        </w:rPr>
        <w:t>Variable II.3: Geographic Reference</w:t>
      </w:r>
    </w:p>
    <w:p>
      <w:pPr>
        <w:spacing w:after="80"/>
        <w:ind w:left="360"/>
      </w:pPr>
      <w:r>
        <w:rPr>
          <w:b/>
        </w:rPr>
        <w:t xml:space="preserve">Definition: </w:t>
      </w:r>
      <w:r>
        <w:t>Does the video reference a specific geographic location? Code the most prominent reference.</w:t>
      </w:r>
    </w:p>
    <w:p>
      <w:pPr>
        <w:spacing w:after="40"/>
        <w:ind w:left="360"/>
      </w:pPr>
      <w:r>
        <w:rPr>
          <w:b/>
        </w:rPr>
        <w:t>Coding Values:</w:t>
      </w:r>
    </w:p>
    <w:p>
      <w:pPr>
        <w:spacing w:after="40"/>
        <w:ind w:left="720"/>
      </w:pPr>
      <w:r>
        <w:rPr>
          <w:b/>
        </w:rPr>
        <w:t>0 = No Geographic Reference</w:t>
      </w:r>
    </w:p>
    <w:p>
      <w:pPr>
        <w:spacing w:after="40"/>
        <w:ind w:left="720"/>
      </w:pPr>
      <w:r>
        <w:rPr>
          <w:b/>
        </w:rPr>
        <w:t>1 = Minnesota/Twin Cities/Minneapolis</w:t>
      </w:r>
      <w:r>
        <w:t xml:space="preserve"> — References MN, MSP, or Target’s HQ location</w:t>
      </w:r>
    </w:p>
    <w:p>
      <w:pPr>
        <w:spacing w:after="40"/>
        <w:ind w:left="720"/>
      </w:pPr>
      <w:r>
        <w:rPr>
          <w:b/>
        </w:rPr>
        <w:t>2 = Other Specific U.S. Location</w:t>
      </w:r>
      <w:r>
        <w:t xml:space="preserve"> — References another city or state</w:t>
      </w:r>
    </w:p>
    <w:p>
      <w:pPr>
        <w:spacing w:after="40"/>
        <w:ind w:left="720"/>
      </w:pPr>
      <w:r>
        <w:rPr>
          <w:b/>
        </w:rPr>
        <w:t>3 = National/General U.S.</w:t>
      </w:r>
      <w:r>
        <w:t xml:space="preserve"> — Frames the issue as national without specific location</w:t>
      </w:r>
    </w:p>
    <w:p>
      <w:pPr>
        <w:spacing w:after="40"/>
        <w:ind w:left="720"/>
      </w:pPr>
      <w:r>
        <w:rPr>
          <w:b/>
        </w:rPr>
        <w:t>99 = Cannot Determine</w:t>
      </w:r>
    </w:p>
    <w:p>
      <w:r>
        <w:br w:type="page"/>
      </w:r>
    </w:p>
    <w:p>
      <w:pPr>
        <w:spacing w:before="0" w:after="120"/>
        <w:jc w:val="center"/>
      </w:pPr>
      <w:r>
        <w:rPr>
          <w:b/>
          <w:sz w:val="28"/>
        </w:rPr>
        <w:t>Section III: Primary Framing Variables</w:t>
      </w:r>
    </w:p>
    <w:p>
      <w:pPr>
        <w:spacing w:before="240" w:after="80"/>
      </w:pPr>
      <w:r>
        <w:rPr>
          <w:b/>
          <w:sz w:val="24"/>
        </w:rPr>
        <w:t>Variable III.1: Primary Frame</w:t>
      </w:r>
    </w:p>
    <w:p>
      <w:pPr>
        <w:spacing w:after="80"/>
        <w:ind w:left="360"/>
      </w:pPr>
      <w:r>
        <w:rPr>
          <w:b/>
        </w:rPr>
        <w:t xml:space="preserve">Definition: </w:t>
      </w:r>
      <w:r>
        <w:t>The dominant framing or argument in the video. Select the single most prominent frame.</w:t>
      </w:r>
    </w:p>
    <w:p>
      <w:pPr>
        <w:spacing w:after="40"/>
        <w:ind w:left="360"/>
      </w:pPr>
      <w:r>
        <w:rPr>
          <w:b/>
        </w:rPr>
        <w:t>Coding Values:</w:t>
      </w:r>
    </w:p>
    <w:p>
      <w:pPr>
        <w:spacing w:after="40"/>
        <w:ind w:left="720"/>
      </w:pPr>
      <w:r>
        <w:rPr>
          <w:b/>
        </w:rPr>
        <w:t>1 = Moral/Ethical Betrayal</w:t>
      </w:r>
      <w:r>
        <w:t xml:space="preserve"> — Frames Target’s DEI rollback as a moral failure, betrayal of trust, or broken promise to communities</w:t>
      </w:r>
    </w:p>
    <w:p>
      <w:pPr>
        <w:spacing w:after="40"/>
        <w:ind w:left="720"/>
      </w:pPr>
      <w:r>
        <w:rPr>
          <w:b/>
        </w:rPr>
        <w:t>2 = Economic Power/Consumer Agency</w:t>
      </w:r>
      <w:r>
        <w:t xml:space="preserve"> — Frames the boycott as an exercise of economic power; emphasizes spending choices and financial impact on Target</w:t>
      </w:r>
    </w:p>
    <w:p>
      <w:pPr>
        <w:spacing w:after="40"/>
        <w:ind w:left="720"/>
      </w:pPr>
      <w:r>
        <w:rPr>
          <w:b/>
        </w:rPr>
        <w:t>3 = Historical Continuity</w:t>
      </w:r>
      <w:r>
        <w:t xml:space="preserve"> — Connects the boycott to historical protest traditions (civil rights movement, "Don’t Buy Where You Can’t Work," etc.)</w:t>
      </w:r>
    </w:p>
    <w:p>
      <w:pPr>
        <w:spacing w:after="40"/>
        <w:ind w:left="720"/>
      </w:pPr>
      <w:r>
        <w:rPr>
          <w:b/>
        </w:rPr>
        <w:t>4 = Corporate Hypocrisy</w:t>
      </w:r>
      <w:r>
        <w:t xml:space="preserve"> — Emphasizes the gap between Target’s previous DEI branding and current actions; questions authenticity</w:t>
      </w:r>
    </w:p>
    <w:p>
      <w:pPr>
        <w:spacing w:after="40"/>
        <w:ind w:left="720"/>
      </w:pPr>
      <w:r>
        <w:rPr>
          <w:b/>
        </w:rPr>
        <w:t>5 = Community Solidarity</w:t>
      </w:r>
      <w:r>
        <w:t xml:space="preserve"> — Emphasizes collective identity, unity, and shared purpose among boycott participants</w:t>
      </w:r>
    </w:p>
    <w:p>
      <w:pPr>
        <w:spacing w:after="40"/>
        <w:ind w:left="720"/>
      </w:pPr>
      <w:r>
        <w:rPr>
          <w:b/>
        </w:rPr>
        <w:t>6 = Alternative Support</w:t>
      </w:r>
      <w:r>
        <w:t xml:space="preserve"> — Primarily focuses on redirecting spending to Black-owned businesses, local alternatives, or community institutions</w:t>
      </w:r>
    </w:p>
    <w:p>
      <w:pPr>
        <w:spacing w:after="40"/>
        <w:ind w:left="720"/>
      </w:pPr>
      <w:r>
        <w:rPr>
          <w:b/>
        </w:rPr>
        <w:t>7 = Information/News</w:t>
      </w:r>
      <w:r>
        <w:t xml:space="preserve"> — Primarily reports facts about the boycott, Target’s actions, or related events without strong framing</w:t>
      </w:r>
    </w:p>
    <w:p>
      <w:pPr>
        <w:spacing w:after="40"/>
        <w:ind w:left="720"/>
      </w:pPr>
      <w:r>
        <w:rPr>
          <w:b/>
        </w:rPr>
        <w:t>8 = Counter-Boycott/Pro-Target</w:t>
      </w:r>
      <w:r>
        <w:t xml:space="preserve"> — Defends Target’s decision, argues against the boycott, or criticizes boycott participants</w:t>
      </w:r>
    </w:p>
    <w:p>
      <w:pPr>
        <w:spacing w:after="40"/>
        <w:ind w:left="720"/>
      </w:pPr>
      <w:r>
        <w:rPr>
          <w:b/>
        </w:rPr>
        <w:t>99 = Cannot Determine</w:t>
      </w:r>
    </w:p>
    <w:p>
      <w:pPr>
        <w:spacing w:before="240" w:after="80"/>
      </w:pPr>
      <w:r>
        <w:rPr>
          <w:b/>
          <w:sz w:val="24"/>
        </w:rPr>
        <w:t>Variable III.2: Secondary Frame</w:t>
      </w:r>
    </w:p>
    <w:p>
      <w:pPr>
        <w:spacing w:after="80"/>
        <w:ind w:left="360"/>
      </w:pPr>
      <w:r>
        <w:rPr>
          <w:b/>
        </w:rPr>
        <w:t xml:space="preserve">Definition: </w:t>
      </w:r>
      <w:r>
        <w:t>The second most prominent frame in the video, if present. Use the same coding values as Variable III.1. Code 0 if only one frame is present.</w:t>
      </w:r>
    </w:p>
    <w:p>
      <w:pPr>
        <w:spacing w:after="40"/>
        <w:ind w:left="360"/>
      </w:pPr>
      <w:r>
        <w:rPr>
          <w:b/>
        </w:rPr>
        <w:t>Coding Values:</w:t>
      </w:r>
    </w:p>
    <w:p>
      <w:pPr>
        <w:spacing w:after="40"/>
        <w:ind w:left="720"/>
      </w:pPr>
      <w:r>
        <w:rPr>
          <w:b/>
        </w:rPr>
        <w:t>0 = No Secondary Frame</w:t>
      </w:r>
    </w:p>
    <w:p>
      <w:pPr>
        <w:spacing w:before="240" w:after="80"/>
      </w:pPr>
      <w:r>
        <w:rPr>
          <w:b/>
          <w:sz w:val="24"/>
        </w:rPr>
        <w:t>Variable III.3: Moral Language Intensity</w:t>
      </w:r>
    </w:p>
    <w:p>
      <w:pPr>
        <w:spacing w:after="80"/>
        <w:ind w:left="360"/>
      </w:pPr>
      <w:r>
        <w:rPr>
          <w:b/>
        </w:rPr>
        <w:t xml:space="preserve">Definition: </w:t>
      </w:r>
      <w:r>
        <w:t>The degree to which the video uses moral or ethical language to characterize Target’s actions.</w:t>
      </w:r>
    </w:p>
    <w:p>
      <w:pPr>
        <w:spacing w:after="40"/>
        <w:ind w:left="360"/>
      </w:pPr>
      <w:r>
        <w:rPr>
          <w:b/>
        </w:rPr>
        <w:t>Coding Values:</w:t>
      </w:r>
    </w:p>
    <w:p>
      <w:pPr>
        <w:spacing w:after="40"/>
        <w:ind w:left="720"/>
      </w:pPr>
      <w:r>
        <w:rPr>
          <w:b/>
        </w:rPr>
        <w:t>0 = None</w:t>
      </w:r>
      <w:r>
        <w:t xml:space="preserve"> — No moral language used</w:t>
      </w:r>
    </w:p>
    <w:p>
      <w:pPr>
        <w:spacing w:after="40"/>
        <w:ind w:left="720"/>
      </w:pPr>
      <w:r>
        <w:rPr>
          <w:b/>
        </w:rPr>
        <w:t>1 = Low</w:t>
      </w:r>
      <w:r>
        <w:t xml:space="preserve"> — Mild disapproval or disappointment expressed</w:t>
      </w:r>
    </w:p>
    <w:p>
      <w:pPr>
        <w:spacing w:after="40"/>
        <w:ind w:left="720"/>
      </w:pPr>
      <w:r>
        <w:rPr>
          <w:b/>
        </w:rPr>
        <w:t>2 = Moderate</w:t>
      </w:r>
      <w:r>
        <w:t xml:space="preserve"> — Clear moral framing using words like "wrong," "unjust," "disrespectful"</w:t>
      </w:r>
    </w:p>
    <w:p>
      <w:pPr>
        <w:spacing w:after="40"/>
        <w:ind w:left="720"/>
      </w:pPr>
      <w:r>
        <w:rPr>
          <w:b/>
        </w:rPr>
        <w:t>3 = High</w:t>
      </w:r>
      <w:r>
        <w:t xml:space="preserve"> — Strong moral condemnation using words like "betrayal," "racist," "shameful," "unconscionable"</w:t>
      </w:r>
    </w:p>
    <w:p>
      <w:pPr>
        <w:spacing w:before="240" w:after="80"/>
      </w:pPr>
      <w:r>
        <w:rPr>
          <w:b/>
          <w:sz w:val="24"/>
        </w:rPr>
        <w:t>Variable III.4: Historical Reference</w:t>
      </w:r>
    </w:p>
    <w:p>
      <w:pPr>
        <w:spacing w:after="80"/>
        <w:ind w:left="360"/>
      </w:pPr>
      <w:r>
        <w:rPr>
          <w:b/>
        </w:rPr>
        <w:t xml:space="preserve">Definition: </w:t>
      </w:r>
      <w:r>
        <w:t>Does the video explicitly reference historical events, figures, or protest traditions? Code all that apply (record multiple codes separated by commas).</w:t>
      </w:r>
    </w:p>
    <w:p>
      <w:pPr>
        <w:spacing w:after="40"/>
        <w:ind w:left="360"/>
      </w:pPr>
      <w:r>
        <w:rPr>
          <w:b/>
        </w:rPr>
        <w:t>Coding Values:</w:t>
      </w:r>
    </w:p>
    <w:p>
      <w:pPr>
        <w:spacing w:after="40"/>
        <w:ind w:left="720"/>
      </w:pPr>
      <w:r>
        <w:rPr>
          <w:b/>
        </w:rPr>
        <w:t>0 = No Historical Reference</w:t>
      </w:r>
    </w:p>
    <w:p>
      <w:pPr>
        <w:spacing w:after="40"/>
        <w:ind w:left="720"/>
      </w:pPr>
      <w:r>
        <w:rPr>
          <w:b/>
        </w:rPr>
        <w:t>1 = Civil Rights Movement (general)</w:t>
      </w:r>
      <w:r>
        <w:t xml:space="preserve"> — MLK, marches, sit-ins, etc.</w:t>
      </w:r>
    </w:p>
    <w:p>
      <w:pPr>
        <w:spacing w:after="40"/>
        <w:ind w:left="720"/>
      </w:pPr>
      <w:r>
        <w:rPr>
          <w:b/>
        </w:rPr>
        <w:t>2 = "Don’t Buy/Spend Where..." Tradition</w:t>
      </w:r>
      <w:r>
        <w:t xml:space="preserve"> — Direct invocation of economic protest slogans</w:t>
      </w:r>
    </w:p>
    <w:p>
      <w:pPr>
        <w:spacing w:after="40"/>
        <w:ind w:left="720"/>
      </w:pPr>
      <w:r>
        <w:rPr>
          <w:b/>
        </w:rPr>
        <w:t>3 = George Floyd/2020 Racial Reckoning</w:t>
      </w:r>
      <w:r>
        <w:t xml:space="preserve"> — References 2020 events, Minneapolis, corporate DEI pledges made after Floyd’s murder</w:t>
      </w:r>
    </w:p>
    <w:p>
      <w:pPr>
        <w:spacing w:after="40"/>
        <w:ind w:left="720"/>
      </w:pPr>
      <w:r>
        <w:rPr>
          <w:b/>
        </w:rPr>
        <w:t>4 = Montgomery Bus Boycott</w:t>
      </w:r>
      <w:r>
        <w:t xml:space="preserve"> — Specific reference to this historical event</w:t>
      </w:r>
    </w:p>
    <w:p>
      <w:pPr>
        <w:spacing w:after="40"/>
        <w:ind w:left="720"/>
      </w:pPr>
      <w:r>
        <w:rPr>
          <w:b/>
        </w:rPr>
        <w:t>5 = Other Historical Event/Figure</w:t>
      </w:r>
      <w:r>
        <w:t xml:space="preserve"> — Specify in notes column</w:t>
      </w:r>
    </w:p>
    <w:p>
      <w:pPr>
        <w:spacing w:before="240" w:after="80"/>
      </w:pPr>
      <w:r>
        <w:rPr>
          <w:b/>
          <w:sz w:val="24"/>
        </w:rPr>
        <w:t>Variable III.5: Brand Covenant Framing</w:t>
      </w:r>
    </w:p>
    <w:p>
      <w:pPr>
        <w:spacing w:after="80"/>
        <w:ind w:left="360"/>
      </w:pPr>
      <w:r>
        <w:rPr>
          <w:b/>
        </w:rPr>
        <w:t xml:space="preserve">Definition: </w:t>
      </w:r>
      <w:r>
        <w:t>Does the video frame Target’s DEI commitments as more than marketing — as a promise, obligation, or social contract with the community?</w:t>
      </w:r>
    </w:p>
    <w:p>
      <w:pPr>
        <w:spacing w:after="40"/>
        <w:ind w:left="360"/>
      </w:pPr>
      <w:r>
        <w:rPr>
          <w:b/>
        </w:rPr>
        <w:t>Coding Values:</w:t>
      </w:r>
    </w:p>
    <w:p>
      <w:pPr>
        <w:spacing w:after="40"/>
        <w:ind w:left="720"/>
      </w:pPr>
      <w:r>
        <w:rPr>
          <w:b/>
        </w:rPr>
        <w:t>0 = Not Present</w:t>
      </w:r>
      <w:r>
        <w:t xml:space="preserve"> — No framing of commitments as obligations</w:t>
      </w:r>
    </w:p>
    <w:p>
      <w:pPr>
        <w:spacing w:after="40"/>
        <w:ind w:left="720"/>
      </w:pPr>
      <w:r>
        <w:rPr>
          <w:b/>
        </w:rPr>
        <w:t>1 = Implicit</w:t>
      </w:r>
      <w:r>
        <w:t xml:space="preserve"> — Implies Target had an obligation without explicitly stating it (e.g., "they said they would..." "we trusted them")</w:t>
      </w:r>
    </w:p>
    <w:p>
      <w:pPr>
        <w:spacing w:after="40"/>
        <w:ind w:left="720"/>
      </w:pPr>
      <w:r>
        <w:rPr>
          <w:b/>
        </w:rPr>
        <w:t>2 = Explicit</w:t>
      </w:r>
      <w:r>
        <w:t xml:space="preserve"> — Directly frames Target’s DEI commitments as a promise, contract, or moral obligation that was broken</w:t>
      </w:r>
    </w:p>
    <w:p>
      <w:r>
        <w:br w:type="page"/>
      </w:r>
    </w:p>
    <w:p>
      <w:pPr>
        <w:spacing w:before="0" w:after="120"/>
        <w:jc w:val="center"/>
      </w:pPr>
      <w:r>
        <w:rPr>
          <w:b/>
          <w:sz w:val="28"/>
        </w:rPr>
        <w:t>Section IV: Action and Mobilization Variables</w:t>
      </w:r>
    </w:p>
    <w:p>
      <w:pPr>
        <w:spacing w:before="240" w:after="80"/>
      </w:pPr>
      <w:r>
        <w:rPr>
          <w:b/>
          <w:sz w:val="24"/>
        </w:rPr>
        <w:t>Variable IV.1: Call to Action</w:t>
      </w:r>
    </w:p>
    <w:p>
      <w:pPr>
        <w:spacing w:after="80"/>
        <w:ind w:left="360"/>
      </w:pPr>
      <w:r>
        <w:rPr>
          <w:b/>
        </w:rPr>
        <w:t xml:space="preserve">Definition: </w:t>
      </w:r>
      <w:r>
        <w:t>What specific actions does the video encourage viewers to take? Code all that apply (record multiple codes separated by commas).</w:t>
      </w:r>
    </w:p>
    <w:p>
      <w:pPr>
        <w:spacing w:after="40"/>
        <w:ind w:left="360"/>
      </w:pPr>
      <w:r>
        <w:rPr>
          <w:b/>
        </w:rPr>
        <w:t>Coding Values:</w:t>
      </w:r>
    </w:p>
    <w:p>
      <w:pPr>
        <w:spacing w:after="40"/>
        <w:ind w:left="720"/>
      </w:pPr>
      <w:r>
        <w:rPr>
          <w:b/>
        </w:rPr>
        <w:t>0 = No Call to Action</w:t>
      </w:r>
    </w:p>
    <w:p>
      <w:pPr>
        <w:spacing w:after="40"/>
        <w:ind w:left="720"/>
      </w:pPr>
      <w:r>
        <w:rPr>
          <w:b/>
        </w:rPr>
        <w:t>1 = Stop Shopping at Target</w:t>
      </w:r>
      <w:r>
        <w:t xml:space="preserve"> — General boycott call</w:t>
      </w:r>
    </w:p>
    <w:p>
      <w:pPr>
        <w:spacing w:after="40"/>
        <w:ind w:left="720"/>
      </w:pPr>
      <w:r>
        <w:rPr>
          <w:b/>
        </w:rPr>
        <w:t>2 = Shop at Alternatives</w:t>
      </w:r>
      <w:r>
        <w:t xml:space="preserve"> — Names specific alternative stores or brands</w:t>
      </w:r>
    </w:p>
    <w:p>
      <w:pPr>
        <w:spacing w:after="40"/>
        <w:ind w:left="720"/>
      </w:pPr>
      <w:r>
        <w:rPr>
          <w:b/>
        </w:rPr>
        <w:t>3 = Support Black-Owned Businesses</w:t>
      </w:r>
      <w:r>
        <w:t xml:space="preserve"> — Directs spending to Black-owned enterprises</w:t>
      </w:r>
    </w:p>
    <w:p>
      <w:pPr>
        <w:spacing w:after="40"/>
        <w:ind w:left="720"/>
      </w:pPr>
      <w:r>
        <w:rPr>
          <w:b/>
        </w:rPr>
        <w:t>4 = Share/Spread the Word</w:t>
      </w:r>
      <w:r>
        <w:t xml:space="preserve"> — Encourages sharing, reposting, or amplifying the message</w:t>
      </w:r>
    </w:p>
    <w:p>
      <w:pPr>
        <w:spacing w:after="40"/>
        <w:ind w:left="720"/>
      </w:pPr>
      <w:r>
        <w:rPr>
          <w:b/>
        </w:rPr>
        <w:t>5 = Contact Target/Executives</w:t>
      </w:r>
      <w:r>
        <w:t xml:space="preserve"> — Urges viewers to call, email, or message Target directly</w:t>
      </w:r>
    </w:p>
    <w:p>
      <w:pPr>
        <w:spacing w:after="40"/>
        <w:ind w:left="720"/>
      </w:pPr>
      <w:r>
        <w:rPr>
          <w:b/>
        </w:rPr>
        <w:t>6 = Sign Petition/Pledge</w:t>
      </w:r>
      <w:r>
        <w:t xml:space="preserve"> — Directs viewers to sign a boycott pledge or petition</w:t>
      </w:r>
    </w:p>
    <w:p>
      <w:pPr>
        <w:spacing w:after="40"/>
        <w:ind w:left="720"/>
      </w:pPr>
      <w:r>
        <w:rPr>
          <w:b/>
        </w:rPr>
        <w:t>7 = Attend Event/Protest</w:t>
      </w:r>
      <w:r>
        <w:t xml:space="preserve"> — Promotes in-person events, rallies, or demonstrations</w:t>
      </w:r>
    </w:p>
    <w:p>
      <w:pPr>
        <w:spacing w:after="40"/>
        <w:ind w:left="720"/>
      </w:pPr>
      <w:r>
        <w:rPr>
          <w:b/>
        </w:rPr>
        <w:t>8 = Cancel Target Circle/Credit Card</w:t>
      </w:r>
      <w:r>
        <w:t xml:space="preserve"> — Specifically urges canceling Target memberships or financial products</w:t>
      </w:r>
    </w:p>
    <w:p>
      <w:pPr>
        <w:spacing w:before="240" w:after="80"/>
      </w:pPr>
      <w:r>
        <w:rPr>
          <w:b/>
          <w:sz w:val="24"/>
        </w:rPr>
        <w:t>Variable IV.2: Evidence of Impact</w:t>
      </w:r>
    </w:p>
    <w:p>
      <w:pPr>
        <w:spacing w:after="80"/>
        <w:ind w:left="360"/>
      </w:pPr>
      <w:r>
        <w:rPr>
          <w:b/>
        </w:rPr>
        <w:t xml:space="preserve">Definition: </w:t>
      </w:r>
      <w:r>
        <w:t>Does the video present evidence that the boycott is having an effect?</w:t>
      </w:r>
    </w:p>
    <w:p>
      <w:pPr>
        <w:spacing w:after="40"/>
        <w:ind w:left="360"/>
      </w:pPr>
      <w:r>
        <w:rPr>
          <w:b/>
        </w:rPr>
        <w:t>Coding Values:</w:t>
      </w:r>
    </w:p>
    <w:p>
      <w:pPr>
        <w:spacing w:after="40"/>
        <w:ind w:left="720"/>
      </w:pPr>
      <w:r>
        <w:rPr>
          <w:b/>
        </w:rPr>
        <w:t>0 = No Evidence Presented</w:t>
      </w:r>
    </w:p>
    <w:p>
      <w:pPr>
        <w:spacing w:after="40"/>
        <w:ind w:left="720"/>
      </w:pPr>
      <w:r>
        <w:rPr>
          <w:b/>
        </w:rPr>
        <w:t>1 = Personal Testimony</w:t>
      </w:r>
      <w:r>
        <w:t xml:space="preserve"> — Creator shares their own changed behavior (e.g., showing empty cart, shopping elsewhere)</w:t>
      </w:r>
    </w:p>
    <w:p>
      <w:pPr>
        <w:spacing w:after="40"/>
        <w:ind w:left="720"/>
      </w:pPr>
      <w:r>
        <w:rPr>
          <w:b/>
        </w:rPr>
        <w:t>2 = Store Observation</w:t>
      </w:r>
      <w:r>
        <w:t xml:space="preserve"> — Shows empty aisles, reduced foot traffic, or in-store conditions</w:t>
      </w:r>
    </w:p>
    <w:p>
      <w:pPr>
        <w:spacing w:after="40"/>
        <w:ind w:left="720"/>
      </w:pPr>
      <w:r>
        <w:rPr>
          <w:b/>
        </w:rPr>
        <w:t>3 = Financial Data</w:t>
      </w:r>
      <w:r>
        <w:t xml:space="preserve"> — References stock price, sales figures, revenue decline, or layoffs</w:t>
      </w:r>
    </w:p>
    <w:p>
      <w:pPr>
        <w:spacing w:after="40"/>
        <w:ind w:left="720"/>
      </w:pPr>
      <w:r>
        <w:rPr>
          <w:b/>
        </w:rPr>
        <w:t>4 = Social Media Metrics</w:t>
      </w:r>
      <w:r>
        <w:t xml:space="preserve"> — References viral reach, hashtag trending, petition signatures</w:t>
      </w:r>
    </w:p>
    <w:p>
      <w:pPr>
        <w:spacing w:after="40"/>
        <w:ind w:left="720"/>
      </w:pPr>
      <w:r>
        <w:rPr>
          <w:b/>
        </w:rPr>
        <w:t>5 = Multiple Types of Evidence</w:t>
      </w:r>
      <w:r>
        <w:t xml:space="preserve"> — Combines two or more of the above</w:t>
      </w:r>
    </w:p>
    <w:p>
      <w:pPr>
        <w:spacing w:before="240" w:after="80"/>
      </w:pPr>
      <w:r>
        <w:rPr>
          <w:b/>
          <w:sz w:val="24"/>
        </w:rPr>
        <w:t>Variable IV.3: Community Identity Construction</w:t>
      </w:r>
    </w:p>
    <w:p>
      <w:pPr>
        <w:spacing w:after="80"/>
        <w:ind w:left="360"/>
      </w:pPr>
      <w:r>
        <w:rPr>
          <w:b/>
        </w:rPr>
        <w:t xml:space="preserve">Definition: </w:t>
      </w:r>
      <w:r>
        <w:t>How does the video construct the "we" of the boycott — who is being called to participate?</w:t>
      </w:r>
    </w:p>
    <w:p>
      <w:pPr>
        <w:spacing w:after="40"/>
        <w:ind w:left="360"/>
      </w:pPr>
      <w:r>
        <w:rPr>
          <w:b/>
        </w:rPr>
        <w:t>Coding Values:</w:t>
      </w:r>
    </w:p>
    <w:p>
      <w:pPr>
        <w:spacing w:after="40"/>
        <w:ind w:left="720"/>
      </w:pPr>
      <w:r>
        <w:rPr>
          <w:b/>
        </w:rPr>
        <w:t>0 = No Community Identity Constructed</w:t>
      </w:r>
    </w:p>
    <w:p>
      <w:pPr>
        <w:spacing w:after="40"/>
        <w:ind w:left="720"/>
      </w:pPr>
      <w:r>
        <w:rPr>
          <w:b/>
        </w:rPr>
        <w:t>1 = Black Community Specifically</w:t>
      </w:r>
      <w:r>
        <w:t xml:space="preserve"> — Addresses Black Americans as the primary stakeholder community</w:t>
      </w:r>
    </w:p>
    <w:p>
      <w:pPr>
        <w:spacing w:after="40"/>
        <w:ind w:left="720"/>
      </w:pPr>
      <w:r>
        <w:rPr>
          <w:b/>
        </w:rPr>
        <w:t>2 = Broad Communities of Color</w:t>
      </w:r>
      <w:r>
        <w:t xml:space="preserve"> — Addresses multiple racial/ethnic groups</w:t>
      </w:r>
    </w:p>
    <w:p>
      <w:pPr>
        <w:spacing w:after="40"/>
        <w:ind w:left="720"/>
      </w:pPr>
      <w:r>
        <w:rPr>
          <w:b/>
        </w:rPr>
        <w:t>3 = Progressive/Allied Consumers</w:t>
      </w:r>
      <w:r>
        <w:t xml:space="preserve"> — Addresses anyone with progressive values regardless of race</w:t>
      </w:r>
    </w:p>
    <w:p>
      <w:pPr>
        <w:spacing w:after="40"/>
        <w:ind w:left="720"/>
      </w:pPr>
      <w:r>
        <w:rPr>
          <w:b/>
        </w:rPr>
        <w:t>4 = Local/Minnesota Community</w:t>
      </w:r>
      <w:r>
        <w:t xml:space="preserve"> — Addresses the local community where Target is headquartered</w:t>
      </w:r>
    </w:p>
    <w:p>
      <w:pPr>
        <w:spacing w:after="40"/>
        <w:ind w:left="720"/>
      </w:pPr>
      <w:r>
        <w:rPr>
          <w:b/>
        </w:rPr>
        <w:t>5 = General Public/All Consumers</w:t>
      </w:r>
      <w:r>
        <w:t xml:space="preserve"> — Addresses all consumers broadly</w:t>
      </w:r>
    </w:p>
    <w:p>
      <w:r>
        <w:br w:type="page"/>
      </w:r>
    </w:p>
    <w:p>
      <w:pPr>
        <w:spacing w:before="0" w:after="120"/>
        <w:jc w:val="center"/>
      </w:pPr>
      <w:r>
        <w:rPr>
          <w:b/>
          <w:sz w:val="28"/>
        </w:rPr>
        <w:t>Section V: Platform and Production Variables</w:t>
      </w:r>
    </w:p>
    <w:p>
      <w:pPr>
        <w:spacing w:before="240" w:after="80"/>
      </w:pPr>
      <w:r>
        <w:rPr>
          <w:b/>
          <w:sz w:val="24"/>
        </w:rPr>
        <w:t>Variable V.1: Video Format</w:t>
      </w:r>
    </w:p>
    <w:p>
      <w:pPr>
        <w:spacing w:after="80"/>
        <w:ind w:left="360"/>
      </w:pPr>
      <w:r>
        <w:rPr>
          <w:b/>
        </w:rPr>
        <w:t xml:space="preserve">Definition: </w:t>
      </w:r>
      <w:r>
        <w:t>The primary production style of the video.</w:t>
      </w:r>
    </w:p>
    <w:p>
      <w:pPr>
        <w:spacing w:after="40"/>
        <w:ind w:left="360"/>
      </w:pPr>
      <w:r>
        <w:rPr>
          <w:b/>
        </w:rPr>
        <w:t>Coding Values:</w:t>
      </w:r>
    </w:p>
    <w:p>
      <w:pPr>
        <w:spacing w:after="40"/>
        <w:ind w:left="720"/>
      </w:pPr>
      <w:r>
        <w:rPr>
          <w:b/>
        </w:rPr>
        <w:t>1 = Talking Head/Direct Address</w:t>
      </w:r>
      <w:r>
        <w:t xml:space="preserve"> — Creator speaking directly to camera</w:t>
      </w:r>
    </w:p>
    <w:p>
      <w:pPr>
        <w:spacing w:after="40"/>
        <w:ind w:left="720"/>
      </w:pPr>
      <w:r>
        <w:rPr>
          <w:b/>
        </w:rPr>
        <w:t>2 = Text Overlay/Screen Recording</w:t>
      </w:r>
      <w:r>
        <w:t xml:space="preserve"> — Primarily text-based with background music or imagery</w:t>
      </w:r>
    </w:p>
    <w:p>
      <w:pPr>
        <w:spacing w:after="40"/>
        <w:ind w:left="720"/>
      </w:pPr>
      <w:r>
        <w:rPr>
          <w:b/>
        </w:rPr>
        <w:t>3 = Skit/Performance</w:t>
      </w:r>
      <w:r>
        <w:t xml:space="preserve"> — Dramatized or comedic performance</w:t>
      </w:r>
    </w:p>
    <w:p>
      <w:pPr>
        <w:spacing w:after="40"/>
        <w:ind w:left="720"/>
      </w:pPr>
      <w:r>
        <w:rPr>
          <w:b/>
        </w:rPr>
        <w:t>4 = Slideshow/Images</w:t>
      </w:r>
      <w:r>
        <w:t xml:space="preserve"> — Series of images or screenshots with narration or text</w:t>
      </w:r>
    </w:p>
    <w:p>
      <w:pPr>
        <w:spacing w:after="40"/>
        <w:ind w:left="720"/>
      </w:pPr>
      <w:r>
        <w:rPr>
          <w:b/>
        </w:rPr>
        <w:t>5 = In-Store Footage</w:t>
      </w:r>
      <w:r>
        <w:t xml:space="preserve"> — Filmed inside or outside a Target store</w:t>
      </w:r>
    </w:p>
    <w:p>
      <w:pPr>
        <w:spacing w:after="40"/>
        <w:ind w:left="720"/>
      </w:pPr>
      <w:r>
        <w:rPr>
          <w:b/>
        </w:rPr>
        <w:t>6 = News Clip/Repost</w:t>
      </w:r>
      <w:r>
        <w:t xml:space="preserve"> — Repurposed news footage or media clips with commentary</w:t>
      </w:r>
    </w:p>
    <w:p>
      <w:pPr>
        <w:spacing w:after="40"/>
        <w:ind w:left="720"/>
      </w:pPr>
      <w:r>
        <w:rPr>
          <w:b/>
        </w:rPr>
        <w:t>7 = Duet/Stitch</w:t>
      </w:r>
      <w:r>
        <w:t xml:space="preserve"> — TikTok duet or stitch responding to another video</w:t>
      </w:r>
    </w:p>
    <w:p>
      <w:pPr>
        <w:spacing w:after="40"/>
        <w:ind w:left="720"/>
      </w:pPr>
      <w:r>
        <w:rPr>
          <w:b/>
        </w:rPr>
        <w:t>8 = Other</w:t>
      </w:r>
      <w:r>
        <w:t xml:space="preserve"> — Specify in notes</w:t>
      </w:r>
    </w:p>
    <w:p>
      <w:pPr>
        <w:spacing w:before="240" w:after="80"/>
      </w:pPr>
      <w:r>
        <w:rPr>
          <w:b/>
          <w:sz w:val="24"/>
        </w:rPr>
        <w:t>Variable V.2: Emotional Tone</w:t>
      </w:r>
    </w:p>
    <w:p>
      <w:pPr>
        <w:spacing w:after="80"/>
        <w:ind w:left="360"/>
      </w:pPr>
      <w:r>
        <w:rPr>
          <w:b/>
        </w:rPr>
        <w:t xml:space="preserve">Definition: </w:t>
      </w:r>
      <w:r>
        <w:t>The dominant emotional tone of the video.</w:t>
      </w:r>
    </w:p>
    <w:p>
      <w:pPr>
        <w:spacing w:after="40"/>
        <w:ind w:left="360"/>
      </w:pPr>
      <w:r>
        <w:rPr>
          <w:b/>
        </w:rPr>
        <w:t>Coding Values:</w:t>
      </w:r>
    </w:p>
    <w:p>
      <w:pPr>
        <w:spacing w:after="40"/>
        <w:ind w:left="720"/>
      </w:pPr>
      <w:r>
        <w:rPr>
          <w:b/>
        </w:rPr>
        <w:t>1 = Anger/Outrage</w:t>
      </w:r>
      <w:r>
        <w:t xml:space="preserve"> — Dominant emotion is anger, frustration, or indignation</w:t>
      </w:r>
    </w:p>
    <w:p>
      <w:pPr>
        <w:spacing w:after="40"/>
        <w:ind w:left="720"/>
      </w:pPr>
      <w:r>
        <w:rPr>
          <w:b/>
        </w:rPr>
        <w:t>2 = Disappointment/Sadness</w:t>
      </w:r>
      <w:r>
        <w:t xml:space="preserve"> — Dominant emotion is being let down, sorrow, grief</w:t>
      </w:r>
    </w:p>
    <w:p>
      <w:pPr>
        <w:spacing w:after="40"/>
        <w:ind w:left="720"/>
      </w:pPr>
      <w:r>
        <w:rPr>
          <w:b/>
        </w:rPr>
        <w:t>3 = Empowerment/Pride</w:t>
      </w:r>
      <w:r>
        <w:t xml:space="preserve"> — Dominant emotion is pride, power, agency, determination</w:t>
      </w:r>
    </w:p>
    <w:p>
      <w:pPr>
        <w:spacing w:after="40"/>
        <w:ind w:left="720"/>
      </w:pPr>
      <w:r>
        <w:rPr>
          <w:b/>
        </w:rPr>
        <w:t>4 = Humor/Satire</w:t>
      </w:r>
      <w:r>
        <w:t xml:space="preserve"> — Uses comedy, irony, or mockery as primary mode</w:t>
      </w:r>
    </w:p>
    <w:p>
      <w:pPr>
        <w:spacing w:after="40"/>
        <w:ind w:left="720"/>
      </w:pPr>
      <w:r>
        <w:rPr>
          <w:b/>
        </w:rPr>
        <w:t>5 = Neutral/Informational</w:t>
      </w:r>
      <w:r>
        <w:t xml:space="preserve"> — Factual delivery without strong emotional valence</w:t>
      </w:r>
    </w:p>
    <w:p>
      <w:pPr>
        <w:spacing w:after="40"/>
        <w:ind w:left="720"/>
      </w:pPr>
      <w:r>
        <w:rPr>
          <w:b/>
        </w:rPr>
        <w:t>6 = Hope/Optimism</w:t>
      </w:r>
      <w:r>
        <w:t xml:space="preserve"> — Dominant emotion is hopeful about outcomes or alternatives</w:t>
      </w:r>
    </w:p>
    <w:p>
      <w:pPr>
        <w:spacing w:after="40"/>
        <w:ind w:left="720"/>
      </w:pPr>
      <w:r>
        <w:rPr>
          <w:b/>
        </w:rPr>
        <w:t>99 = Cannot Determine</w:t>
      </w:r>
    </w:p>
    <w:p>
      <w:pPr>
        <w:spacing w:before="240" w:after="80"/>
      </w:pPr>
      <w:r>
        <w:rPr>
          <w:b/>
          <w:sz w:val="24"/>
        </w:rPr>
        <w:t>Variable V.3: Engagement Quality</w:t>
      </w:r>
    </w:p>
    <w:p>
      <w:pPr>
        <w:spacing w:after="80"/>
        <w:ind w:left="360"/>
      </w:pPr>
      <w:r>
        <w:rPr>
          <w:b/>
        </w:rPr>
        <w:t xml:space="preserve">Definition: </w:t>
      </w:r>
      <w:r>
        <w:t>Rate the overall production and rhetorical quality of the video on a 3-point scale.</w:t>
      </w:r>
    </w:p>
    <w:p>
      <w:pPr>
        <w:spacing w:after="40"/>
        <w:ind w:left="360"/>
      </w:pPr>
      <w:r>
        <w:rPr>
          <w:b/>
        </w:rPr>
        <w:t>Coding Values:</w:t>
      </w:r>
    </w:p>
    <w:p>
      <w:pPr>
        <w:spacing w:after="40"/>
        <w:ind w:left="720"/>
      </w:pPr>
      <w:r>
        <w:rPr>
          <w:b/>
        </w:rPr>
        <w:t>1 = Low</w:t>
      </w:r>
      <w:r>
        <w:t xml:space="preserve"> — Brief, unpolished, minimal argument or information</w:t>
      </w:r>
    </w:p>
    <w:p>
      <w:pPr>
        <w:spacing w:after="40"/>
        <w:ind w:left="720"/>
      </w:pPr>
      <w:r>
        <w:rPr>
          <w:b/>
        </w:rPr>
        <w:t>2 = Medium</w:t>
      </w:r>
      <w:r>
        <w:t xml:space="preserve"> — Clear argument or information, adequate production</w:t>
      </w:r>
    </w:p>
    <w:p>
      <w:pPr>
        <w:spacing w:after="40"/>
        <w:ind w:left="720"/>
      </w:pPr>
      <w:r>
        <w:rPr>
          <w:b/>
        </w:rPr>
        <w:t>3 = High</w:t>
      </w:r>
      <w:r>
        <w:t xml:space="preserve"> — Well-produced, compelling argument, strong evidence or narrative</w:t>
      </w:r>
    </w:p>
    <w:p>
      <w:pPr>
        <w:spacing w:before="0" w:after="120"/>
        <w:jc w:val="center"/>
      </w:pPr>
      <w:r>
        <w:rPr>
          <w:b/>
          <w:sz w:val="28"/>
        </w:rPr>
        <w:t>Section VI: Open-Ended Fields</w:t>
      </w:r>
    </w:p>
    <w:p>
      <w:pPr>
        <w:spacing w:before="240" w:after="80"/>
      </w:pPr>
      <w:r>
        <w:rPr>
          <w:b/>
          <w:sz w:val="24"/>
        </w:rPr>
        <w:t>Variable VI.1: Key Quotes/Language</w:t>
      </w:r>
    </w:p>
    <w:p>
      <w:pPr>
        <w:spacing w:after="80"/>
        <w:ind w:left="360"/>
      </w:pPr>
      <w:r>
        <w:rPr>
          <w:b/>
        </w:rPr>
        <w:t xml:space="preserve">Definition: </w:t>
      </w:r>
      <w:r>
        <w:t>Record any notable phrases, slogans, or direct quotes used in the video that capture the core message. These will be used for qualitative analysis.</w:t>
      </w:r>
    </w:p>
    <w:p>
      <w:pPr>
        <w:spacing w:after="40"/>
        <w:ind w:left="360"/>
      </w:pPr>
      <w:r>
        <w:rPr>
          <w:b/>
        </w:rPr>
        <w:t>Coding Values:</w:t>
      </w:r>
    </w:p>
    <w:p>
      <w:pPr>
        <w:spacing w:before="240" w:after="80"/>
      </w:pPr>
      <w:r>
        <w:rPr>
          <w:b/>
          <w:sz w:val="24"/>
        </w:rPr>
        <w:t>Variable VI.2: Coder Notes</w:t>
      </w:r>
    </w:p>
    <w:p>
      <w:pPr>
        <w:spacing w:after="80"/>
        <w:ind w:left="360"/>
      </w:pPr>
      <w:r>
        <w:rPr>
          <w:b/>
        </w:rPr>
        <w:t xml:space="preserve">Definition: </w:t>
      </w:r>
      <w:r>
        <w:t>Any additional observations, ambiguities, or notable features of the video that do not fit the structured variables above.</w:t>
      </w:r>
    </w:p>
    <w:p>
      <w:pPr>
        <w:spacing w:after="40"/>
        <w:ind w:left="360"/>
      </w:pPr>
      <w:r>
        <w:rPr>
          <w:b/>
        </w:rPr>
        <w:t>Coding Values:</w:t>
      </w:r>
    </w:p>
    <w:p>
      <w:r>
        <w:br w:type="page"/>
      </w:r>
    </w:p>
    <w:p>
      <w:pPr>
        <w:spacing w:before="0" w:after="120"/>
        <w:jc w:val="center"/>
      </w:pPr>
      <w:r>
        <w:rPr>
          <w:b/>
          <w:sz w:val="28"/>
        </w:rPr>
        <w:t>Section VII: Target Corporate Communications Coding</w:t>
      </w:r>
    </w:p>
    <w:p>
      <w:pPr>
        <w:spacing w:after="120"/>
      </w:pPr>
      <w:r>
        <w:t>The following variables apply ONLY to the corporate communications dataset (Target press releases, earnings calls, social media posts, and official statements). These are coded separately from the TikTok dataset.</w:t>
      </w:r>
    </w:p>
    <w:p>
      <w:pPr>
        <w:spacing w:before="240" w:after="80"/>
      </w:pPr>
      <w:r>
        <w:rPr>
          <w:b/>
          <w:sz w:val="24"/>
        </w:rPr>
        <w:t>Variable VII.1: Communication Type</w:t>
      </w:r>
    </w:p>
    <w:p>
      <w:pPr>
        <w:spacing w:after="80"/>
        <w:ind w:left="360"/>
      </w:pPr>
      <w:r>
        <w:rPr>
          <w:b/>
        </w:rPr>
        <w:t xml:space="preserve">Definition: </w:t>
      </w:r>
      <w:r>
        <w:t>The type of corporate communication.</w:t>
      </w:r>
    </w:p>
    <w:p>
      <w:pPr>
        <w:spacing w:after="40"/>
        <w:ind w:left="360"/>
      </w:pPr>
      <w:r>
        <w:rPr>
          <w:b/>
        </w:rPr>
        <w:t>Coding Values:</w:t>
      </w:r>
    </w:p>
    <w:p>
      <w:pPr>
        <w:spacing w:after="40"/>
        <w:ind w:left="720"/>
      </w:pPr>
      <w:r>
        <w:rPr>
          <w:b/>
        </w:rPr>
        <w:t>1 = Press Release/Official Statement</w:t>
      </w:r>
    </w:p>
    <w:p>
      <w:pPr>
        <w:spacing w:after="40"/>
        <w:ind w:left="720"/>
      </w:pPr>
      <w:r>
        <w:rPr>
          <w:b/>
        </w:rPr>
        <w:t>2 = Earnings Call Transcript</w:t>
      </w:r>
    </w:p>
    <w:p>
      <w:pPr>
        <w:spacing w:after="40"/>
        <w:ind w:left="720"/>
      </w:pPr>
      <w:r>
        <w:rPr>
          <w:b/>
        </w:rPr>
        <w:t>3 = Social Media Post (Target official account)</w:t>
      </w:r>
    </w:p>
    <w:p>
      <w:pPr>
        <w:spacing w:after="40"/>
        <w:ind w:left="720"/>
      </w:pPr>
      <w:r>
        <w:rPr>
          <w:b/>
        </w:rPr>
        <w:t>4 = Executive Interview/Quote</w:t>
      </w:r>
    </w:p>
    <w:p>
      <w:pPr>
        <w:spacing w:after="40"/>
        <w:ind w:left="720"/>
      </w:pPr>
      <w:r>
        <w:rPr>
          <w:b/>
        </w:rPr>
        <w:t>5 = Website Update/Change</w:t>
      </w:r>
    </w:p>
    <w:p>
      <w:pPr>
        <w:spacing w:before="240" w:after="80"/>
      </w:pPr>
      <w:r>
        <w:rPr>
          <w:b/>
          <w:sz w:val="24"/>
        </w:rPr>
        <w:t>Variable VII.2: Spokesperson</w:t>
      </w:r>
    </w:p>
    <w:p>
      <w:pPr>
        <w:spacing w:after="80"/>
        <w:ind w:left="360"/>
      </w:pPr>
      <w:r>
        <w:rPr>
          <w:b/>
        </w:rPr>
        <w:t xml:space="preserve">Definition: </w:t>
      </w:r>
      <w:r>
        <w:t>Who delivered or is attributed as the source of the communication.</w:t>
      </w:r>
    </w:p>
    <w:p>
      <w:pPr>
        <w:spacing w:after="40"/>
        <w:ind w:left="360"/>
      </w:pPr>
      <w:r>
        <w:rPr>
          <w:b/>
        </w:rPr>
        <w:t>Coding Values:</w:t>
      </w:r>
    </w:p>
    <w:p>
      <w:pPr>
        <w:spacing w:after="40"/>
        <w:ind w:left="720"/>
      </w:pPr>
      <w:r>
        <w:rPr>
          <w:b/>
        </w:rPr>
        <w:t>1 = CEO (Brian Cornell)</w:t>
      </w:r>
    </w:p>
    <w:p>
      <w:pPr>
        <w:spacing w:after="40"/>
        <w:ind w:left="720"/>
      </w:pPr>
      <w:r>
        <w:rPr>
          <w:b/>
        </w:rPr>
        <w:t>2 = Chief Community Impact Officer (Kiera Fernandez)</w:t>
      </w:r>
    </w:p>
    <w:p>
      <w:pPr>
        <w:spacing w:after="40"/>
        <w:ind w:left="720"/>
      </w:pPr>
      <w:r>
        <w:rPr>
          <w:b/>
        </w:rPr>
        <w:t>3 = Other Named Executive</w:t>
      </w:r>
    </w:p>
    <w:p>
      <w:pPr>
        <w:spacing w:after="40"/>
        <w:ind w:left="720"/>
      </w:pPr>
      <w:r>
        <w:rPr>
          <w:b/>
        </w:rPr>
        <w:t>4 = Corporate/Unnamed Spokesperson</w:t>
      </w:r>
    </w:p>
    <w:p>
      <w:pPr>
        <w:spacing w:after="40"/>
        <w:ind w:left="720"/>
      </w:pPr>
      <w:r>
        <w:rPr>
          <w:b/>
        </w:rPr>
        <w:t>5 = Social Media Team/Unattributed</w:t>
      </w:r>
    </w:p>
    <w:p>
      <w:pPr>
        <w:spacing w:before="240" w:after="80"/>
      </w:pPr>
      <w:r>
        <w:rPr>
          <w:b/>
          <w:sz w:val="24"/>
        </w:rPr>
        <w:t>Variable VII.3: Framing of DEI Decision</w:t>
      </w:r>
    </w:p>
    <w:p>
      <w:pPr>
        <w:spacing w:after="80"/>
        <w:ind w:left="360"/>
      </w:pPr>
      <w:r>
        <w:rPr>
          <w:b/>
        </w:rPr>
        <w:t xml:space="preserve">Definition: </w:t>
      </w:r>
      <w:r>
        <w:t>How the communication frames the DEI rollback.</w:t>
      </w:r>
    </w:p>
    <w:p>
      <w:pPr>
        <w:spacing w:after="40"/>
        <w:ind w:left="360"/>
      </w:pPr>
      <w:r>
        <w:rPr>
          <w:b/>
        </w:rPr>
        <w:t>Coding Values:</w:t>
      </w:r>
    </w:p>
    <w:p>
      <w:pPr>
        <w:spacing w:after="40"/>
        <w:ind w:left="720"/>
      </w:pPr>
      <w:r>
        <w:rPr>
          <w:b/>
        </w:rPr>
        <w:t>0 = Does Not Address DEI Decision</w:t>
      </w:r>
    </w:p>
    <w:p>
      <w:pPr>
        <w:spacing w:after="40"/>
        <w:ind w:left="720"/>
      </w:pPr>
      <w:r>
        <w:rPr>
          <w:b/>
        </w:rPr>
        <w:t>1 = Business Strategy</w:t>
      </w:r>
      <w:r>
        <w:t xml:space="preserve"> — Frames as strategic business decision, evolving approach</w:t>
      </w:r>
    </w:p>
    <w:p>
      <w:pPr>
        <w:spacing w:after="40"/>
        <w:ind w:left="720"/>
      </w:pPr>
      <w:r>
        <w:rPr>
          <w:b/>
        </w:rPr>
        <w:t>2 = Legal/Regulatory</w:t>
      </w:r>
      <w:r>
        <w:t xml:space="preserve"> — Frames in terms of legal landscape or compliance</w:t>
      </w:r>
    </w:p>
    <w:p>
      <w:pPr>
        <w:spacing w:after="40"/>
        <w:ind w:left="720"/>
      </w:pPr>
      <w:r>
        <w:rPr>
          <w:b/>
        </w:rPr>
        <w:t>3 = Inclusive Reframing</w:t>
      </w:r>
      <w:r>
        <w:t xml:space="preserve"> — Rebrands as broader "inclusivity" or serving all customers</w:t>
      </w:r>
    </w:p>
    <w:p>
      <w:pPr>
        <w:spacing w:after="40"/>
        <w:ind w:left="720"/>
      </w:pPr>
      <w:r>
        <w:rPr>
          <w:b/>
        </w:rPr>
        <w:t>4 = Acknowledgment/Accountability</w:t>
      </w:r>
      <w:r>
        <w:t xml:space="preserve"> — Acknowledges community concerns or impact</w:t>
      </w:r>
    </w:p>
    <w:p>
      <w:pPr>
        <w:spacing w:before="240" w:after="80"/>
      </w:pPr>
      <w:r>
        <w:rPr>
          <w:b/>
          <w:sz w:val="24"/>
        </w:rPr>
        <w:t>Variable VII.4: Acknowledgment of Boycott</w:t>
      </w:r>
    </w:p>
    <w:p>
      <w:pPr>
        <w:spacing w:after="80"/>
        <w:ind w:left="360"/>
      </w:pPr>
      <w:r>
        <w:rPr>
          <w:b/>
        </w:rPr>
        <w:t xml:space="preserve">Definition: </w:t>
      </w:r>
      <w:r>
        <w:t>Does the communication acknowledge the community boycott?</w:t>
      </w:r>
    </w:p>
    <w:p>
      <w:pPr>
        <w:spacing w:after="40"/>
        <w:ind w:left="360"/>
      </w:pPr>
      <w:r>
        <w:rPr>
          <w:b/>
        </w:rPr>
        <w:t>Coding Values:</w:t>
      </w:r>
    </w:p>
    <w:p>
      <w:pPr>
        <w:spacing w:after="40"/>
        <w:ind w:left="720"/>
      </w:pPr>
      <w:r>
        <w:rPr>
          <w:b/>
        </w:rPr>
        <w:t>0 = No Acknowledgment</w:t>
      </w:r>
      <w:r>
        <w:t xml:space="preserve"> — Boycott not mentioned or referenced</w:t>
      </w:r>
    </w:p>
    <w:p>
      <w:pPr>
        <w:spacing w:after="40"/>
        <w:ind w:left="720"/>
      </w:pPr>
      <w:r>
        <w:rPr>
          <w:b/>
        </w:rPr>
        <w:t>1 = Implicit</w:t>
      </w:r>
      <w:r>
        <w:t xml:space="preserve"> — Alludes to community concerns without naming the boycott</w:t>
      </w:r>
    </w:p>
    <w:p>
      <w:pPr>
        <w:spacing w:after="40"/>
        <w:ind w:left="720"/>
      </w:pPr>
      <w:r>
        <w:rPr>
          <w:b/>
        </w:rPr>
        <w:t>2 = Explicit</w:t>
      </w:r>
      <w:r>
        <w:t xml:space="preserve"> — Directly references the boycott or organized opposition</w:t>
      </w:r>
    </w:p>
    <w:p>
      <w:pPr>
        <w:spacing w:before="240" w:after="80"/>
      </w:pPr>
      <w:r>
        <w:rPr>
          <w:b/>
          <w:sz w:val="24"/>
        </w:rPr>
        <w:t>Variable VII.5: Community Engagement Stance</w:t>
      </w:r>
    </w:p>
    <w:p>
      <w:pPr>
        <w:spacing w:after="80"/>
        <w:ind w:left="360"/>
      </w:pPr>
      <w:r>
        <w:rPr>
          <w:b/>
        </w:rPr>
        <w:t xml:space="preserve">Definition: </w:t>
      </w:r>
      <w:r>
        <w:t>What stance does the communication take toward affected communities?</w:t>
      </w:r>
    </w:p>
    <w:p>
      <w:pPr>
        <w:spacing w:after="40"/>
        <w:ind w:left="360"/>
      </w:pPr>
      <w:r>
        <w:rPr>
          <w:b/>
        </w:rPr>
        <w:t>Coding Values:</w:t>
      </w:r>
    </w:p>
    <w:p>
      <w:pPr>
        <w:spacing w:after="40"/>
        <w:ind w:left="720"/>
      </w:pPr>
      <w:r>
        <w:rPr>
          <w:b/>
        </w:rPr>
        <w:t>0 = Silent/No Engagement</w:t>
      </w:r>
    </w:p>
    <w:p>
      <w:pPr>
        <w:spacing w:after="40"/>
        <w:ind w:left="720"/>
      </w:pPr>
      <w:r>
        <w:rPr>
          <w:b/>
        </w:rPr>
        <w:t>1 = Defensive</w:t>
      </w:r>
      <w:r>
        <w:t xml:space="preserve"> — Defends the decision without engaging community concerns</w:t>
      </w:r>
    </w:p>
    <w:p>
      <w:pPr>
        <w:spacing w:after="40"/>
        <w:ind w:left="720"/>
      </w:pPr>
      <w:r>
        <w:rPr>
          <w:b/>
        </w:rPr>
        <w:t>2 = Conciliatory</w:t>
      </w:r>
      <w:r>
        <w:t xml:space="preserve"> — Expresses understanding or willingness to engage</w:t>
      </w:r>
    </w:p>
    <w:p>
      <w:pPr>
        <w:spacing w:after="40"/>
        <w:ind w:left="720"/>
      </w:pPr>
      <w:r>
        <w:rPr>
          <w:b/>
        </w:rPr>
        <w:t>3 = Restorative</w:t>
      </w:r>
      <w:r>
        <w:t xml:space="preserve"> — Announces specific actions to address community concerns</w:t>
      </w:r>
    </w:p>
    <w:p>
      <w:r>
        <w:br w:type="page"/>
      </w:r>
    </w:p>
    <w:p>
      <w:pPr>
        <w:spacing w:before="0" w:after="120"/>
        <w:jc w:val="center"/>
      </w:pPr>
      <w:r>
        <w:rPr>
          <w:b/>
          <w:sz w:val="28"/>
        </w:rPr>
        <w:t>Intercoder Reliability Protocol</w:t>
      </w:r>
    </w:p>
    <w:p>
      <w:pPr>
        <w:spacing w:after="120"/>
      </w:pPr>
      <w:r>
        <w:t>A minimum of 10% of the total sample (at least 25 videos) will be independently coded by a second coder to establish intercoder reliability. Reliability will be assessed using Krippendorff’s alpha for all categorical variables. The target threshold for acceptability is α ≥ .80 for all variables, with α ≥ .667 considered minimally acceptable for exploratory variables. Variables falling below the threshold will be revised and retested before full coding proceeds.</w:t>
      </w:r>
    </w:p>
    <w:p>
      <w:pPr>
        <w:spacing w:after="120"/>
      </w:pPr>
      <w:r>
        <w:t>The reliability subsample will be drawn randomly from the full sample, stratified by collection period (proportional to the overall sample). Both coders will receive identical training using this codebook and will code a practice set of 10 videos (not included in the reliability calculation) before beginning independent coding.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