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82"/>
      </w:tblGrid>
      <w:tr>
        <w:tc>
          <w:tcPr>
            <w:tcW w:type="dxa" w:w="10252"/>
            <w:shd w:fill="040B13" w:val="clear"/>
            <w:tcMar>
              <w:top w:w="110" w:type="dxa"/>
              <w:start w:w="150" w:type="dxa"/>
              <w:bottom w:w="120" w:type="dxa"/>
              <w:end w:w="150" w:type="dxa"/>
            </w:tcMar>
          </w:tcPr>
          <w:p>
            <w:pPr>
              <w:spacing w:before="0" w:after="200" w:line="240" w:lineRule="auto"/>
              <w:pBdr>
                <w:bottom w:val="single" w:sz="10" w:space="1" w:color="319BF5"/>
              </w:pBdr>
            </w:pPr>
            <w:r>
              <w:rPr>
                <w:rFonts w:ascii="Arial" w:hAnsi="Arial" w:eastAsia="Arial"/>
                <w:b/>
                <w:color w:val="FFFFFF"/>
                <w:sz w:val="50"/>
              </w:rPr>
              <w:t>LIJ Epic Hospital Device Integration</w:t>
            </w:r>
          </w:p>
          <w:p>
            <w:pPr>
              <w:spacing w:before="240" w:after="60" w:line="240" w:lineRule="auto"/>
            </w:pPr>
            <w:r>
              <w:rPr>
                <w:rFonts w:ascii="Arial" w:hAnsi="Arial" w:eastAsia="Arial"/>
                <w:b w:val="0"/>
                <w:color w:val="C8D2DE"/>
                <w:sz w:val="32"/>
              </w:rPr>
              <w:t>Courier &amp; Logistics Invoice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/>
                <w:b w:val="0"/>
                <w:color w:val="E6EDF7"/>
                <w:sz w:val="21"/>
              </w:rPr>
              <w:t>Service Date: Mar 22, 2026  |  Prepared for: Tim Seeberger  |  Prepared by: Richard Perez</w:t>
            </w:r>
          </w:p>
          <w:p>
            <w:pPr>
              <w:spacing w:before="0" w:after="320" w:line="240" w:lineRule="auto"/>
            </w:pPr>
            <w:r>
              <w:rPr>
                <w:rFonts w:ascii="Arial" w:hAnsi="Arial"/>
                <w:b w:val="0"/>
                <w:color w:val="E6EDF7"/>
                <w:sz w:val="21"/>
              </w:rPr>
              <w:t>Invoice No: INV-2026-03-22-NYM  |  PO No: 1427182  |  Terms: Net 30  |  USD</w:t>
            </w:r>
          </w:p>
          <w:p>
            <w:pPr>
              <w:spacing w:before="0" w:after="160" w:line="240" w:lineRule="auto"/>
            </w:pPr>
            <w:r>
              <w:rPr>
                <w:rFonts w:ascii="Arial" w:hAnsi="Arial" w:eastAsia="Arial"/>
                <w:b/>
                <w:color w:val="53A8FF"/>
                <w:sz w:val="30"/>
              </w:rPr>
              <w:t>Billing Summary</w:t>
            </w:r>
          </w:p>
          <w:tbl>
            <w:tblPr>
              <w:tblW w:type="auto" w:w="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6" w:space="0" w:color="16314A"/>
                <w:left w:val="single" w:sz="6" w:space="0" w:color="16314A"/>
                <w:bottom w:val="single" w:sz="6" w:space="0" w:color="16314A"/>
                <w:right w:val="single" w:sz="6" w:space="0" w:color="16314A"/>
                <w:insideH w:val="single" w:sz="6" w:space="0" w:color="16314A"/>
                <w:insideV w:val="single" w:sz="6" w:space="0" w:color="16314A"/>
              </w:tblBorders>
            </w:tblPr>
            <w:tblGrid>
              <w:gridCol w:w="2050"/>
              <w:gridCol w:w="2050"/>
              <w:gridCol w:w="2050"/>
              <w:gridCol w:w="2050"/>
              <w:gridCol w:w="2050"/>
            </w:tblGrid>
            <w:tr>
              <w:tc>
                <w:tcPr>
                  <w:tcW w:type="dxa" w:w="3960"/>
                  <w:shd w:fill="2B5E93" w:val="clear"/>
                  <w:vAlign w:val="center"/>
                  <w:tcMar>
                    <w:top w:w="95" w:type="dxa"/>
                    <w:start w:w="110" w:type="dxa"/>
                    <w:bottom w:w="95" w:type="dxa"/>
                    <w:end w:w="110" w:type="dxa"/>
                  </w:tcMar>
                </w:tcPr>
                <w:p>
                  <w:pPr>
                    <w:spacing w:before="0" w:after="0" w:line="276" w:lineRule="auto"/>
                    <w:jc w:val="left"/>
                  </w:pPr>
                  <w:r/>
                  <w:r>
                    <w:rPr>
                      <w:rFonts w:ascii="Arial" w:hAnsi="Arial" w:eastAsia="Arial"/>
                      <w:b/>
                      <w:color w:val="FFFFFF"/>
                      <w:sz w:val="22"/>
                    </w:rPr>
                    <w:t>Item /</w:t>
                    <w:br/>
                    <w:t>Description</w:t>
                  </w:r>
                </w:p>
              </w:tc>
              <w:tc>
                <w:tcPr>
                  <w:tcW w:type="dxa" w:w="1036"/>
                  <w:shd w:fill="2B5E93" w:val="clear"/>
                  <w:vAlign w:val="center"/>
                  <w:tcMar>
                    <w:top w:w="95" w:type="dxa"/>
                    <w:start w:w="110" w:type="dxa"/>
                    <w:bottom w:w="95" w:type="dxa"/>
                    <w:end w:w="110" w:type="dxa"/>
                  </w:tcMar>
                </w:tcPr>
                <w:p>
                  <w:pPr>
                    <w:spacing w:before="0" w:after="0" w:line="276" w:lineRule="auto"/>
                    <w:jc w:val="left"/>
                  </w:pPr>
                  <w:r/>
                  <w:r>
                    <w:rPr>
                      <w:rFonts w:ascii="Arial" w:hAnsi="Arial" w:eastAsia="Arial"/>
                      <w:b/>
                      <w:color w:val="FFFFFF"/>
                      <w:sz w:val="22"/>
                    </w:rPr>
                    <w:t>Qty</w:t>
                  </w:r>
                </w:p>
              </w:tc>
              <w:tc>
                <w:tcPr>
                  <w:tcW w:type="dxa" w:w="1440"/>
                  <w:shd w:fill="2B5E93" w:val="clear"/>
                  <w:vAlign w:val="center"/>
                  <w:tcMar>
                    <w:top w:w="95" w:type="dxa"/>
                    <w:start w:w="110" w:type="dxa"/>
                    <w:bottom w:w="95" w:type="dxa"/>
                    <w:end w:w="110" w:type="dxa"/>
                  </w:tcMar>
                </w:tcPr>
                <w:p>
                  <w:pPr>
                    <w:spacing w:before="0" w:after="0" w:line="276" w:lineRule="auto"/>
                    <w:jc w:val="left"/>
                  </w:pPr>
                  <w:r/>
                  <w:r>
                    <w:rPr>
                      <w:rFonts w:ascii="Arial" w:hAnsi="Arial" w:eastAsia="Arial"/>
                      <w:b/>
                      <w:color w:val="FFFFFF"/>
                      <w:sz w:val="22"/>
                    </w:rPr>
                    <w:t>Unit</w:t>
                  </w:r>
                </w:p>
              </w:tc>
              <w:tc>
                <w:tcPr>
                  <w:tcW w:type="dxa" w:w="1440"/>
                  <w:shd w:fill="2B5E93" w:val="clear"/>
                  <w:vAlign w:val="center"/>
                  <w:tcMar>
                    <w:top w:w="95" w:type="dxa"/>
                    <w:start w:w="110" w:type="dxa"/>
                    <w:bottom w:w="95" w:type="dxa"/>
                    <w:end w:w="110" w:type="dxa"/>
                  </w:tcMar>
                </w:tcPr>
                <w:p>
                  <w:pPr>
                    <w:spacing w:before="0" w:after="0" w:line="276" w:lineRule="auto"/>
                    <w:jc w:val="left"/>
                  </w:pPr>
                  <w:r/>
                  <w:r>
                    <w:rPr>
                      <w:rFonts w:ascii="Arial" w:hAnsi="Arial" w:eastAsia="Arial"/>
                      <w:b/>
                      <w:color w:val="FFFFFF"/>
                      <w:sz w:val="22"/>
                    </w:rPr>
                    <w:t>Rate</w:t>
                  </w:r>
                </w:p>
              </w:tc>
              <w:tc>
                <w:tcPr>
                  <w:tcW w:type="dxa" w:w="1800"/>
                  <w:shd w:fill="2B5E93" w:val="clear"/>
                  <w:vAlign w:val="center"/>
                  <w:tcMar>
                    <w:top w:w="95" w:type="dxa"/>
                    <w:start w:w="110" w:type="dxa"/>
                    <w:bottom w:w="95" w:type="dxa"/>
                    <w:end w:w="110" w:type="dxa"/>
                  </w:tcMar>
                </w:tcPr>
                <w:p>
                  <w:pPr>
                    <w:spacing w:before="0" w:after="0" w:line="276" w:lineRule="auto"/>
                    <w:jc w:val="left"/>
                  </w:pPr>
                  <w:r/>
                  <w:r>
                    <w:rPr>
                      <w:rFonts w:ascii="Arial" w:hAnsi="Arial" w:eastAsia="Arial"/>
                      <w:b/>
                      <w:color w:val="FFFFFF"/>
                      <w:sz w:val="22"/>
                    </w:rPr>
                    <w:t>Amount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960"/>
                  <w:shd w:fill="111A24" w:val="clear"/>
                  <w:vAlign w:val="center"/>
                  <w:tcMar>
                    <w:top w:w="95" w:type="dxa"/>
                    <w:start w:w="110" w:type="dxa"/>
                    <w:bottom w:w="95" w:type="dxa"/>
                    <w:end w:w="110" w:type="dxa"/>
                  </w:tcMar>
                </w:tcPr>
                <w:p>
                  <w:pPr>
                    <w:spacing w:before="0" w:after="0" w:line="276" w:lineRule="auto"/>
                    <w:jc w:val="left"/>
                  </w:pPr>
                  <w:r>
                    <w:rPr>
                      <w:rFonts w:ascii="Arial" w:hAnsi="Arial"/>
                      <w:b w:val="0"/>
                      <w:color w:val="FFFFFF"/>
                      <w:sz w:val="22"/>
                    </w:rPr>
                    <w:t>New York Minute courier &amp; logistics support (NSUH pickup; 1 Marcus delivery; 2 trips; Sun 3/22/26)</w:t>
                  </w:r>
                </w:p>
              </w:tc>
              <w:tc>
                <w:tcPr>
                  <w:tcW w:type="dxa" w:w="1036"/>
                  <w:shd w:fill="111A24" w:val="clear"/>
                  <w:vAlign w:val="center"/>
                  <w:tcMar>
                    <w:top w:w="95" w:type="dxa"/>
                    <w:start w:w="110" w:type="dxa"/>
                    <w:bottom w:w="95" w:type="dxa"/>
                    <w:end w:w="110" w:type="dxa"/>
                  </w:tcMar>
                </w:tcPr>
                <w:p>
                  <w:pPr>
                    <w:spacing w:before="0" w:after="0" w:line="276" w:lineRule="auto"/>
                    <w:jc w:val="left"/>
                  </w:pPr>
                  <w:r>
                    <w:rPr>
                      <w:rFonts w:ascii="Arial" w:hAnsi="Arial"/>
                      <w:b w:val="0"/>
                      <w:color w:val="FFFFFF"/>
                      <w:sz w:val="22"/>
                    </w:rPr>
                    <w:t>1</w:t>
                  </w:r>
                </w:p>
              </w:tc>
              <w:tc>
                <w:tcPr>
                  <w:tcW w:type="dxa" w:w="1440"/>
                  <w:shd w:fill="111A24" w:val="clear"/>
                  <w:vAlign w:val="center"/>
                  <w:tcMar>
                    <w:top w:w="95" w:type="dxa"/>
                    <w:start w:w="110" w:type="dxa"/>
                    <w:bottom w:w="95" w:type="dxa"/>
                    <w:end w:w="110" w:type="dxa"/>
                  </w:tcMar>
                </w:tcPr>
                <w:p>
                  <w:pPr>
                    <w:spacing w:before="0" w:after="0" w:line="276" w:lineRule="auto"/>
                    <w:jc w:val="left"/>
                  </w:pPr>
                  <w:r>
                    <w:rPr>
                      <w:rFonts w:ascii="Arial" w:hAnsi="Arial"/>
                      <w:b w:val="0"/>
                      <w:color w:val="FFFFFF"/>
                      <w:sz w:val="22"/>
                    </w:rPr>
                    <w:t>service</w:t>
                  </w:r>
                </w:p>
              </w:tc>
              <w:tc>
                <w:tcPr>
                  <w:tcW w:type="dxa" w:w="1440"/>
                  <w:shd w:fill="111A24" w:val="clear"/>
                  <w:vAlign w:val="center"/>
                  <w:tcMar>
                    <w:top w:w="95" w:type="dxa"/>
                    <w:start w:w="110" w:type="dxa"/>
                    <w:bottom w:w="95" w:type="dxa"/>
                    <w:end w:w="110" w:type="dxa"/>
                  </w:tcMar>
                </w:tcPr>
                <w:p>
                  <w:pPr>
                    <w:spacing w:before="0" w:after="0" w:line="276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FFFFFF"/>
                      <w:sz w:val="22"/>
                    </w:rPr>
                    <w:t>634.50</w:t>
                  </w:r>
                </w:p>
              </w:tc>
              <w:tc>
                <w:tcPr>
                  <w:tcW w:type="dxa" w:w="1800"/>
                  <w:shd w:fill="111A24" w:val="clear"/>
                  <w:vAlign w:val="center"/>
                  <w:tcMar>
                    <w:top w:w="95" w:type="dxa"/>
                    <w:start w:w="110" w:type="dxa"/>
                    <w:bottom w:w="95" w:type="dxa"/>
                    <w:end w:w="110" w:type="dxa"/>
                  </w:tcMar>
                </w:tcPr>
                <w:p>
                  <w:pPr>
                    <w:spacing w:before="0" w:after="0" w:line="276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FFFFFF"/>
                      <w:sz w:val="22"/>
                    </w:rPr>
                    <w:t>634.50</w:t>
                  </w:r>
                </w:p>
              </w:tc>
            </w:tr>
            <w:tr>
              <w:tc>
                <w:tcPr>
                  <w:tcW w:type="dxa" w:w="7876"/>
                  <w:gridSpan w:val="4"/>
                  <w:shd w:fill="040B13" w:val="clear"/>
                  <w:vAlign w:val="center"/>
                  <w:tcMar>
                    <w:top w:w="95" w:type="dxa"/>
                    <w:start w:w="110" w:type="dxa"/>
                    <w:bottom w:w="95" w:type="dxa"/>
                    <w:end w:w="110" w:type="dxa"/>
                  </w:tcMar>
                </w:tcPr>
                <w:p>
                  <w:pPr>
                    <w:spacing w:before="0" w:after="0" w:line="276" w:lineRule="auto"/>
                    <w:jc w:val="right"/>
                  </w:pPr>
                  <w:r/>
                  <w:r>
                    <w:rPr>
                      <w:rFonts w:ascii="Arial" w:hAnsi="Arial" w:eastAsia="Arial"/>
                      <w:b/>
                      <w:color w:val="FFFFFF"/>
                      <w:sz w:val="22"/>
                    </w:rPr>
                    <w:t>Subtotal</w:t>
                  </w:r>
                </w:p>
              </w:tc>
              <w:tc>
                <w:tcPr>
                  <w:tcW w:type="dxa" w:w="1800"/>
                  <w:shd w:fill="040B13" w:val="clear"/>
                  <w:vAlign w:val="center"/>
                  <w:tcMar>
                    <w:top w:w="95" w:type="dxa"/>
                    <w:start w:w="110" w:type="dxa"/>
                    <w:bottom w:w="95" w:type="dxa"/>
                    <w:end w:w="110" w:type="dxa"/>
                  </w:tcMar>
                </w:tcPr>
                <w:p>
                  <w:pPr>
                    <w:spacing w:before="0" w:after="0" w:line="276" w:lineRule="auto"/>
                    <w:jc w:val="right"/>
                  </w:pPr>
                  <w:r>
                    <w:rPr>
                      <w:rFonts w:ascii="Arial" w:hAnsi="Arial"/>
                      <w:b w:val="0"/>
                      <w:color w:val="FFFFFF"/>
                      <w:sz w:val="22"/>
                    </w:rPr>
                    <w:t>634.50</w:t>
                  </w:r>
                </w:p>
              </w:tc>
            </w:tr>
            <w:tr>
              <w:tc>
                <w:tcPr>
                  <w:tcW w:type="dxa" w:w="7876"/>
                  <w:gridSpan w:val="4"/>
                  <w:shd w:fill="124373" w:val="clear"/>
                  <w:vAlign w:val="center"/>
                  <w:tcMar>
                    <w:top w:w="95" w:type="dxa"/>
                    <w:start w:w="110" w:type="dxa"/>
                    <w:bottom w:w="95" w:type="dxa"/>
                    <w:end w:w="110" w:type="dxa"/>
                  </w:tcMar>
                </w:tcPr>
                <w:p>
                  <w:pPr>
                    <w:spacing w:before="0" w:after="0" w:line="276" w:lineRule="auto"/>
                    <w:jc w:val="right"/>
                  </w:pPr>
                  <w:r/>
                  <w:r>
                    <w:rPr>
                      <w:rFonts w:ascii="Arial" w:hAnsi="Arial" w:eastAsia="Arial"/>
                      <w:b/>
                      <w:color w:val="FFFFFF"/>
                      <w:sz w:val="26"/>
                    </w:rPr>
                    <w:t>Total Due</w:t>
                  </w:r>
                </w:p>
              </w:tc>
              <w:tc>
                <w:tcPr>
                  <w:tcW w:type="dxa" w:w="1800"/>
                  <w:shd w:fill="124373" w:val="clear"/>
                  <w:vAlign w:val="center"/>
                  <w:tcMar>
                    <w:top w:w="95" w:type="dxa"/>
                    <w:start w:w="110" w:type="dxa"/>
                    <w:bottom w:w="95" w:type="dxa"/>
                    <w:end w:w="110" w:type="dxa"/>
                  </w:tcMar>
                </w:tcPr>
                <w:p>
                  <w:pPr>
                    <w:spacing w:before="0" w:after="0" w:line="276" w:lineRule="auto"/>
                    <w:jc w:val="right"/>
                  </w:pPr>
                  <w:r>
                    <w:rPr>
                      <w:rFonts w:ascii="Arial" w:hAnsi="Arial"/>
                      <w:b/>
                      <w:color w:val="FFFFFF"/>
                      <w:sz w:val="26"/>
                    </w:rPr>
                    <w:t>634.50</w:t>
                  </w:r>
                </w:p>
              </w:tc>
            </w:tr>
          </w:tbl>
          <w:p/>
          <w:p>
            <w:pPr>
              <w:spacing w:before="360" w:after="160" w:line="240" w:lineRule="auto"/>
            </w:pPr>
            <w:r>
              <w:rPr>
                <w:rFonts w:ascii="Arial" w:hAnsi="Arial" w:eastAsia="Arial"/>
                <w:b/>
                <w:color w:val="53A8FF"/>
                <w:sz w:val="30"/>
              </w:rPr>
              <w:t>Service Scope</w:t>
            </w:r>
          </w:p>
          <w:p>
            <w:pPr>
              <w:spacing w:before="0" w:after="120" w:line="276" w:lineRule="auto"/>
              <w:ind w:left="259" w:hanging="259"/>
            </w:pPr>
            <w:r>
              <w:rPr>
                <w:rFonts w:ascii="Arial" w:hAnsi="Arial"/>
                <w:b w:val="0"/>
                <w:color w:val="FFFFFF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color w:val="FFFFFF"/>
                <w:sz w:val="22"/>
              </w:rPr>
              <w:t>Pickup completed from North Shore University Hospital (NSUH) and delivered to 1 Marcus Ave on Sunday, March 22, 2026.</w:t>
            </w:r>
          </w:p>
          <w:p>
            <w:pPr>
              <w:spacing w:before="0" w:after="120" w:line="276" w:lineRule="auto"/>
              <w:ind w:left="259" w:hanging="259"/>
            </w:pPr>
            <w:r>
              <w:rPr>
                <w:rFonts w:ascii="Arial" w:hAnsi="Arial"/>
                <w:b w:val="0"/>
                <w:color w:val="FFFFFF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color w:val="FFFFFF"/>
                <w:sz w:val="22"/>
              </w:rPr>
              <w:t>Courier completed 2 trips for this assignment.</w:t>
            </w:r>
          </w:p>
          <w:p>
            <w:pPr>
              <w:spacing w:before="160" w:after="160" w:line="240" w:lineRule="auto"/>
            </w:pPr>
            <w:r>
              <w:rPr>
                <w:rFonts w:ascii="Arial" w:hAnsi="Arial"/>
                <w:b/>
                <w:color w:val="53A8FF"/>
                <w:sz w:val="30"/>
              </w:rPr>
              <w:t>Pricing Basis</w:t>
            </w:r>
          </w:p>
          <w:p>
            <w:pPr>
              <w:spacing w:before="0" w:after="120" w:line="276" w:lineRule="auto"/>
              <w:ind w:left="259" w:hanging="259"/>
            </w:pPr>
            <w:r>
              <w:rPr>
                <w:rFonts w:ascii="Arial" w:hAnsi="Arial"/>
                <w:b w:val="0"/>
                <w:color w:val="FFFFFF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color w:val="FFFFFF"/>
                <w:sz w:val="22"/>
              </w:rPr>
              <w:t>Direct New York Minute courier charge for the Sunday run was $512.50.</w:t>
            </w:r>
          </w:p>
          <w:p>
            <w:pPr>
              <w:spacing w:before="0" w:after="120" w:line="276" w:lineRule="auto"/>
              <w:ind w:left="259" w:hanging="259"/>
            </w:pPr>
            <w:r>
              <w:rPr>
                <w:rFonts w:ascii="Arial" w:hAnsi="Arial"/>
                <w:b w:val="0"/>
                <w:color w:val="FFFFFF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color w:val="FFFFFF"/>
                <w:sz w:val="22"/>
              </w:rPr>
              <w:t>Christopher Allen advised billing as high as $634.50 for the Sunday assignment.</w:t>
            </w:r>
          </w:p>
          <w:p>
            <w:pPr>
              <w:spacing w:before="160" w:after="160" w:line="240" w:lineRule="auto"/>
            </w:pPr>
            <w:r>
              <w:rPr>
                <w:rFonts w:ascii="Arial" w:hAnsi="Arial" w:eastAsia="Arial"/>
                <w:b/>
                <w:color w:val="53A8FF"/>
                <w:sz w:val="30"/>
              </w:rPr>
              <w:t>Attached References</w:t>
            </w:r>
          </w:p>
          <w:p>
            <w:pPr>
              <w:spacing w:before="0" w:after="120" w:line="276" w:lineRule="auto"/>
              <w:ind w:left="259" w:hanging="259"/>
            </w:pPr>
            <w:r>
              <w:rPr>
                <w:rFonts w:ascii="Arial" w:hAnsi="Arial"/>
                <w:b w:val="0"/>
                <w:color w:val="FFFFFF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color w:val="FFFFFF"/>
                <w:sz w:val="22"/>
              </w:rPr>
              <w:t>New York Minute Messenger email / invoice dated March 23, 2026 confirmed a $512.50 courier total for the Sunday run.</w:t>
            </w:r>
          </w:p>
          <w:p>
            <w:pPr>
              <w:spacing w:before="0" w:after="120" w:line="276" w:lineRule="auto"/>
              <w:ind w:left="259" w:hanging="259"/>
            </w:pPr>
            <w:r>
              <w:rPr>
                <w:rFonts w:ascii="Arial" w:hAnsi="Arial"/>
                <w:b w:val="0"/>
                <w:color w:val="FFFFFF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color w:val="FFFFFF"/>
                <w:sz w:val="22"/>
              </w:rPr>
              <w:t>Christopher Allen chat guidance dated March 23, 2026 supported billing up to $634.50 on this assignment.</w:t>
            </w:r>
          </w:p>
        </w:tc>
      </w:tr>
    </w:tbl>
    <w:p>
      <w:pPr>
        <w:spacing w:before="80" w:after="6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141"/>
        <w:gridCol w:w="5141"/>
      </w:tblGrid>
      <w:tr>
        <w:tc>
          <w:tcPr>
            <w:tcW w:type="dxa" w:w="7200"/>
            <w:shd w:fill="040B13" w:val="clear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Arial" w:hAnsi="Arial"/>
                <w:b w:val="0"/>
                <w:color w:val="FFFFFF"/>
                <w:sz w:val="19"/>
              </w:rPr>
              <w:t>LIJ Epic Hospital Device Integration  |  March 22, 2026</w:t>
            </w:r>
          </w:p>
        </w:tc>
        <w:tc>
          <w:tcPr>
            <w:tcW w:type="dxa" w:w="2880"/>
            <w:shd w:fill="040B13" w:val="clear"/>
            <w:tcMar>
              <w:top w:w="95" w:type="dxa"/>
              <w:start w:w="110" w:type="dxa"/>
              <w:bottom w:w="95" w:type="dxa"/>
              <w:end w:w="110" w:type="dxa"/>
            </w:tcMar>
            <w:vAlign w:val="center"/>
          </w:tcPr>
          <w:p>
            <w:pPr>
              <w:spacing w:before="0" w:after="0" w:line="276" w:lineRule="auto"/>
              <w:jc w:val="right"/>
            </w:pPr>
            <w:r>
              <w:rPr>
                <w:rFonts w:ascii="Arial" w:hAnsi="Arial"/>
                <w:b w:val="0"/>
                <w:color w:val="FFFFFF"/>
                <w:sz w:val="19"/>
              </w:rPr>
              <w:t>Page 1 of 1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35" w:right="979" w:bottom="792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INV-2026-03-22-NYM</dc:title>
  <dc:subject/>
  <dc:creator>python-docx</dc:creator>
  <cp:keywords>INV-2026-03-22-NYM, 1427182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