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Excel for the web “repairs” your workbook and how to stop the blank-tab carnage</w:t>
      </w:r>
    </w:p>
    <w:p>
      <w:r>
        <w:rPr>
          <w:b/>
        </w:rPr>
        <w:t>Executive summary</w:t>
      </w:r>
    </w:p>
    <w:p>
      <w:r>
        <w:t>Excel for the web ingests your OOXML into a stricter pipeline than desktop Excel. When it detects malformed constructs or risky features, it rewrites the package into a repaired copy. That rewrite can be lossy and may blank tabs by dropping relationships, tables, or sheet content. Your objective is not “repair successfully.” Your objective is: never trigger repair.</w:t>
      </w:r>
    </w:p>
    <w:p>
      <w:pPr>
        <w:pStyle w:val="Heading2"/>
      </w:pPr>
      <w:r>
        <w:t>Three layers to separate</w:t>
      </w:r>
    </w:p>
    <w:p>
      <w:pPr>
        <w:pStyle w:val="ListBullet"/>
      </w:pPr>
      <w:r>
        <w:t>OOXML validity: the zip package is structurally and semantically correct.</w:t>
      </w:r>
    </w:p>
    <w:p>
      <w:pPr>
        <w:pStyle w:val="ListBullet"/>
      </w:pPr>
      <w:r>
        <w:t>Feature support: the browser editor can render and edit the constructs you used.</w:t>
      </w:r>
    </w:p>
    <w:p>
      <w:pPr>
        <w:pStyle w:val="ListBullet"/>
      </w:pPr>
      <w:r>
        <w:t>Repair behavior: when Web detects trouble, it rewrites parts to recover a readable file, often by stripping edge cases.</w:t>
      </w:r>
    </w:p>
    <w:p>
      <w:pPr>
        <w:pStyle w:val="Heading2"/>
      </w:pPr>
      <w:r>
        <w:t>What the repair banner really means</w:t>
      </w:r>
    </w:p>
    <w:p>
      <w:r>
        <w:t>The banner is evidence that the service decided the package was not safe to open as-is. Web then generates a repaired copy and asks if you want to save that repaired copy.</w:t>
      </w:r>
    </w:p>
    <w:p>
      <w:pPr>
        <w:pStyle w:val="Heading2"/>
      </w:pPr>
      <w:r>
        <w:t>Compatibility traps that commonly trigger repair</w:t>
      </w:r>
    </w:p>
    <w:p>
      <w:r>
        <w:rPr>
          <w:b/>
        </w:rPr>
        <w:t xml:space="preserve">Broken relationships: </w:t>
      </w:r>
      <w:r>
        <w:t>A .rels file points to a Target that does not exist, or uses a wrong Type for the referenced part.</w:t>
      </w:r>
    </w:p>
    <w:p>
      <w:r>
        <w:rPr>
          <w:b/>
        </w:rPr>
        <w:t xml:space="preserve">Markup Compatibility prefix problems: </w:t>
      </w:r>
      <w:r>
        <w:t>mc:Ignorable lists prefixes that are not declared in-scope on the same worksheet root. Desktop may tolerate it; Web often will not.</w:t>
      </w:r>
    </w:p>
    <w:p>
      <w:r>
        <w:rPr>
          <w:b/>
        </w:rPr>
        <w:t xml:space="preserve">dxfs / conditional formatting drift: </w:t>
      </w:r>
      <w:r>
        <w:t>CF rules reference dxfId values that exceed the dxfs count in styles.xml.</w:t>
      </w:r>
    </w:p>
    <w:p>
      <w:r>
        <w:rPr>
          <w:b/>
        </w:rPr>
        <w:t xml:space="preserve">Table part churn: </w:t>
      </w:r>
      <w:r>
        <w:t>Sheet tableParts reference missing/inconsistent table parts; Web renumbers or rewires table part files.</w:t>
      </w:r>
    </w:p>
    <w:p>
      <w:r>
        <w:rPr>
          <w:b/>
        </w:rPr>
        <w:t xml:space="preserve">calcChain inconsistencies: </w:t>
      </w:r>
      <w:r>
        <w:t>Workbook references a calcChain part that is missing or out of sync.</w:t>
      </w:r>
    </w:p>
    <w:p>
      <w:r>
        <w:rPr>
          <w:b/>
        </w:rPr>
        <w:t xml:space="preserve">Used range / dimension contradictions: </w:t>
      </w:r>
      <w:r>
        <w:t>dimension/@ref disagrees with the actual used cells or maximum table range.</w:t>
      </w:r>
    </w:p>
    <w:p>
      <w:pPr>
        <w:pStyle w:val="Heading2"/>
      </w:pPr>
      <w:r>
        <w:t>Forensics workflow that beats guesswork</w:t>
      </w:r>
    </w:p>
    <w:p>
      <w:pPr>
        <w:pStyle w:val="ListNumber"/>
      </w:pPr>
      <w:r>
        <w:t>Open the candidate in Excel for Web.</w:t>
      </w:r>
    </w:p>
    <w:p>
      <w:pPr>
        <w:pStyle w:val="ListNumber"/>
      </w:pPr>
      <w:r>
        <w:t>If Web repairs it, export the web-repaired workbook.</w:t>
      </w:r>
    </w:p>
    <w:p>
      <w:pPr>
        <w:pStyle w:val="ListNumber"/>
      </w:pPr>
      <w:r>
        <w:t>Zip-diff candidate vs web-repaired. That diff is the repair spec.</w:t>
      </w:r>
    </w:p>
    <w:p>
      <w:pPr>
        <w:pStyle w:val="ListNumber"/>
      </w:pPr>
      <w:r>
        <w:t>Apply only the repair spec, or start from the web-repaired base.</w:t>
      </w:r>
    </w:p>
    <w:p>
      <w:pPr>
        <w:pStyle w:val="ListNumber"/>
      </w:pPr>
      <w:r>
        <w:t>Reapply your invariants with a minimal patch (open-to-tab, table identities, CF guidance).</w:t>
      </w:r>
    </w:p>
    <w:p>
      <w:pPr>
        <w:pStyle w:val="ListNumber"/>
      </w:pPr>
      <w:r>
        <w:t>Re-test in Web. Repeat until Web opens clean.</w:t>
      </w:r>
    </w:p>
    <w:p>
      <w:pPr>
        <w:pStyle w:val="Heading2"/>
      </w:pPr>
      <w:r>
        <w:t>STOP-SHIP gates</w:t>
      </w:r>
    </w:p>
    <w:p>
      <w:pPr>
        <w:pStyle w:val="ListBullet"/>
      </w:pPr>
      <w:r>
        <w:t>No inlineStr anywhere; sharedStrings.xml must exist.</w:t>
      </w:r>
    </w:p>
    <w:p>
      <w:pPr>
        <w:pStyle w:val="ListBullet"/>
      </w:pPr>
      <w:r>
        <w:t>No ns0 prefixes or xmlns:ns0 leakage.</w:t>
      </w:r>
    </w:p>
    <w:p>
      <w:pPr>
        <w:pStyle w:val="ListBullet"/>
      </w:pPr>
      <w:r>
        <w:t>No _xlfn., _xludf., _xlpm tokens.</w:t>
      </w:r>
    </w:p>
    <w:p>
      <w:pPr>
        <w:pStyle w:val="ListBullet"/>
      </w:pPr>
      <w:r>
        <w:t>All relationships resolve to existing parts.</w:t>
      </w:r>
    </w:p>
    <w:p>
      <w:pPr>
        <w:pStyle w:val="ListBullet"/>
      </w:pPr>
      <w:r>
        <w:t>All prefixes listed in mc:Ignorable are declared in-scope on that root element.</w:t>
      </w:r>
    </w:p>
    <w:p>
      <w:pPr>
        <w:pStyle w:val="ListBullet"/>
      </w:pPr>
      <w:r>
        <w:t>max dxfId referenced by CF rules is less than dxfs count.</w:t>
      </w:r>
    </w:p>
    <w:p>
      <w:pPr>
        <w:pStyle w:val="ListBullet"/>
      </w:pPr>
      <w:r>
        <w:t>Workbook opens on the intended sheet: workbookView/@activeTab matches, and only that sheet has tabSelected=1.</w:t>
      </w:r>
    </w:p>
    <w:p>
      <w:pPr>
        <w:pStyle w:val="Heading2"/>
      </w:pPr>
      <w:r>
        <w:t>Proven pattern from the i100 milestone</w:t>
      </w:r>
    </w:p>
    <w:p>
      <w:r>
        <w:t>The i100 breakthrough came from shipping a workbook already in Web’s accepted normalized shape. Instead of patching symptoms in the candidate, use the web-repaired output as the baseline and then reapply only the invariants you care about. This prevents Web from re-running its repair pass.</w:t>
      </w:r>
    </w:p>
    <w:p>
      <w:pPr>
        <w:pStyle w:val="Heading2"/>
      </w:pPr>
      <w:r>
        <w:t>One-page checklist for tool builders</w:t>
      </w:r>
    </w:p>
    <w:p>
      <w:pPr>
        <w:pStyle w:val="ListBullet"/>
      </w:pPr>
      <w:r>
        <w:t>Always write sharedStrings, never inline strings.</w:t>
      </w:r>
    </w:p>
    <w:p>
      <w:pPr>
        <w:pStyle w:val="ListBullet"/>
      </w:pPr>
      <w:r>
        <w:t>Normalize worksheet root namespaces and Markup Compatibility prefixes consistently on every sheet, especially documentation tabs.</w:t>
      </w:r>
    </w:p>
    <w:p>
      <w:pPr>
        <w:pStyle w:val="ListBullet"/>
      </w:pPr>
      <w:r>
        <w:t>Keep dxfs and dxfId usage consistent. No orphaned dxfs.</w:t>
      </w:r>
    </w:p>
    <w:p>
      <w:pPr>
        <w:pStyle w:val="ListBullet"/>
      </w:pPr>
      <w:r>
        <w:t>Treat tables as a set: tableParts in sheet XML, sheet .rels targets, and /xl/tables/tableN.xml must match.</w:t>
      </w:r>
    </w:p>
    <w:p>
      <w:pPr>
        <w:pStyle w:val="ListBullet"/>
      </w:pPr>
      <w:r>
        <w:t>Treat Excel for Web as the acceptance test. Desktop success is not proof.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