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Иностранный язык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09.03.03 Прикладная информатика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Большие и открытые данные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Иностранный язык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Иностранный язык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УК-4.1.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Требования к деловой устной и письменной коммуникации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Принципы построения устного и письменного высказывания на государственном и иностранном языках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УК-4.2.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Применять на практике устную и письменную деловую коммуникацию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УК-4.3. Владеть: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Методикой составления суждения в межличностном деловом общении на государственном и иностранном языках, с применением адекватных языковых форм и средств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УК-5.2.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Вести коммуникацию в мире культурного многообразия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