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  <w:t xml:space="preserve">Atividade “</w:t>
      </w:r>
      <w:r w:rsidDel="00000000" w:rsidR="00000000" w:rsidRPr="00000000">
        <w:rPr>
          <w:rtl w:val="0"/>
        </w:rPr>
        <w:t xml:space="preserve">Entrega Final: Documento de Compreensão do Negócio”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  <w:t xml:space="preserve">Enderson dos Santos Carvalho</w:t>
      </w:r>
    </w:p>
    <w:p w:rsidR="00000000" w:rsidDel="00000000" w:rsidP="00000000" w:rsidRDefault="00000000" w:rsidRPr="00000000" w14:paraId="0000000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Contexto e Problema: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1440" w:hanging="360"/>
        <w:rPr/>
      </w:pPr>
      <w:r w:rsidDel="00000000" w:rsidR="00000000" w:rsidRPr="00000000">
        <w:rPr>
          <w:highlight w:val="white"/>
          <w:rtl w:val="0"/>
        </w:rPr>
        <w:t xml:space="preserve">Acidentes em rodovias federais brasileiras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decorrência de acidentes no meio de trânsito, o documento visa identificar os atributos de cada um;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ocorrência desses acidentes de trânsito e a busca por uma forma de reduzir a frequência deste tipo de ocorrência ao máximo.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Objetivo e Público: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Tem como objetivo identificar todos os possíveis atributos relacionados ao acidente em específico, a fim de relacionar e possivelmente encontrar um padrão que possa ser analisado e corrigido;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 público alvo deve ser consumidores de análise de dados, órgãos governamentais, 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Dados e Variável-Alvo: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fonte de dados são as planilhas e dados documentados pelo detran anualmente;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variável-alvo é a causa;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Os indicadores iniciais seriam do que acabou gerando o acidente, tendo em vista que é o mais comum de se associar a uma possível grande margem de acidentes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Perguntas e Hipóteses: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rtl w:val="0"/>
        </w:rPr>
        <w:t xml:space="preserve">Quais fatores estão associados a acidentes com vítimas fatais nas rodovias federais brasileiras?”;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Limites e CRISP-DM: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 tipo do veículo documentado no acidente, tendo em vista que a gravidade e o tipo de acidente pode se relacionar necessariamente a um tipo de veículo como motos, ou tombamento de caminhões muito grandes, ou carretas.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