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Schaff, Cameron @CCNP&amp;CYBERSECURITY</w:t>
        <w:br/>
      </w:r>
      <w:r>
        <w:rPr>
          <w:sz w:val="20"/>
        </w:rPr>
        <w:t>CCNP IN PROGRESS -_-</w:t>
        <w:br/>
      </w:r>
      <w:r>
        <w:rPr>
          <w:b/>
          <w:sz w:val="24"/>
        </w:rPr>
        <w:t>Cameron Schaff</w:t>
      </w:r>
    </w:p>
    <w:p/>
    <w:p>
      <w:pPr>
        <w:jc w:val="center"/>
      </w:pPr>
      <w:r>
        <w:rPr>
          <w:b/>
          <w:color w:val="0F172A"/>
          <w:sz w:val="40"/>
        </w:rPr>
        <w:t>Local Model Creation &amp; Training on Consumer Hardware</w:t>
      </w:r>
    </w:p>
    <w:p>
      <w:pPr>
        <w:jc w:val="center"/>
      </w:pPr>
      <w:r>
        <w:rPr>
          <w:i/>
          <w:color w:val="374151"/>
          <w:sz w:val="24"/>
        </w:rPr>
        <w:t>Cybersecurity Lab Report: Local LLM Pretraining and Fine-Tuning on a ThinkStation P7</w:t>
      </w:r>
    </w:p>
    <w:p/>
    <w:p>
      <w:r>
        <w:rPr>
          <w:b/>
          <w:color w:val="1E40AF"/>
          <w:sz w:val="30"/>
        </w:rPr>
        <w:t>Purpose</w:t>
      </w:r>
    </w:p>
    <w:p>
      <w:r>
        <w:rPr>
          <w:sz w:val="22"/>
        </w:rPr>
        <w:t>Train a large language model locally using distributed GPU computing on consumer-grade hardware, enabling offline AI inference and complete ownership of datasets, checkpoints, and model weights without dependence on cloud providers.</w:t>
      </w:r>
    </w:p>
    <w:p>
      <w:r>
        <w:rPr>
          <w:b/>
          <w:color w:val="1E40AF"/>
          <w:sz w:val="30"/>
        </w:rPr>
        <w:t>Background Information on Lab Concepts</w:t>
      </w:r>
    </w:p>
    <w:p>
      <w:r>
        <w:rPr>
          <w:sz w:val="22"/>
        </w:rPr>
        <w:t>This lab demonstrates the full workflow of large language model pretraining and fine-tuning using PyTorch Distributed Data Parallel (DDP) across multiple GPUs. The training pipeline uses NCCL for high-speed GPU synchronization over PCIe, SentencePiece Byte Pair Encoding (BPE) tokenization, mixed precision FP16 training, gradient checkpointing, and supervised fine-tuning techniques.</w:t>
      </w:r>
    </w:p>
    <w:p>
      <w:r>
        <w:rPr>
          <w:b/>
          <w:color w:val="1E40AF"/>
          <w:sz w:val="30"/>
        </w:rPr>
        <w:t>Features of the Training Stack</w:t>
      </w:r>
    </w:p>
    <w:p>
      <w:r>
        <w:rPr>
          <w:sz w:val="22"/>
        </w:rPr>
        <w:t>Distributed Data Parallel (DDP) allows the training workload to be split evenly across both GPUs while synchronizing gradients after each backward pass. NCCL manages low-latency GPU-to-GPU communication and is optimized specifically for CUDA workloads. Gradient checkpointing reduces VRAM consumption by recomputing activations during the backward pass instead of storing them. Mixed precision FP16 training improves performance and reduces memory usage through Tensor Core acceleration. SentencePiece BPE tokenization creates a 32,000-token vocabulary that balances embedding size with language coverage. Following pretraining, supervised fine-tuning is used to teach instruction-following behavior through structured prompt-response datasets.</w:t>
      </w:r>
    </w:p>
    <w:p>
      <w:r>
        <w:rPr>
          <w:b/>
          <w:color w:val="1E40AF"/>
          <w:sz w:val="30"/>
        </w:rPr>
        <w:t>Lab Summary</w:t>
      </w:r>
    </w:p>
    <w:p>
      <w:r>
        <w:rPr>
          <w:sz w:val="22"/>
        </w:rPr>
        <w:t>The lab workflow includes preparing raw corpus data, training a tokenizer, encoding datasets into binary token IDs, pretraining a transformer model using multi-GPU distributed training, fine-tuning the pretrained model on instruction datasets, and finally running interactive local inference through a command-line interface.</w:t>
      </w:r>
    </w:p>
    <w:p>
      <w:r>
        <w:rPr>
          <w:b/>
          <w:color w:val="1E40AF"/>
          <w:sz w:val="30"/>
        </w:rPr>
        <w:t>Hardware Used</w:t>
      </w:r>
    </w:p>
    <w:tbl>
      <w:tblPr>
        <w:tblStyle w:val="TableGrid"/>
        <w:tblW w:type="auto" w:w="0"/>
        <w:tblLook w:firstColumn="1" w:firstRow="1" w:lastColumn="0" w:lastRow="0" w:noHBand="0" w:noVBand="1" w:val="04A0"/>
      </w:tblPr>
      <w:tblGrid>
        <w:gridCol w:w="4824"/>
        <w:gridCol w:w="4824"/>
      </w:tblGrid>
      <w:tr>
        <w:tc>
          <w:tcPr>
            <w:tcW w:type="dxa" w:w="4824"/>
          </w:tcPr>
          <w:p>
            <w:r>
              <w:t>Component</w:t>
            </w:r>
          </w:p>
        </w:tc>
        <w:tc>
          <w:tcPr>
            <w:tcW w:type="dxa" w:w="4824"/>
          </w:tcPr>
          <w:p>
            <w:r>
              <w:t>Specification</w:t>
            </w:r>
          </w:p>
        </w:tc>
      </w:tr>
      <w:tr>
        <w:tc>
          <w:tcPr>
            <w:tcW w:type="dxa" w:w="4824"/>
          </w:tcPr>
          <w:p>
            <w:r>
              <w:t>System</w:t>
            </w:r>
          </w:p>
        </w:tc>
        <w:tc>
          <w:tcPr>
            <w:tcW w:type="dxa" w:w="4824"/>
          </w:tcPr>
          <w:p>
            <w:r>
              <w:t>Lenovo ThinkStation P7</w:t>
            </w:r>
          </w:p>
        </w:tc>
      </w:tr>
      <w:tr>
        <w:tc>
          <w:tcPr>
            <w:tcW w:type="dxa" w:w="4824"/>
          </w:tcPr>
          <w:p>
            <w:r>
              <w:t>GPUs</w:t>
            </w:r>
          </w:p>
        </w:tc>
        <w:tc>
          <w:tcPr>
            <w:tcW w:type="dxa" w:w="4824"/>
          </w:tcPr>
          <w:p>
            <w:r>
              <w:t>2× NVIDIA Titan RTX (24GB VRAM each)</w:t>
            </w:r>
          </w:p>
        </w:tc>
      </w:tr>
      <w:tr>
        <w:tc>
          <w:tcPr>
            <w:tcW w:type="dxa" w:w="4824"/>
          </w:tcPr>
          <w:p>
            <w:r>
              <w:t>CPU</w:t>
            </w:r>
          </w:p>
        </w:tc>
        <w:tc>
          <w:tcPr>
            <w:tcW w:type="dxa" w:w="4824"/>
          </w:tcPr>
          <w:p>
            <w:r>
              <w:t>Intel Xeon w5-3435X (32 cores)</w:t>
            </w:r>
          </w:p>
        </w:tc>
      </w:tr>
      <w:tr>
        <w:tc>
          <w:tcPr>
            <w:tcW w:type="dxa" w:w="4824"/>
          </w:tcPr>
          <w:p>
            <w:r>
              <w:t>Memory</w:t>
            </w:r>
          </w:p>
        </w:tc>
        <w:tc>
          <w:tcPr>
            <w:tcW w:type="dxa" w:w="4824"/>
          </w:tcPr>
          <w:p>
            <w:r>
              <w:t>128GB DDR5 ECC RAM</w:t>
            </w:r>
          </w:p>
        </w:tc>
      </w:tr>
      <w:tr>
        <w:tc>
          <w:tcPr>
            <w:tcW w:type="dxa" w:w="4824"/>
          </w:tcPr>
          <w:p>
            <w:r>
              <w:t>Operating System</w:t>
            </w:r>
          </w:p>
        </w:tc>
        <w:tc>
          <w:tcPr>
            <w:tcW w:type="dxa" w:w="4824"/>
          </w:tcPr>
          <w:p>
            <w:r>
              <w:t>Pop!_OS 26.04 (NVIDIA ISO)</w:t>
            </w:r>
          </w:p>
        </w:tc>
      </w:tr>
    </w:tbl>
    <w:p/>
    <w:p>
      <w:r>
        <w:rPr>
          <w:b/>
          <w:color w:val="1E40AF"/>
          <w:sz w:val="30"/>
        </w:rPr>
        <w:t>Step 1: Environment Setup</w:t>
      </w:r>
    </w:p>
    <w:p>
      <w:r>
        <w:rPr>
          <w:sz w:val="22"/>
        </w:rPr>
        <w:t>The project operates entirely inside a Docker container to avoid dependency conflicts with the host operating system. Docker and the NVIDIA Container Toolkit are installed to provide GPU passthrough functionality for CUDA workloads inside the containerized environment.</w:t>
      </w:r>
    </w:p>
    <w:p>
      <w:r>
        <w:rPr>
          <w:rFonts w:ascii="Courier New" w:hAnsi="Courier New"/>
          <w:sz w:val="20"/>
        </w:rPr>
        <w:t>sudo apt install docker.io</w:t>
        <w:br/>
        <w:t>sudo usermod -aG docker $USER</w:t>
        <w:br/>
        <w:t>newgrp docker</w:t>
      </w:r>
    </w:p>
    <w:p>
      <w:r>
        <w:rPr>
          <w:sz w:val="22"/>
        </w:rPr>
        <w:t>After installation, GPU passthrough functionality should be verified using NVIDIA-SMI inside a CUDA-enabled Docker container.</w:t>
      </w:r>
    </w:p>
    <w:p>
      <w:r>
        <w:rPr>
          <w:b/>
          <w:color w:val="1E40AF"/>
          <w:sz w:val="30"/>
        </w:rPr>
        <w:t>Step 2: Build the Training Container</w:t>
      </w:r>
    </w:p>
    <w:p>
      <w:r>
        <w:rPr>
          <w:sz w:val="22"/>
        </w:rPr>
        <w:t>The provided build script creates a CUDA-enabled PyTorch training environment using a PyTorch 2.3.0 CUDA 12.1 base image. All dependencies required for tokenizer training, distributed pretraining, fine-tuning, and inference are installed automatically during the container build process.</w:t>
      </w:r>
    </w:p>
    <w:p>
      <w:r>
        <w:rPr>
          <w:b/>
          <w:color w:val="1E40AF"/>
          <w:sz w:val="30"/>
        </w:rPr>
        <w:t>Step 3: Data Preparation</w:t>
      </w:r>
    </w:p>
    <w:p>
      <w:r>
        <w:rPr>
          <w:sz w:val="22"/>
        </w:rPr>
        <w:t>Raw text datasets are placed into the data pipeline where they are cleaned and merged into a unified corpus. SentencePiece trains a Byte Pair Encoding tokenizer with a 32,000-token vocabulary. The corpus is then encoded into binary token IDs using multiprocessing workers to maximize throughput while maintaining stable memory usage.</w:t>
      </w:r>
    </w:p>
    <w:p>
      <w:r>
        <w:rPr>
          <w:b/>
          <w:color w:val="1E40AF"/>
          <w:sz w:val="30"/>
        </w:rPr>
        <w:t>Step 4: Pretraining</w:t>
      </w:r>
    </w:p>
    <w:p>
      <w:r>
        <w:rPr>
          <w:sz w:val="22"/>
        </w:rPr>
        <w:t>The transformer architecture used in this lab contains approximately 984 million parameters and is trained using two GPUs through torchrun with NCCL backend communication. Gradients are accumulated over multiple micro-steps before synchronization, creating a larger effective batch size while remaining within VRAM limitations.</w:t>
      </w:r>
    </w:p>
    <w:tbl>
      <w:tblPr>
        <w:tblStyle w:val="LightGrid-Accent1"/>
        <w:tblW w:type="auto" w:w="0"/>
        <w:tblLook w:firstColumn="1" w:firstRow="1" w:lastColumn="0" w:lastRow="0" w:noHBand="0" w:noVBand="1" w:val="04A0"/>
      </w:tblPr>
      <w:tblGrid>
        <w:gridCol w:w="4824"/>
        <w:gridCol w:w="4824"/>
      </w:tblGrid>
      <w:tr>
        <w:tc>
          <w:tcPr>
            <w:tcW w:type="dxa" w:w="4824"/>
          </w:tcPr>
          <w:p>
            <w:r>
              <w:t>Parameter</w:t>
            </w:r>
          </w:p>
        </w:tc>
        <w:tc>
          <w:tcPr>
            <w:tcW w:type="dxa" w:w="4824"/>
          </w:tcPr>
          <w:p>
            <w:r>
              <w:t>Value</w:t>
            </w:r>
          </w:p>
        </w:tc>
      </w:tr>
      <w:tr>
        <w:tc>
          <w:tcPr>
            <w:tcW w:type="dxa" w:w="4824"/>
          </w:tcPr>
          <w:p>
            <w:r>
              <w:t>Layers</w:t>
            </w:r>
          </w:p>
        </w:tc>
        <w:tc>
          <w:tcPr>
            <w:tcW w:type="dxa" w:w="4824"/>
          </w:tcPr>
          <w:p>
            <w:r>
              <w:t>24</w:t>
            </w:r>
          </w:p>
        </w:tc>
      </w:tr>
      <w:tr>
        <w:tc>
          <w:tcPr>
            <w:tcW w:type="dxa" w:w="4824"/>
          </w:tcPr>
          <w:p>
            <w:r>
              <w:t>Attention Heads</w:t>
            </w:r>
          </w:p>
        </w:tc>
        <w:tc>
          <w:tcPr>
            <w:tcW w:type="dxa" w:w="4824"/>
          </w:tcPr>
          <w:p>
            <w:r>
              <w:t>16</w:t>
            </w:r>
          </w:p>
        </w:tc>
      </w:tr>
      <w:tr>
        <w:tc>
          <w:tcPr>
            <w:tcW w:type="dxa" w:w="4824"/>
          </w:tcPr>
          <w:p>
            <w:r>
              <w:t>Model Dimension</w:t>
            </w:r>
          </w:p>
        </w:tc>
        <w:tc>
          <w:tcPr>
            <w:tcW w:type="dxa" w:w="4824"/>
          </w:tcPr>
          <w:p>
            <w:r>
              <w:t>1792</w:t>
            </w:r>
          </w:p>
        </w:tc>
      </w:tr>
      <w:tr>
        <w:tc>
          <w:tcPr>
            <w:tcW w:type="dxa" w:w="4824"/>
          </w:tcPr>
          <w:p>
            <w:r>
              <w:t>Feed-Forward Dimension</w:t>
            </w:r>
          </w:p>
        </w:tc>
        <w:tc>
          <w:tcPr>
            <w:tcW w:type="dxa" w:w="4824"/>
          </w:tcPr>
          <w:p>
            <w:r>
              <w:t>7168</w:t>
            </w:r>
          </w:p>
        </w:tc>
      </w:tr>
      <w:tr>
        <w:tc>
          <w:tcPr>
            <w:tcW w:type="dxa" w:w="4824"/>
          </w:tcPr>
          <w:p>
            <w:r>
              <w:t>Vocabulary Size</w:t>
            </w:r>
          </w:p>
        </w:tc>
        <w:tc>
          <w:tcPr>
            <w:tcW w:type="dxa" w:w="4824"/>
          </w:tcPr>
          <w:p>
            <w:r>
              <w:t>32,000</w:t>
            </w:r>
          </w:p>
        </w:tc>
      </w:tr>
      <w:tr>
        <w:tc>
          <w:tcPr>
            <w:tcW w:type="dxa" w:w="4824"/>
          </w:tcPr>
          <w:p>
            <w:r>
              <w:t>Context Length</w:t>
            </w:r>
          </w:p>
        </w:tc>
        <w:tc>
          <w:tcPr>
            <w:tcW w:type="dxa" w:w="4824"/>
          </w:tcPr>
          <w:p>
            <w:r>
              <w:t>1024 tokens</w:t>
            </w:r>
          </w:p>
        </w:tc>
      </w:tr>
    </w:tbl>
    <w:p/>
    <w:p>
      <w:r>
        <w:rPr>
          <w:b/>
          <w:color w:val="1E40AF"/>
          <w:sz w:val="30"/>
        </w:rPr>
        <w:t>Step 5: Supervised Fine-Tuning</w:t>
      </w:r>
    </w:p>
    <w:p>
      <w:r>
        <w:rPr>
          <w:sz w:val="22"/>
        </w:rPr>
        <w:t>Once pretraining reaches an acceptable validation loss, the best checkpoint is used as the starting point for supervised fine-tuning. Structured JSONL prompt-response datasets teach instruction-following behavior while preserving pretrained knowledge through masked loss training.</w:t>
      </w:r>
    </w:p>
    <w:p>
      <w:r>
        <w:rPr>
          <w:b/>
          <w:color w:val="1E40AF"/>
          <w:sz w:val="30"/>
        </w:rPr>
        <w:t>Step 6: Inference</w:t>
      </w:r>
    </w:p>
    <w:p>
      <w:r>
        <w:rPr>
          <w:sz w:val="22"/>
        </w:rPr>
        <w:t>The final model can be loaded through an interactive command-line inference engine that supports autoregressive text generation, temperature sampling, top-k filtering, and top-p nucleus sampling. Runtime parameters can be adjusted dynamically during chat sessions.</w:t>
      </w:r>
    </w:p>
    <w:p>
      <w:r>
        <w:rPr>
          <w:b/>
          <w:color w:val="1E40AF"/>
          <w:sz w:val="30"/>
        </w:rPr>
        <w:t>Troubleshooting Notes</w:t>
      </w:r>
    </w:p>
    <w:p>
      <w:r>
        <w:rPr>
          <w:sz w:val="22"/>
        </w:rPr>
        <w:t>If CUDA allocator assertion failures occur during training, the PYTORCH_CUDA_ALLOC_CONF environment variable should be overridden with max_split_size_mb:128. If checkpoint loading fails due to tensor shape mismatches, the checkpoint architecture does not match the current configuration and retraining or configuration correction is required.</w:t>
      </w:r>
    </w:p>
    <w:p>
      <w:r>
        <w:rPr>
          <w:b/>
          <w:color w:val="1E40AF"/>
          <w:sz w:val="30"/>
        </w:rPr>
        <w:t>Final Notes</w:t>
      </w:r>
    </w:p>
    <w:p>
      <w:r>
        <w:rPr>
          <w:sz w:val="22"/>
        </w:rPr>
        <w:t>As with enterprise cybersecurity lab environments, checkpoint management is critical. Always verify that pretrain_best.pt and related checkpoints have been successfully saved before stopping training. Best checkpoints overwrite automatically whenever validation loss improves.</w:t>
      </w:r>
    </w:p>
    <w:p/>
    <w:p>
      <w:pPr>
        <w:jc w:val="center"/>
      </w:pPr>
      <w:r>
        <w:rPr>
          <w:i/>
          <w:sz w:val="22"/>
        </w:rPr>
        <w:t>Good luck with your continued model training.</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