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271" w:rsidRDefault="00E272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CREDIT RISK ANALYSIS PROJECT</w:t>
      </w:r>
    </w:p>
    <w:p w:rsidR="00E27271" w:rsidRDefault="00E272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870158" w:rsidRPr="00CA072B" w:rsidRDefault="00E27271" w:rsidP="00264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analyse credit risk using the Universidad de Santiago de Chile credit risk dataset. The goal is to identify</w:t>
      </w:r>
      <w:r w:rsidR="00264469">
        <w:rPr>
          <w:rFonts w:ascii="Times New Roman" w:hAnsi="Times New Roman" w:cs="Times New Roman"/>
          <w:sz w:val="24"/>
          <w:szCs w:val="24"/>
        </w:rPr>
        <w:t xml:space="preserve"> drivers of default risk among loan applicants, visualize patterns and trends, and provide recommendations to reduce the risk of default. The analysis is presented through a dashboard desig</w:t>
      </w:r>
      <w:r w:rsidR="00CA072B">
        <w:rPr>
          <w:rFonts w:ascii="Times New Roman" w:hAnsi="Times New Roman" w:cs="Times New Roman"/>
          <w:sz w:val="24"/>
          <w:szCs w:val="24"/>
        </w:rPr>
        <w:t>ned with Excel.</w:t>
      </w:r>
    </w:p>
    <w:p w:rsidR="00264469" w:rsidRDefault="00264469" w:rsidP="002644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E27271" w:rsidRPr="00B7457F" w:rsidRDefault="00B8793B" w:rsidP="00264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Risk A</w:t>
      </w:r>
      <w:r w:rsidR="00B7457F">
        <w:rPr>
          <w:rFonts w:ascii="Times New Roman" w:hAnsi="Times New Roman" w:cs="Times New Roman"/>
          <w:b/>
          <w:sz w:val="24"/>
          <w:szCs w:val="24"/>
        </w:rPr>
        <w:t>ssessment</w:t>
      </w:r>
      <w:r w:rsidR="002644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7271" w:rsidRPr="00264469">
        <w:rPr>
          <w:rFonts w:ascii="Times New Roman" w:hAnsi="Times New Roman" w:cs="Times New Roman"/>
          <w:sz w:val="24"/>
          <w:szCs w:val="24"/>
        </w:rPr>
        <w:t xml:space="preserve"> </w:t>
      </w:r>
      <w:r w:rsidR="00130F73">
        <w:rPr>
          <w:rFonts w:ascii="Times New Roman" w:hAnsi="Times New Roman" w:cs="Times New Roman"/>
          <w:sz w:val="24"/>
          <w:szCs w:val="24"/>
        </w:rPr>
        <w:t>T</w:t>
      </w:r>
      <w:r w:rsidR="00B7457F">
        <w:rPr>
          <w:rFonts w:ascii="Times New Roman" w:hAnsi="Times New Roman" w:cs="Times New Roman"/>
          <w:sz w:val="24"/>
          <w:szCs w:val="24"/>
        </w:rPr>
        <w:t>o uncover the pattern amo</w:t>
      </w:r>
      <w:r w:rsidR="00130F73">
        <w:rPr>
          <w:rFonts w:ascii="Times New Roman" w:hAnsi="Times New Roman" w:cs="Times New Roman"/>
          <w:sz w:val="24"/>
          <w:szCs w:val="24"/>
        </w:rPr>
        <w:t>ng</w:t>
      </w:r>
      <w:r w:rsidR="00B7457F">
        <w:rPr>
          <w:rFonts w:ascii="Times New Roman" w:hAnsi="Times New Roman" w:cs="Times New Roman"/>
          <w:sz w:val="24"/>
          <w:szCs w:val="24"/>
        </w:rPr>
        <w:t xml:space="preserve"> loan applicants</w:t>
      </w:r>
      <w:r w:rsidR="00130F73">
        <w:rPr>
          <w:rFonts w:ascii="Times New Roman" w:hAnsi="Times New Roman" w:cs="Times New Roman"/>
          <w:sz w:val="24"/>
          <w:szCs w:val="24"/>
        </w:rPr>
        <w:t xml:space="preserve"> with a positive default</w:t>
      </w:r>
      <w:r w:rsidR="00B7457F">
        <w:rPr>
          <w:rFonts w:ascii="Times New Roman" w:hAnsi="Times New Roman" w:cs="Times New Roman"/>
          <w:sz w:val="24"/>
          <w:szCs w:val="24"/>
        </w:rPr>
        <w:t>. The default column is the target variable for the default risk assessment.</w:t>
      </w:r>
    </w:p>
    <w:p w:rsidR="00B7457F" w:rsidRPr="00130F73" w:rsidRDefault="00B8793B" w:rsidP="00264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Visualize T</w:t>
      </w:r>
      <w:r w:rsidR="00130F73">
        <w:rPr>
          <w:rFonts w:ascii="Times New Roman" w:hAnsi="Times New Roman" w:cs="Times New Roman"/>
          <w:b/>
          <w:sz w:val="24"/>
          <w:szCs w:val="24"/>
        </w:rPr>
        <w:t xml:space="preserve">rends: </w:t>
      </w:r>
      <w:r w:rsidR="00130F73">
        <w:rPr>
          <w:rFonts w:ascii="Times New Roman" w:hAnsi="Times New Roman" w:cs="Times New Roman"/>
          <w:sz w:val="24"/>
          <w:szCs w:val="24"/>
        </w:rPr>
        <w:t>Create an intuitive dashboard to show default patterns across columns such as savings balance, checking balance, amount range, age bracket, loan duration and percent of income.</w:t>
      </w:r>
    </w:p>
    <w:p w:rsidR="00130F73" w:rsidRPr="00CA072B" w:rsidRDefault="00B8793B" w:rsidP="00130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Provide R</w:t>
      </w:r>
      <w:r w:rsidR="00130F73">
        <w:rPr>
          <w:rFonts w:ascii="Times New Roman" w:hAnsi="Times New Roman" w:cs="Times New Roman"/>
          <w:b/>
          <w:sz w:val="24"/>
          <w:szCs w:val="24"/>
        </w:rPr>
        <w:t xml:space="preserve">ecommendations: </w:t>
      </w:r>
      <w:r w:rsidR="00130F73">
        <w:rPr>
          <w:rFonts w:ascii="Times New Roman" w:hAnsi="Times New Roman" w:cs="Times New Roman"/>
          <w:sz w:val="24"/>
          <w:szCs w:val="24"/>
        </w:rPr>
        <w:t>Offer actionable solutions to minimize loss from credit defaults based on insights from the dataset.</w:t>
      </w:r>
    </w:p>
    <w:p w:rsidR="00130F73" w:rsidRDefault="00130F73" w:rsidP="00130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Stakeholders</w:t>
      </w:r>
    </w:p>
    <w:p w:rsidR="00130F73" w:rsidRDefault="00B8793B" w:rsidP="00130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Stakeholders</w:t>
      </w:r>
    </w:p>
    <w:p w:rsidR="00B8793B" w:rsidRPr="00B8793B" w:rsidRDefault="00B8793B" w:rsidP="00B8793B">
      <w:pPr>
        <w:rPr>
          <w:rFonts w:ascii="Times New Roman" w:hAnsi="Times New Roman" w:cs="Times New Roman"/>
          <w:b/>
          <w:sz w:val="24"/>
          <w:szCs w:val="24"/>
        </w:rPr>
      </w:pPr>
      <w:r w:rsidRPr="00B8793B">
        <w:rPr>
          <w:rFonts w:ascii="Times New Roman" w:hAnsi="Times New Roman" w:cs="Times New Roman"/>
          <w:b/>
          <w:sz w:val="24"/>
          <w:szCs w:val="24"/>
        </w:rPr>
        <w:t>Lending Institutions (Banks, Credit Unions, Financial Companies)</w:t>
      </w:r>
    </w:p>
    <w:p w:rsidR="00B8793B" w:rsidRDefault="00B8793B" w:rsidP="00B879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Role: </w:t>
      </w:r>
      <w:r>
        <w:rPr>
          <w:rFonts w:ascii="Times New Roman" w:hAnsi="Times New Roman" w:cs="Times New Roman"/>
          <w:sz w:val="24"/>
          <w:szCs w:val="24"/>
        </w:rPr>
        <w:t>Primary providers of loans to applicants represented in the dataset.</w:t>
      </w:r>
    </w:p>
    <w:p w:rsidR="00B8793B" w:rsidRDefault="00B8793B" w:rsidP="00B879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Interest:</w:t>
      </w:r>
    </w:p>
    <w:p w:rsidR="00B8793B" w:rsidRDefault="00B8793B" w:rsidP="00B879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risk assessment</w:t>
      </w:r>
    </w:p>
    <w:p w:rsidR="00B8793B" w:rsidRDefault="00B8793B" w:rsidP="00B879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approval policies</w:t>
      </w:r>
    </w:p>
    <w:p w:rsidR="00B8793B" w:rsidRDefault="00B8793B" w:rsidP="00B879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Profitability</w:t>
      </w:r>
    </w:p>
    <w:p w:rsidR="00B8793B" w:rsidRDefault="00B8793B" w:rsidP="00B879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 Stakeholders</w:t>
      </w:r>
    </w:p>
    <w:p w:rsidR="00B8793B" w:rsidRDefault="00B8793B" w:rsidP="00B879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Loan Applicants (Individuals)</w:t>
      </w:r>
    </w:p>
    <w:p w:rsidR="00B8793B" w:rsidRDefault="00B8793B" w:rsidP="00B8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Role: </w:t>
      </w:r>
      <w:r>
        <w:rPr>
          <w:rFonts w:ascii="Times New Roman" w:hAnsi="Times New Roman" w:cs="Times New Roman"/>
          <w:sz w:val="24"/>
          <w:szCs w:val="24"/>
        </w:rPr>
        <w:t>Individuals applying for loans, represented by the dataset’s rows.</w:t>
      </w:r>
    </w:p>
    <w:p w:rsidR="00870158" w:rsidRDefault="00B8793B" w:rsidP="00B8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Interest: </w:t>
      </w:r>
      <w:r>
        <w:rPr>
          <w:rFonts w:ascii="Times New Roman" w:hAnsi="Times New Roman" w:cs="Times New Roman"/>
          <w:sz w:val="24"/>
          <w:szCs w:val="24"/>
        </w:rPr>
        <w:t>Loan approval</w:t>
      </w:r>
    </w:p>
    <w:p w:rsidR="00870158" w:rsidRDefault="00870158" w:rsidP="00B879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870158" w:rsidRDefault="00870158" w:rsidP="00B8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contains 1000 rows and 17 columns of loan applicant records.</w:t>
      </w:r>
    </w:p>
    <w:p w:rsidR="00870158" w:rsidRDefault="00CA072B" w:rsidP="00B879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Transformation</w:t>
      </w:r>
    </w:p>
    <w:p w:rsidR="00CA072B" w:rsidRDefault="00CA072B" w:rsidP="00B87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 columns such as age, loan duration and amount were applied i</w:t>
      </w:r>
      <w:r w:rsidR="0039314E">
        <w:rPr>
          <w:rFonts w:ascii="Times New Roman" w:hAnsi="Times New Roman" w:cs="Times New Roman"/>
          <w:sz w:val="24"/>
          <w:szCs w:val="24"/>
        </w:rPr>
        <w:t xml:space="preserve">n creating new columns to </w:t>
      </w:r>
      <w:r>
        <w:rPr>
          <w:rFonts w:ascii="Times New Roman" w:hAnsi="Times New Roman" w:cs="Times New Roman"/>
          <w:sz w:val="24"/>
          <w:szCs w:val="24"/>
        </w:rPr>
        <w:t>catego</w:t>
      </w:r>
      <w:r w:rsidR="00057AAF">
        <w:rPr>
          <w:rFonts w:ascii="Times New Roman" w:hAnsi="Times New Roman" w:cs="Times New Roman"/>
          <w:sz w:val="24"/>
          <w:szCs w:val="24"/>
        </w:rPr>
        <w:t>rize</w:t>
      </w:r>
      <w:r>
        <w:rPr>
          <w:rFonts w:ascii="Times New Roman" w:hAnsi="Times New Roman" w:cs="Times New Roman"/>
          <w:sz w:val="24"/>
          <w:szCs w:val="24"/>
        </w:rPr>
        <w:t xml:space="preserve"> the data provided in those columns. </w:t>
      </w:r>
    </w:p>
    <w:p w:rsidR="00CA072B" w:rsidRDefault="00CA072B" w:rsidP="00B879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Tools and Technologies</w:t>
      </w:r>
    </w:p>
    <w:p w:rsidR="00CA072B" w:rsidRDefault="00CA072B" w:rsidP="00CA0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Excel: </w:t>
      </w:r>
      <w:r>
        <w:rPr>
          <w:rFonts w:ascii="Times New Roman" w:hAnsi="Times New Roman" w:cs="Times New Roman"/>
          <w:sz w:val="24"/>
          <w:szCs w:val="24"/>
        </w:rPr>
        <w:t>Used for Data Preparation, Exploratory Data Anal</w:t>
      </w:r>
      <w:r w:rsidR="006F6659">
        <w:rPr>
          <w:rFonts w:ascii="Times New Roman" w:hAnsi="Times New Roman" w:cs="Times New Roman"/>
          <w:sz w:val="24"/>
          <w:szCs w:val="24"/>
        </w:rPr>
        <w:t>ysis, and Data Visualization.</w:t>
      </w:r>
    </w:p>
    <w:p w:rsidR="006F6659" w:rsidRDefault="006F6659" w:rsidP="00CA0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Word: </w:t>
      </w:r>
      <w:r>
        <w:rPr>
          <w:rFonts w:ascii="Times New Roman" w:hAnsi="Times New Roman" w:cs="Times New Roman"/>
          <w:sz w:val="24"/>
          <w:szCs w:val="24"/>
        </w:rPr>
        <w:t>Used for Documentation and Report Findings.</w:t>
      </w:r>
    </w:p>
    <w:p w:rsidR="006F6659" w:rsidRDefault="006F6659" w:rsidP="00CA07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Breakdown of Analysis</w:t>
      </w:r>
    </w:p>
    <w:p w:rsidR="006F6659" w:rsidRDefault="006F6659" w:rsidP="006F66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Metrics</w:t>
      </w:r>
    </w:p>
    <w:p w:rsidR="006F6659" w:rsidRPr="005B2296" w:rsidRDefault="005B2296" w:rsidP="005B22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="006F6659" w:rsidRPr="005B2296">
        <w:rPr>
          <w:rFonts w:ascii="Times New Roman" w:hAnsi="Times New Roman" w:cs="Times New Roman"/>
          <w:b/>
          <w:sz w:val="24"/>
          <w:szCs w:val="24"/>
        </w:rPr>
        <w:t xml:space="preserve">Total Applicants: 1000 </w:t>
      </w:r>
      <w:r w:rsidR="006F6659" w:rsidRPr="005B2296">
        <w:rPr>
          <w:rFonts w:ascii="Times New Roman" w:hAnsi="Times New Roman" w:cs="Times New Roman"/>
          <w:sz w:val="24"/>
          <w:szCs w:val="24"/>
        </w:rPr>
        <w:t>(Count of applicants)</w:t>
      </w:r>
    </w:p>
    <w:p w:rsidR="006F6659" w:rsidRDefault="005B2296" w:rsidP="005B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="006F6659" w:rsidRPr="005B2296">
        <w:rPr>
          <w:rFonts w:ascii="Times New Roman" w:hAnsi="Times New Roman" w:cs="Times New Roman"/>
          <w:b/>
          <w:sz w:val="24"/>
          <w:szCs w:val="24"/>
        </w:rPr>
        <w:t xml:space="preserve">Default Rate: 30% </w:t>
      </w:r>
      <w:r w:rsidR="006F6659" w:rsidRPr="005B2296">
        <w:rPr>
          <w:rFonts w:ascii="Times New Roman" w:hAnsi="Times New Roman" w:cs="Times New Roman"/>
          <w:sz w:val="24"/>
          <w:szCs w:val="24"/>
        </w:rPr>
        <w:t>(Count of default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659" w:rsidRPr="005B2296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>O</w:t>
      </w:r>
      <w:r w:rsidR="006F6659" w:rsidRPr="005B2296">
        <w:rPr>
          <w:rFonts w:ascii="Times New Roman" w:hAnsi="Times New Roman" w:cs="Times New Roman"/>
          <w:sz w:val="24"/>
          <w:szCs w:val="24"/>
        </w:rPr>
        <w:t>)/ Total default multiplied by 100)</w:t>
      </w:r>
    </w:p>
    <w:p w:rsidR="005B2296" w:rsidRDefault="005B2296" w:rsidP="005B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Target Variable: </w:t>
      </w:r>
      <w:r>
        <w:rPr>
          <w:rFonts w:ascii="Times New Roman" w:hAnsi="Times New Roman" w:cs="Times New Roman"/>
          <w:sz w:val="24"/>
          <w:szCs w:val="24"/>
        </w:rPr>
        <w:t>The default column is the target variable for the default risk assessment. With a 30% default (YES) against 70% default (NO). The default column enabled analysis of feature columns such as savings balance, checking balance, amount range, age bracket, loan duration and percent of income.</w:t>
      </w:r>
    </w:p>
    <w:p w:rsidR="005B2296" w:rsidRDefault="005B2296" w:rsidP="005B22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Detailed Findings</w:t>
      </w:r>
    </w:p>
    <w:p w:rsidR="00B97DC6" w:rsidRPr="00B97DC6" w:rsidRDefault="005B2296" w:rsidP="00B97D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5B2296">
        <w:rPr>
          <w:rFonts w:ascii="Times New Roman" w:hAnsi="Times New Roman" w:cs="Times New Roman"/>
          <w:b/>
          <w:sz w:val="24"/>
          <w:szCs w:val="24"/>
        </w:rPr>
        <w:t>Default Risk by Savings Balance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Out of the </w:t>
      </w:r>
      <w:r w:rsidRPr="00BB0F3C">
        <w:rPr>
          <w:rFonts w:ascii="Times New Roman" w:hAnsi="Times New Roman" w:cs="Times New Roman"/>
          <w:b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total applicants, </w:t>
      </w:r>
      <w:r w:rsidRPr="00BB0F3C">
        <w:rPr>
          <w:rFonts w:ascii="Times New Roman" w:hAnsi="Times New Roman" w:cs="Times New Roman"/>
          <w:b/>
          <w:sz w:val="24"/>
          <w:szCs w:val="24"/>
        </w:rPr>
        <w:t xml:space="preserve">817 </w:t>
      </w:r>
      <w:r>
        <w:rPr>
          <w:rFonts w:ascii="Times New Roman" w:hAnsi="Times New Roman" w:cs="Times New Roman"/>
          <w:sz w:val="24"/>
          <w:szCs w:val="24"/>
        </w:rPr>
        <w:t xml:space="preserve">applicants had a verified savings balance. The analysis showed a </w:t>
      </w:r>
      <w:r w:rsidR="00057AAF">
        <w:rPr>
          <w:rFonts w:ascii="Times New Roman" w:hAnsi="Times New Roman" w:cs="Times New Roman"/>
          <w:sz w:val="24"/>
          <w:szCs w:val="24"/>
        </w:rPr>
        <w:t xml:space="preserve">lower default percentage for </w:t>
      </w:r>
      <w:r w:rsidR="00057AAF" w:rsidRPr="00BB0F3C">
        <w:rPr>
          <w:rFonts w:ascii="Times New Roman" w:hAnsi="Times New Roman" w:cs="Times New Roman"/>
          <w:b/>
          <w:sz w:val="24"/>
          <w:szCs w:val="24"/>
        </w:rPr>
        <w:t>savings balance between 500 – 100 DM</w:t>
      </w:r>
      <w:r w:rsidR="00057AAF">
        <w:rPr>
          <w:rFonts w:ascii="Times New Roman" w:hAnsi="Times New Roman" w:cs="Times New Roman"/>
          <w:sz w:val="24"/>
          <w:szCs w:val="24"/>
        </w:rPr>
        <w:t xml:space="preserve"> and </w:t>
      </w:r>
      <w:r w:rsidR="00057AAF" w:rsidRPr="00BB0F3C">
        <w:rPr>
          <w:rFonts w:ascii="Times New Roman" w:hAnsi="Times New Roman" w:cs="Times New Roman"/>
          <w:b/>
          <w:sz w:val="24"/>
          <w:szCs w:val="24"/>
        </w:rPr>
        <w:t>savings balance</w:t>
      </w:r>
      <w:r w:rsidR="00057AAF">
        <w:rPr>
          <w:rFonts w:ascii="Times New Roman" w:hAnsi="Times New Roman" w:cs="Times New Roman"/>
          <w:sz w:val="24"/>
          <w:szCs w:val="24"/>
        </w:rPr>
        <w:t xml:space="preserve"> </w:t>
      </w:r>
      <w:r w:rsidR="00057AAF" w:rsidRPr="00BB0F3C">
        <w:rPr>
          <w:rFonts w:ascii="Times New Roman" w:hAnsi="Times New Roman" w:cs="Times New Roman"/>
          <w:b/>
          <w:sz w:val="24"/>
          <w:szCs w:val="24"/>
        </w:rPr>
        <w:t>above 1000 DM</w:t>
      </w:r>
      <w:r w:rsidR="00057AAF">
        <w:rPr>
          <w:rFonts w:ascii="Times New Roman" w:hAnsi="Times New Roman" w:cs="Times New Roman"/>
          <w:sz w:val="24"/>
          <w:szCs w:val="24"/>
        </w:rPr>
        <w:t xml:space="preserve">, with the former at </w:t>
      </w:r>
      <w:r w:rsidR="00057AAF" w:rsidRPr="00BB0F3C">
        <w:rPr>
          <w:rFonts w:ascii="Times New Roman" w:hAnsi="Times New Roman" w:cs="Times New Roman"/>
          <w:b/>
          <w:sz w:val="24"/>
          <w:szCs w:val="24"/>
        </w:rPr>
        <w:t>17%</w:t>
      </w:r>
      <w:r w:rsidR="00057AAF">
        <w:rPr>
          <w:rFonts w:ascii="Times New Roman" w:hAnsi="Times New Roman" w:cs="Times New Roman"/>
          <w:sz w:val="24"/>
          <w:szCs w:val="24"/>
        </w:rPr>
        <w:t xml:space="preserve"> </w:t>
      </w:r>
      <w:r w:rsidR="00EA41E4">
        <w:rPr>
          <w:rFonts w:ascii="Times New Roman" w:hAnsi="Times New Roman" w:cs="Times New Roman"/>
          <w:sz w:val="24"/>
          <w:szCs w:val="24"/>
        </w:rPr>
        <w:t>default</w:t>
      </w:r>
      <w:r w:rsidR="00057AAF">
        <w:rPr>
          <w:rFonts w:ascii="Times New Roman" w:hAnsi="Times New Roman" w:cs="Times New Roman"/>
          <w:sz w:val="24"/>
          <w:szCs w:val="24"/>
        </w:rPr>
        <w:t xml:space="preserve">, and the latter at </w:t>
      </w:r>
      <w:r w:rsidR="00057AAF" w:rsidRPr="00BB0F3C">
        <w:rPr>
          <w:rFonts w:ascii="Times New Roman" w:hAnsi="Times New Roman" w:cs="Times New Roman"/>
          <w:b/>
          <w:sz w:val="24"/>
          <w:szCs w:val="24"/>
        </w:rPr>
        <w:t>12.5%</w:t>
      </w:r>
      <w:r w:rsidR="00057AAF">
        <w:rPr>
          <w:rFonts w:ascii="Times New Roman" w:hAnsi="Times New Roman" w:cs="Times New Roman"/>
          <w:sz w:val="24"/>
          <w:szCs w:val="24"/>
        </w:rPr>
        <w:t xml:space="preserve">. </w:t>
      </w:r>
      <w:r w:rsidR="00057AAF" w:rsidRPr="00BB0F3C">
        <w:rPr>
          <w:rFonts w:ascii="Times New Roman" w:hAnsi="Times New Roman" w:cs="Times New Roman"/>
          <w:b/>
          <w:sz w:val="24"/>
          <w:szCs w:val="24"/>
        </w:rPr>
        <w:t>Savings balance less than 100 DM</w:t>
      </w:r>
      <w:r w:rsidR="00057AAF">
        <w:rPr>
          <w:rFonts w:ascii="Times New Roman" w:hAnsi="Times New Roman" w:cs="Times New Roman"/>
          <w:sz w:val="24"/>
          <w:szCs w:val="24"/>
        </w:rPr>
        <w:t xml:space="preserve"> and </w:t>
      </w:r>
      <w:r w:rsidR="00057AAF" w:rsidRPr="00BB0F3C">
        <w:rPr>
          <w:rFonts w:ascii="Times New Roman" w:hAnsi="Times New Roman" w:cs="Times New Roman"/>
          <w:b/>
          <w:sz w:val="24"/>
          <w:szCs w:val="24"/>
        </w:rPr>
        <w:t>savings balance between 100 – 500 DM</w:t>
      </w:r>
      <w:r w:rsidR="00057AAF">
        <w:rPr>
          <w:rFonts w:ascii="Times New Roman" w:hAnsi="Times New Roman" w:cs="Times New Roman"/>
          <w:sz w:val="24"/>
          <w:szCs w:val="24"/>
        </w:rPr>
        <w:t xml:space="preserve"> carried a gr</w:t>
      </w:r>
      <w:r w:rsidR="00EA41E4">
        <w:rPr>
          <w:rFonts w:ascii="Times New Roman" w:hAnsi="Times New Roman" w:cs="Times New Roman"/>
          <w:sz w:val="24"/>
          <w:szCs w:val="24"/>
        </w:rPr>
        <w:t>eater percentage of default</w:t>
      </w:r>
      <w:r w:rsidR="00057AAF">
        <w:rPr>
          <w:rFonts w:ascii="Times New Roman" w:hAnsi="Times New Roman" w:cs="Times New Roman"/>
          <w:sz w:val="24"/>
          <w:szCs w:val="24"/>
        </w:rPr>
        <w:t xml:space="preserve">, standing at over </w:t>
      </w:r>
      <w:r w:rsidR="00057AAF" w:rsidRPr="00BB0F3C">
        <w:rPr>
          <w:rFonts w:ascii="Times New Roman" w:hAnsi="Times New Roman" w:cs="Times New Roman"/>
          <w:b/>
          <w:sz w:val="24"/>
          <w:szCs w:val="24"/>
        </w:rPr>
        <w:t>30%</w:t>
      </w:r>
      <w:r w:rsidR="00057AAF">
        <w:rPr>
          <w:rFonts w:ascii="Times New Roman" w:hAnsi="Times New Roman" w:cs="Times New Roman"/>
          <w:sz w:val="24"/>
          <w:szCs w:val="24"/>
        </w:rPr>
        <w:t xml:space="preserve"> for both category of savings balance.</w:t>
      </w:r>
    </w:p>
    <w:p w:rsidR="00B97DC6" w:rsidRPr="00B97DC6" w:rsidRDefault="00B97DC6" w:rsidP="00B97DC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97DC6" w:rsidRPr="00B97DC6" w:rsidRDefault="00057AAF" w:rsidP="00B97D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Risk by Checking Balance: </w:t>
      </w:r>
      <w:r w:rsidR="00B97DC6">
        <w:rPr>
          <w:rFonts w:ascii="Times New Roman" w:hAnsi="Times New Roman" w:cs="Times New Roman"/>
          <w:sz w:val="24"/>
          <w:szCs w:val="24"/>
        </w:rPr>
        <w:t xml:space="preserve">The sum of applicants with a verified checking balance amounted to </w:t>
      </w:r>
      <w:r w:rsidR="00B97DC6" w:rsidRPr="00B97DC6">
        <w:rPr>
          <w:rFonts w:ascii="Times New Roman" w:hAnsi="Times New Roman" w:cs="Times New Roman"/>
          <w:b/>
          <w:sz w:val="24"/>
          <w:szCs w:val="24"/>
        </w:rPr>
        <w:t>606</w:t>
      </w:r>
      <w:r w:rsidR="00B97DC6">
        <w:rPr>
          <w:rFonts w:ascii="Times New Roman" w:hAnsi="Times New Roman" w:cs="Times New Roman"/>
          <w:sz w:val="24"/>
          <w:szCs w:val="24"/>
        </w:rPr>
        <w:t xml:space="preserve"> out of the </w:t>
      </w:r>
      <w:r w:rsidR="00B97DC6" w:rsidRPr="00B97DC6">
        <w:rPr>
          <w:rFonts w:ascii="Times New Roman" w:hAnsi="Times New Roman" w:cs="Times New Roman"/>
          <w:b/>
          <w:sz w:val="24"/>
          <w:szCs w:val="24"/>
        </w:rPr>
        <w:t>1000</w:t>
      </w:r>
      <w:r w:rsidR="00B97DC6">
        <w:rPr>
          <w:rFonts w:ascii="Times New Roman" w:hAnsi="Times New Roman" w:cs="Times New Roman"/>
          <w:sz w:val="24"/>
          <w:szCs w:val="24"/>
        </w:rPr>
        <w:t xml:space="preserve"> total applicants. </w:t>
      </w:r>
      <w:r w:rsidRPr="00BB0F3C">
        <w:rPr>
          <w:rFonts w:ascii="Times New Roman" w:hAnsi="Times New Roman" w:cs="Times New Roman"/>
          <w:b/>
          <w:sz w:val="24"/>
          <w:szCs w:val="24"/>
        </w:rPr>
        <w:t>Checking balance below zero</w:t>
      </w:r>
      <w:r w:rsidR="00BB0F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0F3C">
        <w:rPr>
          <w:rFonts w:ascii="Times New Roman" w:hAnsi="Times New Roman" w:cs="Times New Roman"/>
          <w:sz w:val="24"/>
          <w:szCs w:val="24"/>
        </w:rPr>
        <w:t xml:space="preserve">revealed the highest default percentage, which is about </w:t>
      </w:r>
      <w:r w:rsidR="00BB0F3C" w:rsidRPr="00BB0F3C">
        <w:rPr>
          <w:rFonts w:ascii="Times New Roman" w:hAnsi="Times New Roman" w:cs="Times New Roman"/>
          <w:b/>
          <w:sz w:val="24"/>
          <w:szCs w:val="24"/>
        </w:rPr>
        <w:t>49.3%</w:t>
      </w:r>
      <w:r w:rsidR="00BB0F3C">
        <w:rPr>
          <w:rFonts w:ascii="Times New Roman" w:hAnsi="Times New Roman" w:cs="Times New Roman"/>
          <w:sz w:val="24"/>
          <w:szCs w:val="24"/>
        </w:rPr>
        <w:t xml:space="preserve"> default. This is followed by a decrease in default percentage of </w:t>
      </w:r>
      <w:r w:rsidR="00BB0F3C" w:rsidRPr="00BB0F3C">
        <w:rPr>
          <w:rFonts w:ascii="Times New Roman" w:hAnsi="Times New Roman" w:cs="Times New Roman"/>
          <w:b/>
          <w:sz w:val="24"/>
          <w:szCs w:val="24"/>
        </w:rPr>
        <w:t>39%</w:t>
      </w:r>
      <w:r w:rsidR="00BB0F3C">
        <w:rPr>
          <w:rFonts w:ascii="Times New Roman" w:hAnsi="Times New Roman" w:cs="Times New Roman"/>
          <w:sz w:val="24"/>
          <w:szCs w:val="24"/>
        </w:rPr>
        <w:t xml:space="preserve"> and </w:t>
      </w:r>
      <w:r w:rsidR="00BB0F3C" w:rsidRPr="00BB0F3C">
        <w:rPr>
          <w:rFonts w:ascii="Times New Roman" w:hAnsi="Times New Roman" w:cs="Times New Roman"/>
          <w:b/>
          <w:sz w:val="24"/>
          <w:szCs w:val="24"/>
        </w:rPr>
        <w:t>22.2%</w:t>
      </w:r>
      <w:r w:rsidR="00BB0F3C">
        <w:rPr>
          <w:rFonts w:ascii="Times New Roman" w:hAnsi="Times New Roman" w:cs="Times New Roman"/>
          <w:sz w:val="24"/>
          <w:szCs w:val="24"/>
        </w:rPr>
        <w:t xml:space="preserve"> for </w:t>
      </w:r>
      <w:r w:rsidR="00BB0F3C" w:rsidRPr="00BB0F3C">
        <w:rPr>
          <w:rFonts w:ascii="Times New Roman" w:hAnsi="Times New Roman" w:cs="Times New Roman"/>
          <w:b/>
          <w:sz w:val="24"/>
          <w:szCs w:val="24"/>
        </w:rPr>
        <w:t>checking balance between</w:t>
      </w:r>
      <w:r w:rsidR="00BB0F3C">
        <w:rPr>
          <w:rFonts w:ascii="Times New Roman" w:hAnsi="Times New Roman" w:cs="Times New Roman"/>
          <w:sz w:val="24"/>
          <w:szCs w:val="24"/>
        </w:rPr>
        <w:t xml:space="preserve"> </w:t>
      </w:r>
      <w:r w:rsidR="00BB0F3C" w:rsidRPr="00BB0F3C">
        <w:rPr>
          <w:rFonts w:ascii="Times New Roman" w:hAnsi="Times New Roman" w:cs="Times New Roman"/>
          <w:b/>
          <w:sz w:val="24"/>
          <w:szCs w:val="24"/>
        </w:rPr>
        <w:t>1 – 200 DM</w:t>
      </w:r>
      <w:r w:rsidR="00BB0F3C">
        <w:rPr>
          <w:rFonts w:ascii="Times New Roman" w:hAnsi="Times New Roman" w:cs="Times New Roman"/>
          <w:sz w:val="24"/>
          <w:szCs w:val="24"/>
        </w:rPr>
        <w:t xml:space="preserve"> and </w:t>
      </w:r>
      <w:r w:rsidR="00BB0F3C" w:rsidRPr="00BB0F3C">
        <w:rPr>
          <w:rFonts w:ascii="Times New Roman" w:hAnsi="Times New Roman" w:cs="Times New Roman"/>
          <w:b/>
          <w:sz w:val="24"/>
          <w:szCs w:val="24"/>
        </w:rPr>
        <w:t>checking balance above 200DM</w:t>
      </w:r>
      <w:r w:rsidR="00BB0F3C">
        <w:rPr>
          <w:rFonts w:ascii="Times New Roman" w:hAnsi="Times New Roman" w:cs="Times New Roman"/>
          <w:sz w:val="24"/>
          <w:szCs w:val="24"/>
        </w:rPr>
        <w:t>.</w:t>
      </w:r>
    </w:p>
    <w:p w:rsidR="00B97DC6" w:rsidRDefault="00B97DC6" w:rsidP="00B97DC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B0F3C" w:rsidRPr="007A1FB3" w:rsidRDefault="00B97DC6" w:rsidP="00BB0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Risk by Amount Range: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A1FB3">
        <w:rPr>
          <w:rFonts w:ascii="Times New Roman" w:hAnsi="Times New Roman" w:cs="Times New Roman"/>
          <w:b/>
          <w:sz w:val="24"/>
          <w:szCs w:val="24"/>
        </w:rPr>
        <w:t>10K – 20K amount range</w:t>
      </w:r>
      <w:r>
        <w:rPr>
          <w:rFonts w:ascii="Times New Roman" w:hAnsi="Times New Roman" w:cs="Times New Roman"/>
          <w:sz w:val="24"/>
          <w:szCs w:val="24"/>
        </w:rPr>
        <w:t xml:space="preserve"> indicates a high number of defaulting applicants, out of the </w:t>
      </w:r>
      <w:r w:rsidRPr="007A1FB3">
        <w:rPr>
          <w:rFonts w:ascii="Times New Roman" w:hAnsi="Times New Roman" w:cs="Times New Roman"/>
          <w:b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applicants in that amount range, </w:t>
      </w:r>
      <w:r w:rsidRPr="007A1FB3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app</w:t>
      </w:r>
      <w:r w:rsidR="007A1FB3">
        <w:rPr>
          <w:rFonts w:ascii="Times New Roman" w:hAnsi="Times New Roman" w:cs="Times New Roman"/>
          <w:sz w:val="24"/>
          <w:szCs w:val="24"/>
        </w:rPr>
        <w:t xml:space="preserve">licants defaulted, which is </w:t>
      </w:r>
      <w:r w:rsidR="007A1FB3" w:rsidRPr="007A1FB3">
        <w:rPr>
          <w:rFonts w:ascii="Times New Roman" w:hAnsi="Times New Roman" w:cs="Times New Roman"/>
          <w:b/>
          <w:sz w:val="24"/>
          <w:szCs w:val="24"/>
        </w:rPr>
        <w:t>60%</w:t>
      </w:r>
      <w:r w:rsidR="007A1FB3">
        <w:rPr>
          <w:rFonts w:ascii="Times New Roman" w:hAnsi="Times New Roman" w:cs="Times New Roman"/>
          <w:sz w:val="24"/>
          <w:szCs w:val="24"/>
        </w:rPr>
        <w:t xml:space="preserve"> of the </w:t>
      </w:r>
      <w:r w:rsidR="007A1FB3" w:rsidRPr="007A1FB3">
        <w:rPr>
          <w:rFonts w:ascii="Times New Roman" w:hAnsi="Times New Roman" w:cs="Times New Roman"/>
          <w:b/>
          <w:sz w:val="24"/>
          <w:szCs w:val="24"/>
        </w:rPr>
        <w:t>40</w:t>
      </w:r>
      <w:r w:rsidR="007A1FB3">
        <w:rPr>
          <w:rFonts w:ascii="Times New Roman" w:hAnsi="Times New Roman" w:cs="Times New Roman"/>
          <w:sz w:val="24"/>
          <w:szCs w:val="24"/>
        </w:rPr>
        <w:t xml:space="preserve"> applicants. This contrast the other amount range of </w:t>
      </w:r>
      <w:r w:rsidR="007A1FB3" w:rsidRPr="007A1FB3">
        <w:rPr>
          <w:rFonts w:ascii="Times New Roman" w:hAnsi="Times New Roman" w:cs="Times New Roman"/>
          <w:b/>
          <w:sz w:val="24"/>
          <w:szCs w:val="24"/>
        </w:rPr>
        <w:t>5K – 10K</w:t>
      </w:r>
      <w:r w:rsidR="007A1FB3">
        <w:rPr>
          <w:rFonts w:ascii="Times New Roman" w:hAnsi="Times New Roman" w:cs="Times New Roman"/>
          <w:sz w:val="24"/>
          <w:szCs w:val="24"/>
        </w:rPr>
        <w:t xml:space="preserve">, </w:t>
      </w:r>
      <w:r w:rsidR="007A1FB3" w:rsidRPr="007A1FB3">
        <w:rPr>
          <w:rFonts w:ascii="Times New Roman" w:hAnsi="Times New Roman" w:cs="Times New Roman"/>
          <w:b/>
          <w:sz w:val="24"/>
          <w:szCs w:val="24"/>
        </w:rPr>
        <w:t>1K – 5K</w:t>
      </w:r>
      <w:r w:rsidR="007A1FB3">
        <w:rPr>
          <w:rFonts w:ascii="Times New Roman" w:hAnsi="Times New Roman" w:cs="Times New Roman"/>
          <w:sz w:val="24"/>
          <w:szCs w:val="24"/>
        </w:rPr>
        <w:t xml:space="preserve"> and </w:t>
      </w:r>
      <w:r w:rsidR="007A1FB3" w:rsidRPr="007A1FB3">
        <w:rPr>
          <w:rFonts w:ascii="Times New Roman" w:hAnsi="Times New Roman" w:cs="Times New Roman"/>
          <w:b/>
          <w:sz w:val="24"/>
          <w:szCs w:val="24"/>
        </w:rPr>
        <w:t>250 – 1K</w:t>
      </w:r>
      <w:r w:rsidR="007A1FB3">
        <w:rPr>
          <w:rFonts w:ascii="Times New Roman" w:hAnsi="Times New Roman" w:cs="Times New Roman"/>
          <w:sz w:val="24"/>
          <w:szCs w:val="24"/>
        </w:rPr>
        <w:t xml:space="preserve">, where the </w:t>
      </w:r>
      <w:r w:rsidR="007A1FB3" w:rsidRPr="007A1FB3">
        <w:rPr>
          <w:rFonts w:ascii="Times New Roman" w:hAnsi="Times New Roman" w:cs="Times New Roman"/>
          <w:b/>
          <w:sz w:val="24"/>
          <w:szCs w:val="24"/>
        </w:rPr>
        <w:t>default (NO</w:t>
      </w:r>
      <w:r w:rsidR="007A1FB3">
        <w:rPr>
          <w:rFonts w:ascii="Times New Roman" w:hAnsi="Times New Roman" w:cs="Times New Roman"/>
          <w:sz w:val="24"/>
          <w:szCs w:val="24"/>
        </w:rPr>
        <w:t xml:space="preserve">) is greater than the </w:t>
      </w:r>
      <w:r w:rsidR="007A1FB3" w:rsidRPr="007A1FB3">
        <w:rPr>
          <w:rFonts w:ascii="Times New Roman" w:hAnsi="Times New Roman" w:cs="Times New Roman"/>
          <w:b/>
          <w:sz w:val="24"/>
          <w:szCs w:val="24"/>
        </w:rPr>
        <w:t>default (YES)</w:t>
      </w:r>
      <w:r w:rsidR="007A1FB3">
        <w:rPr>
          <w:rFonts w:ascii="Times New Roman" w:hAnsi="Times New Roman" w:cs="Times New Roman"/>
          <w:sz w:val="24"/>
          <w:szCs w:val="24"/>
        </w:rPr>
        <w:t>.</w:t>
      </w:r>
    </w:p>
    <w:p w:rsidR="007A1FB3" w:rsidRPr="007A1FB3" w:rsidRDefault="007A1FB3" w:rsidP="007A1FB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A1FB3" w:rsidRPr="002A41BD" w:rsidRDefault="00402AF3" w:rsidP="00BB0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Risk by </w:t>
      </w:r>
      <w:r w:rsidR="002A41BD">
        <w:rPr>
          <w:rFonts w:ascii="Times New Roman" w:hAnsi="Times New Roman" w:cs="Times New Roman"/>
          <w:b/>
          <w:sz w:val="24"/>
          <w:szCs w:val="24"/>
        </w:rPr>
        <w:t xml:space="preserve">Loan Duration: </w:t>
      </w:r>
      <w:r w:rsidR="002A41BD">
        <w:rPr>
          <w:rFonts w:ascii="Times New Roman" w:hAnsi="Times New Roman" w:cs="Times New Roman"/>
          <w:sz w:val="24"/>
          <w:szCs w:val="24"/>
        </w:rPr>
        <w:t xml:space="preserve">The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2 -5 years loan duration</w:t>
      </w:r>
      <w:r w:rsidR="002A41BD">
        <w:rPr>
          <w:rFonts w:ascii="Times New Roman" w:hAnsi="Times New Roman" w:cs="Times New Roman"/>
          <w:sz w:val="24"/>
          <w:szCs w:val="24"/>
        </w:rPr>
        <w:t xml:space="preserve"> has the highest default percentage, out of the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230</w:t>
      </w:r>
      <w:r w:rsidR="002A41BD">
        <w:rPr>
          <w:rFonts w:ascii="Times New Roman" w:hAnsi="Times New Roman" w:cs="Times New Roman"/>
          <w:sz w:val="24"/>
          <w:szCs w:val="24"/>
        </w:rPr>
        <w:t xml:space="preserve"> applicants in the loan duration,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44.35%</w:t>
      </w:r>
      <w:r w:rsidR="002A41BD">
        <w:rPr>
          <w:rFonts w:ascii="Times New Roman" w:hAnsi="Times New Roman" w:cs="Times New Roman"/>
          <w:sz w:val="24"/>
          <w:szCs w:val="24"/>
        </w:rPr>
        <w:t xml:space="preserve"> of the applicants defaulted. The default percentage for the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1- 2 years loan duration</w:t>
      </w:r>
      <w:r w:rsidR="002A41BD">
        <w:rPr>
          <w:rFonts w:ascii="Times New Roman" w:hAnsi="Times New Roman" w:cs="Times New Roman"/>
          <w:sz w:val="24"/>
          <w:szCs w:val="24"/>
        </w:rPr>
        <w:t xml:space="preserve"> is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28.98%</w:t>
      </w:r>
      <w:r w:rsidR="002A41BD">
        <w:rPr>
          <w:rFonts w:ascii="Times New Roman" w:hAnsi="Times New Roman" w:cs="Times New Roman"/>
          <w:sz w:val="24"/>
          <w:szCs w:val="24"/>
        </w:rPr>
        <w:t xml:space="preserve"> of the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590</w:t>
      </w:r>
      <w:r w:rsidR="002A41BD">
        <w:rPr>
          <w:rFonts w:ascii="Times New Roman" w:hAnsi="Times New Roman" w:cs="Times New Roman"/>
          <w:sz w:val="24"/>
          <w:szCs w:val="24"/>
        </w:rPr>
        <w:t xml:space="preserve"> applicants. The lowest default percentage of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15%</w:t>
      </w:r>
      <w:r w:rsidR="002A41BD">
        <w:rPr>
          <w:rFonts w:ascii="Times New Roman" w:hAnsi="Times New Roman" w:cs="Times New Roman"/>
          <w:sz w:val="24"/>
          <w:szCs w:val="24"/>
        </w:rPr>
        <w:t xml:space="preserve"> is the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less</w:t>
      </w:r>
      <w:r w:rsidR="002A41BD">
        <w:rPr>
          <w:rFonts w:ascii="Times New Roman" w:hAnsi="Times New Roman" w:cs="Times New Roman"/>
          <w:sz w:val="24"/>
          <w:szCs w:val="24"/>
        </w:rPr>
        <w:t xml:space="preserve">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than 1 year loan duration</w:t>
      </w:r>
      <w:r w:rsidR="002A41BD">
        <w:rPr>
          <w:rFonts w:ascii="Times New Roman" w:hAnsi="Times New Roman" w:cs="Times New Roman"/>
          <w:sz w:val="24"/>
          <w:szCs w:val="24"/>
        </w:rPr>
        <w:t xml:space="preserve">, which has </w:t>
      </w:r>
      <w:r w:rsidR="002A41BD" w:rsidRPr="002A41BD">
        <w:rPr>
          <w:rFonts w:ascii="Times New Roman" w:hAnsi="Times New Roman" w:cs="Times New Roman"/>
          <w:b/>
          <w:sz w:val="24"/>
          <w:szCs w:val="24"/>
        </w:rPr>
        <w:t>180</w:t>
      </w:r>
      <w:r w:rsidR="002A41BD">
        <w:rPr>
          <w:rFonts w:ascii="Times New Roman" w:hAnsi="Times New Roman" w:cs="Times New Roman"/>
          <w:sz w:val="24"/>
          <w:szCs w:val="24"/>
        </w:rPr>
        <w:t xml:space="preserve"> applicants.</w:t>
      </w:r>
    </w:p>
    <w:p w:rsidR="002A41BD" w:rsidRPr="002A41BD" w:rsidRDefault="002A41BD" w:rsidP="002A41B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A41BD" w:rsidRPr="003F05E3" w:rsidRDefault="002A41BD" w:rsidP="00BB0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Risk by Percent of Income</w:t>
      </w:r>
      <w:r w:rsidR="003F05E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05E3">
        <w:rPr>
          <w:rFonts w:ascii="Times New Roman" w:hAnsi="Times New Roman" w:cs="Times New Roman"/>
          <w:sz w:val="24"/>
          <w:szCs w:val="24"/>
        </w:rPr>
        <w:t xml:space="preserve">Applicants with </w:t>
      </w:r>
      <w:r w:rsidR="003F05E3" w:rsidRPr="003F05E3">
        <w:rPr>
          <w:rFonts w:ascii="Times New Roman" w:hAnsi="Times New Roman" w:cs="Times New Roman"/>
          <w:b/>
          <w:sz w:val="24"/>
          <w:szCs w:val="24"/>
        </w:rPr>
        <w:t>4% income to interest</w:t>
      </w:r>
      <w:r w:rsidR="003F05E3">
        <w:rPr>
          <w:rFonts w:ascii="Times New Roman" w:hAnsi="Times New Roman" w:cs="Times New Roman"/>
          <w:sz w:val="24"/>
          <w:szCs w:val="24"/>
        </w:rPr>
        <w:t xml:space="preserve"> </w:t>
      </w:r>
      <w:r w:rsidR="003F05E3" w:rsidRPr="003F05E3">
        <w:rPr>
          <w:rFonts w:ascii="Times New Roman" w:hAnsi="Times New Roman" w:cs="Times New Roman"/>
          <w:b/>
          <w:sz w:val="24"/>
          <w:szCs w:val="24"/>
        </w:rPr>
        <w:t>payment</w:t>
      </w:r>
      <w:r w:rsidR="003F05E3">
        <w:rPr>
          <w:rFonts w:ascii="Times New Roman" w:hAnsi="Times New Roman" w:cs="Times New Roman"/>
          <w:sz w:val="24"/>
          <w:szCs w:val="24"/>
        </w:rPr>
        <w:t xml:space="preserve"> has </w:t>
      </w:r>
      <w:r w:rsidR="003F05E3" w:rsidRPr="003F05E3">
        <w:rPr>
          <w:rFonts w:ascii="Times New Roman" w:hAnsi="Times New Roman" w:cs="Times New Roman"/>
          <w:b/>
          <w:sz w:val="24"/>
          <w:szCs w:val="24"/>
        </w:rPr>
        <w:t>33.40%</w:t>
      </w:r>
      <w:r w:rsidR="003F05E3">
        <w:rPr>
          <w:rFonts w:ascii="Times New Roman" w:hAnsi="Times New Roman" w:cs="Times New Roman"/>
          <w:sz w:val="24"/>
          <w:szCs w:val="24"/>
        </w:rPr>
        <w:t xml:space="preserve"> rate of default. The </w:t>
      </w:r>
      <w:r w:rsidR="003F05E3" w:rsidRPr="003F05E3">
        <w:rPr>
          <w:rFonts w:ascii="Times New Roman" w:hAnsi="Times New Roman" w:cs="Times New Roman"/>
          <w:b/>
          <w:sz w:val="24"/>
          <w:szCs w:val="24"/>
        </w:rPr>
        <w:t>income to interest</w:t>
      </w:r>
      <w:r w:rsidR="003F05E3">
        <w:rPr>
          <w:rFonts w:ascii="Times New Roman" w:hAnsi="Times New Roman" w:cs="Times New Roman"/>
          <w:b/>
          <w:sz w:val="24"/>
          <w:szCs w:val="24"/>
        </w:rPr>
        <w:t xml:space="preserve"> payment</w:t>
      </w:r>
      <w:r w:rsidR="003F05E3" w:rsidRPr="003F05E3">
        <w:rPr>
          <w:rFonts w:ascii="Times New Roman" w:hAnsi="Times New Roman" w:cs="Times New Roman"/>
          <w:b/>
          <w:sz w:val="24"/>
          <w:szCs w:val="24"/>
        </w:rPr>
        <w:t xml:space="preserve"> of 1%, 2% and 3%</w:t>
      </w:r>
      <w:r w:rsidR="003F05E3">
        <w:rPr>
          <w:rFonts w:ascii="Times New Roman" w:hAnsi="Times New Roman" w:cs="Times New Roman"/>
          <w:sz w:val="24"/>
          <w:szCs w:val="24"/>
        </w:rPr>
        <w:t xml:space="preserve"> has a default rate between </w:t>
      </w:r>
      <w:r w:rsidR="003F05E3" w:rsidRPr="003F05E3">
        <w:rPr>
          <w:rFonts w:ascii="Times New Roman" w:hAnsi="Times New Roman" w:cs="Times New Roman"/>
          <w:b/>
          <w:sz w:val="24"/>
          <w:szCs w:val="24"/>
        </w:rPr>
        <w:t>25%</w:t>
      </w:r>
      <w:r w:rsidR="003F05E3">
        <w:rPr>
          <w:rFonts w:ascii="Times New Roman" w:hAnsi="Times New Roman" w:cs="Times New Roman"/>
          <w:sz w:val="24"/>
          <w:szCs w:val="24"/>
        </w:rPr>
        <w:t xml:space="preserve"> - </w:t>
      </w:r>
      <w:r w:rsidR="003F05E3" w:rsidRPr="003F05E3">
        <w:rPr>
          <w:rFonts w:ascii="Times New Roman" w:hAnsi="Times New Roman" w:cs="Times New Roman"/>
          <w:b/>
          <w:sz w:val="24"/>
          <w:szCs w:val="24"/>
        </w:rPr>
        <w:t>27%</w:t>
      </w:r>
      <w:r w:rsidR="003F05E3">
        <w:rPr>
          <w:rFonts w:ascii="Times New Roman" w:hAnsi="Times New Roman" w:cs="Times New Roman"/>
          <w:sz w:val="24"/>
          <w:szCs w:val="24"/>
        </w:rPr>
        <w:t>.</w:t>
      </w:r>
    </w:p>
    <w:p w:rsidR="003F05E3" w:rsidRPr="003F05E3" w:rsidRDefault="003F05E3" w:rsidP="003F05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F05E3" w:rsidRPr="00A0108E" w:rsidRDefault="003F05E3" w:rsidP="00BB0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Risk by House Ownership: </w:t>
      </w:r>
      <w:r w:rsidR="00A0108E" w:rsidRPr="00A0108E">
        <w:rPr>
          <w:rFonts w:ascii="Times New Roman" w:hAnsi="Times New Roman" w:cs="Times New Roman"/>
          <w:b/>
          <w:sz w:val="24"/>
          <w:szCs w:val="24"/>
        </w:rPr>
        <w:t>O</w:t>
      </w:r>
      <w:r w:rsidR="00A83466" w:rsidRPr="00A0108E">
        <w:rPr>
          <w:rFonts w:ascii="Times New Roman" w:hAnsi="Times New Roman" w:cs="Times New Roman"/>
          <w:b/>
          <w:sz w:val="24"/>
          <w:szCs w:val="24"/>
        </w:rPr>
        <w:t>wners</w:t>
      </w:r>
      <w:r w:rsidR="00A83466">
        <w:rPr>
          <w:rFonts w:ascii="Times New Roman" w:hAnsi="Times New Roman" w:cs="Times New Roman"/>
          <w:sz w:val="24"/>
          <w:szCs w:val="24"/>
        </w:rPr>
        <w:t xml:space="preserve"> have a low default percentage of </w:t>
      </w:r>
      <w:r w:rsidR="00A83466" w:rsidRPr="00A0108E">
        <w:rPr>
          <w:rFonts w:ascii="Times New Roman" w:hAnsi="Times New Roman" w:cs="Times New Roman"/>
          <w:b/>
          <w:sz w:val="24"/>
          <w:szCs w:val="24"/>
        </w:rPr>
        <w:t>26.01%</w:t>
      </w:r>
      <w:r w:rsidR="00A83466">
        <w:rPr>
          <w:rFonts w:ascii="Times New Roman" w:hAnsi="Times New Roman" w:cs="Times New Roman"/>
          <w:sz w:val="24"/>
          <w:szCs w:val="24"/>
        </w:rPr>
        <w:t xml:space="preserve"> out of the </w:t>
      </w:r>
      <w:r w:rsidR="00A83466" w:rsidRPr="00A0108E">
        <w:rPr>
          <w:rFonts w:ascii="Times New Roman" w:hAnsi="Times New Roman" w:cs="Times New Roman"/>
          <w:b/>
          <w:sz w:val="24"/>
          <w:szCs w:val="24"/>
        </w:rPr>
        <w:t>713</w:t>
      </w:r>
      <w:r w:rsidR="00A83466">
        <w:rPr>
          <w:rFonts w:ascii="Times New Roman" w:hAnsi="Times New Roman" w:cs="Times New Roman"/>
          <w:sz w:val="24"/>
          <w:szCs w:val="24"/>
        </w:rPr>
        <w:t xml:space="preserve"> applicants. The applicants in the </w:t>
      </w:r>
      <w:r w:rsidR="00A83466" w:rsidRPr="00A0108E">
        <w:rPr>
          <w:rFonts w:ascii="Times New Roman" w:hAnsi="Times New Roman" w:cs="Times New Roman"/>
          <w:b/>
          <w:sz w:val="24"/>
          <w:szCs w:val="24"/>
        </w:rPr>
        <w:t>rent</w:t>
      </w:r>
      <w:r w:rsidR="00A83466">
        <w:rPr>
          <w:rFonts w:ascii="Times New Roman" w:hAnsi="Times New Roman" w:cs="Times New Roman"/>
          <w:sz w:val="24"/>
          <w:szCs w:val="24"/>
        </w:rPr>
        <w:t xml:space="preserve"> and </w:t>
      </w:r>
      <w:r w:rsidR="00A83466" w:rsidRPr="00A0108E">
        <w:rPr>
          <w:rFonts w:ascii="Times New Roman" w:hAnsi="Times New Roman" w:cs="Times New Roman"/>
          <w:b/>
          <w:sz w:val="24"/>
          <w:szCs w:val="24"/>
        </w:rPr>
        <w:t>othe</w:t>
      </w:r>
      <w:r w:rsidR="00A83466">
        <w:rPr>
          <w:rFonts w:ascii="Times New Roman" w:hAnsi="Times New Roman" w:cs="Times New Roman"/>
          <w:sz w:val="24"/>
          <w:szCs w:val="24"/>
        </w:rPr>
        <w:t>r</w:t>
      </w:r>
      <w:r w:rsidR="00A0108E">
        <w:rPr>
          <w:rFonts w:ascii="Times New Roman" w:hAnsi="Times New Roman" w:cs="Times New Roman"/>
          <w:sz w:val="24"/>
          <w:szCs w:val="24"/>
        </w:rPr>
        <w:t xml:space="preserve"> have a default percentage of </w:t>
      </w:r>
      <w:r w:rsidR="00A0108E" w:rsidRPr="00A0108E">
        <w:rPr>
          <w:rFonts w:ascii="Times New Roman" w:hAnsi="Times New Roman" w:cs="Times New Roman"/>
          <w:b/>
          <w:sz w:val="24"/>
          <w:szCs w:val="24"/>
        </w:rPr>
        <w:t xml:space="preserve">39.11% </w:t>
      </w:r>
      <w:r w:rsidR="00A0108E">
        <w:rPr>
          <w:rFonts w:ascii="Times New Roman" w:hAnsi="Times New Roman" w:cs="Times New Roman"/>
          <w:sz w:val="24"/>
          <w:szCs w:val="24"/>
        </w:rPr>
        <w:t xml:space="preserve">and </w:t>
      </w:r>
      <w:r w:rsidR="00A0108E" w:rsidRPr="00A0108E">
        <w:rPr>
          <w:rFonts w:ascii="Times New Roman" w:hAnsi="Times New Roman" w:cs="Times New Roman"/>
          <w:b/>
          <w:sz w:val="24"/>
          <w:szCs w:val="24"/>
        </w:rPr>
        <w:t>40.74%</w:t>
      </w:r>
      <w:r w:rsidR="00A0108E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A0108E" w:rsidRPr="00A0108E" w:rsidRDefault="00A0108E" w:rsidP="00A010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0108E" w:rsidRPr="00A0108E" w:rsidRDefault="00A0108E" w:rsidP="00BB0F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Default Risk by Age Bracket: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0108E">
        <w:rPr>
          <w:rFonts w:ascii="Times New Roman" w:hAnsi="Times New Roman" w:cs="Times New Roman"/>
          <w:b/>
          <w:sz w:val="24"/>
          <w:szCs w:val="24"/>
        </w:rPr>
        <w:t>age bracket of 18 – 30</w:t>
      </w:r>
      <w:r>
        <w:rPr>
          <w:rFonts w:ascii="Times New Roman" w:hAnsi="Times New Roman" w:cs="Times New Roman"/>
          <w:sz w:val="24"/>
          <w:szCs w:val="24"/>
        </w:rPr>
        <w:t xml:space="preserve"> presents a high default percentage of </w:t>
      </w:r>
      <w:r w:rsidRPr="00A0108E">
        <w:rPr>
          <w:rFonts w:ascii="Times New Roman" w:hAnsi="Times New Roman" w:cs="Times New Roman"/>
          <w:b/>
          <w:sz w:val="24"/>
          <w:szCs w:val="24"/>
        </w:rPr>
        <w:t>36.01%</w:t>
      </w:r>
      <w:r>
        <w:rPr>
          <w:rFonts w:ascii="Times New Roman" w:hAnsi="Times New Roman" w:cs="Times New Roman"/>
          <w:sz w:val="24"/>
          <w:szCs w:val="24"/>
        </w:rPr>
        <w:t xml:space="preserve">, this contrast the </w:t>
      </w:r>
      <w:r w:rsidRPr="00A0108E">
        <w:rPr>
          <w:rFonts w:ascii="Times New Roman" w:hAnsi="Times New Roman" w:cs="Times New Roman"/>
          <w:b/>
          <w:sz w:val="24"/>
          <w:szCs w:val="24"/>
        </w:rPr>
        <w:t>age bracket of 30 – 55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0108E">
        <w:rPr>
          <w:rFonts w:ascii="Times New Roman" w:hAnsi="Times New Roman" w:cs="Times New Roman"/>
          <w:b/>
          <w:sz w:val="24"/>
          <w:szCs w:val="24"/>
        </w:rPr>
        <w:t>age bracket of 55-75</w:t>
      </w:r>
      <w:r>
        <w:rPr>
          <w:rFonts w:ascii="Times New Roman" w:hAnsi="Times New Roman" w:cs="Times New Roman"/>
          <w:sz w:val="24"/>
          <w:szCs w:val="24"/>
        </w:rPr>
        <w:t xml:space="preserve">, which stands at </w:t>
      </w:r>
      <w:r w:rsidRPr="00A0108E">
        <w:rPr>
          <w:rFonts w:ascii="Times New Roman" w:hAnsi="Times New Roman" w:cs="Times New Roman"/>
          <w:b/>
          <w:sz w:val="24"/>
          <w:szCs w:val="24"/>
        </w:rPr>
        <w:t>25.68%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0108E">
        <w:rPr>
          <w:rFonts w:ascii="Times New Roman" w:hAnsi="Times New Roman" w:cs="Times New Roman"/>
          <w:b/>
          <w:sz w:val="24"/>
          <w:szCs w:val="24"/>
        </w:rPr>
        <w:t>26.76%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108E" w:rsidRPr="00A0108E" w:rsidRDefault="00A0108E" w:rsidP="00A010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0108E" w:rsidRDefault="00A273DA" w:rsidP="00A010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Recommendations</w:t>
      </w:r>
    </w:p>
    <w:p w:rsidR="00824814" w:rsidRPr="008A39AA" w:rsidRDefault="00824814" w:rsidP="008248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8A39AA">
        <w:rPr>
          <w:rFonts w:ascii="Times New Roman" w:hAnsi="Times New Roman" w:cs="Times New Roman"/>
          <w:b/>
          <w:sz w:val="24"/>
          <w:szCs w:val="24"/>
        </w:rPr>
        <w:t>Set a minimum balance requirement for loan eligibility</w:t>
      </w:r>
      <w:r w:rsidR="008A39A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A39AA">
        <w:rPr>
          <w:rFonts w:ascii="Times New Roman" w:hAnsi="Times New Roman" w:cs="Times New Roman"/>
          <w:sz w:val="24"/>
          <w:szCs w:val="24"/>
        </w:rPr>
        <w:t>Applicants with a higher savings and checking balance had a low percentage of default compared to applicants with less savings and checking balance. Filter out financially unstable applicants, especially those with negative savings and checking balance.</w:t>
      </w:r>
    </w:p>
    <w:p w:rsidR="008A39AA" w:rsidRPr="008A39AA" w:rsidRDefault="008A39AA" w:rsidP="008A39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A39AA" w:rsidRPr="00065EFA" w:rsidRDefault="008A39AA" w:rsidP="008A39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 loan amounts and durations: </w:t>
      </w:r>
      <w:r>
        <w:rPr>
          <w:rFonts w:ascii="Times New Roman" w:hAnsi="Times New Roman" w:cs="Times New Roman"/>
          <w:sz w:val="24"/>
          <w:szCs w:val="24"/>
        </w:rPr>
        <w:t xml:space="preserve">For high risk applicants, especially applicants with low savings and checking balance, the amount range of 10K – 20K </w:t>
      </w:r>
      <w:r w:rsidR="00065EFA">
        <w:rPr>
          <w:rFonts w:ascii="Times New Roman" w:hAnsi="Times New Roman" w:cs="Times New Roman"/>
          <w:sz w:val="24"/>
          <w:szCs w:val="24"/>
        </w:rPr>
        <w:t>should be made ineligible. A period of less than 24 months should be the enforced as the benchmark duration for loans.</w:t>
      </w:r>
    </w:p>
    <w:p w:rsidR="00065EFA" w:rsidRPr="00065EFA" w:rsidRDefault="00065EFA" w:rsidP="00065E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65EFA" w:rsidRPr="002A054E" w:rsidRDefault="00065EFA" w:rsidP="008A39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Require additional safeguard for younger applicants: </w:t>
      </w:r>
      <w:r w:rsidR="00AF17C3">
        <w:rPr>
          <w:rFonts w:ascii="Times New Roman" w:hAnsi="Times New Roman" w:cs="Times New Roman"/>
          <w:sz w:val="24"/>
          <w:szCs w:val="24"/>
        </w:rPr>
        <w:t>Applicants between 18 – 25 years have the highest default rate (36.01%) compared to other age bracket at around 26% default rate. Younger applicants may lack financial stability or experience. Co-signers or collateral should be a requirement to help mitigate risk and the loans should be set for smaller amounts.</w:t>
      </w:r>
    </w:p>
    <w:p w:rsidR="002A054E" w:rsidRPr="002A054E" w:rsidRDefault="002A054E" w:rsidP="002A05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A054E" w:rsidRDefault="002A054E" w:rsidP="002A0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Limitations</w:t>
      </w:r>
    </w:p>
    <w:p w:rsidR="002A054E" w:rsidRPr="00EE102F" w:rsidRDefault="00EE102F" w:rsidP="002A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savings balance and checking balance columns has a large number of   “unknown” as values. In my analysis of default risk by saving and checking balance columns, I ignored all unknown values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and worked only with applicants with verified balance for both the savings and checking balance.</w:t>
      </w:r>
    </w:p>
    <w:p w:rsidR="00A273DA" w:rsidRPr="00A0108E" w:rsidRDefault="00A273DA" w:rsidP="00A0108E">
      <w:pPr>
        <w:rPr>
          <w:rFonts w:ascii="Times New Roman" w:hAnsi="Times New Roman" w:cs="Times New Roman"/>
          <w:b/>
          <w:sz w:val="24"/>
          <w:szCs w:val="24"/>
        </w:rPr>
      </w:pPr>
    </w:p>
    <w:p w:rsidR="005B2296" w:rsidRPr="005B2296" w:rsidRDefault="005B2296" w:rsidP="005B2296">
      <w:pPr>
        <w:rPr>
          <w:rFonts w:ascii="Times New Roman" w:hAnsi="Times New Roman" w:cs="Times New Roman"/>
          <w:sz w:val="24"/>
          <w:szCs w:val="24"/>
        </w:rPr>
      </w:pPr>
    </w:p>
    <w:p w:rsidR="006F6659" w:rsidRPr="006F6659" w:rsidRDefault="006F6659" w:rsidP="006F6659">
      <w:pPr>
        <w:rPr>
          <w:rFonts w:ascii="Times New Roman" w:hAnsi="Times New Roman" w:cs="Times New Roman"/>
          <w:b/>
          <w:sz w:val="24"/>
          <w:szCs w:val="24"/>
        </w:rPr>
      </w:pPr>
    </w:p>
    <w:p w:rsidR="00870158" w:rsidRPr="00B8793B" w:rsidRDefault="00870158" w:rsidP="00B8793B">
      <w:pPr>
        <w:rPr>
          <w:rFonts w:ascii="Times New Roman" w:hAnsi="Times New Roman" w:cs="Times New Roman"/>
          <w:sz w:val="24"/>
          <w:szCs w:val="24"/>
        </w:rPr>
      </w:pPr>
    </w:p>
    <w:p w:rsidR="00B8793B" w:rsidRPr="00B8793B" w:rsidRDefault="00B8793B" w:rsidP="00B8793B">
      <w:pPr>
        <w:rPr>
          <w:rFonts w:ascii="Times New Roman" w:hAnsi="Times New Roman" w:cs="Times New Roman"/>
          <w:b/>
          <w:sz w:val="24"/>
          <w:szCs w:val="24"/>
        </w:rPr>
      </w:pPr>
    </w:p>
    <w:p w:rsidR="00E27271" w:rsidRPr="00E27271" w:rsidRDefault="00E27271">
      <w:pPr>
        <w:rPr>
          <w:rFonts w:ascii="Times New Roman" w:hAnsi="Times New Roman" w:cs="Times New Roman"/>
          <w:b/>
          <w:sz w:val="28"/>
          <w:szCs w:val="28"/>
        </w:rPr>
      </w:pPr>
    </w:p>
    <w:sectPr w:rsidR="00E27271" w:rsidRPr="00E2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43C3"/>
    <w:multiLevelType w:val="hybridMultilevel"/>
    <w:tmpl w:val="F1921A16"/>
    <w:lvl w:ilvl="0" w:tplc="44C22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3C63"/>
    <w:multiLevelType w:val="hybridMultilevel"/>
    <w:tmpl w:val="C8D882A0"/>
    <w:lvl w:ilvl="0" w:tplc="8AC8B8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A7405"/>
    <w:multiLevelType w:val="hybridMultilevel"/>
    <w:tmpl w:val="78C8F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40153"/>
    <w:multiLevelType w:val="hybridMultilevel"/>
    <w:tmpl w:val="C018CB96"/>
    <w:lvl w:ilvl="0" w:tplc="CFB26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17881"/>
    <w:multiLevelType w:val="hybridMultilevel"/>
    <w:tmpl w:val="BD0295A0"/>
    <w:lvl w:ilvl="0" w:tplc="F25E8C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718C8"/>
    <w:multiLevelType w:val="hybridMultilevel"/>
    <w:tmpl w:val="EBCA3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668E"/>
    <w:multiLevelType w:val="hybridMultilevel"/>
    <w:tmpl w:val="C48E0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71"/>
    <w:rsid w:val="00057AAF"/>
    <w:rsid w:val="00065EFA"/>
    <w:rsid w:val="00130F73"/>
    <w:rsid w:val="00264469"/>
    <w:rsid w:val="002A054E"/>
    <w:rsid w:val="002A41BD"/>
    <w:rsid w:val="0039314E"/>
    <w:rsid w:val="003F05E3"/>
    <w:rsid w:val="00402AF3"/>
    <w:rsid w:val="005B2296"/>
    <w:rsid w:val="006F6659"/>
    <w:rsid w:val="007A1FB3"/>
    <w:rsid w:val="00824814"/>
    <w:rsid w:val="00870158"/>
    <w:rsid w:val="008A39AA"/>
    <w:rsid w:val="00A0108E"/>
    <w:rsid w:val="00A273DA"/>
    <w:rsid w:val="00A83466"/>
    <w:rsid w:val="00AF17C3"/>
    <w:rsid w:val="00B7457F"/>
    <w:rsid w:val="00B8793B"/>
    <w:rsid w:val="00B97DC6"/>
    <w:rsid w:val="00BB0F3C"/>
    <w:rsid w:val="00CA072B"/>
    <w:rsid w:val="00E1721A"/>
    <w:rsid w:val="00E27271"/>
    <w:rsid w:val="00EA41E4"/>
    <w:rsid w:val="00EE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408"/>
  <w15:chartTrackingRefBased/>
  <w15:docId w15:val="{0A522C63-1842-4D46-ACAB-7E5E9E33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2025-10-06T04:47:00Z</dcterms:created>
  <dcterms:modified xsi:type="dcterms:W3CDTF">2025-10-07T11:06:00Z</dcterms:modified>
</cp:coreProperties>
</file>