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e16bacebe623ef120a25f52c175073e3c3ba62b"/>
    <w:p>
      <w:pPr>
        <w:pStyle w:val="Title"/>
      </w:pPr>
      <w:r>
        <w:t xml:space="preserve">The Mirror Cube, the Self-Referential Unit, and P versus NP</w:t>
      </w:r>
    </w:p>
    <w:p>
      <w:pPr>
        <w:pStyle w:val="FirstParagraph"/>
      </w:pPr>
      <w:r>
        <w:rPr>
          <w:b/>
          <w:bCs/>
        </w:rPr>
        <w:t xml:space="preserve">Request for independent review · Relational Geometry Program</w:t>
      </w:r>
      <w:r>
        <w:br/>
      </w:r>
      <w:r>
        <w:rPr>
          <w:b/>
          <w:bCs/>
        </w:rPr>
        <w:t xml:space="preserve">Le Matt Ansatz Di Ego · October 30, 2026 · expanded edition incorporating T-EXT-01</w:t>
      </w:r>
      <w:r>
        <w:br/>
      </w:r>
      <w:r>
        <w:rPr>
          <w:b/>
          <w:bCs/>
        </w:rPr>
        <w:t xml:space="preserve">Repository:</w:t>
      </w:r>
      <w:r>
        <w:t xml:space="preserve"> </w:t>
      </w:r>
      <w:hyperlink r:id="rId20">
        <w:r>
          <w:rPr>
            <w:rStyle w:val="Hyperlink"/>
          </w:rPr>
          <w:t xml:space="preserve">https://github.com/EndlessMonkeyProyect/programa-geometria-relacional</w:t>
        </w:r>
      </w:hyperlink>
    </w:p>
    <w:bookmarkStart w:id="21" w:name="the-request-in-brief"/>
    <w:p>
      <w:pPr>
        <w:pStyle w:val="Heading2"/>
      </w:pPr>
      <w:r>
        <w:t xml:space="preserve">The request in brief</w:t>
      </w:r>
    </w:p>
    <w:p>
      <w:pPr>
        <w:pStyle w:val="FirstParagraph"/>
      </w:pPr>
      <w:r>
        <w:t xml:space="preserve">We request an independent review of</w:t>
      </w:r>
      <w:r>
        <w:t xml:space="preserve"> </w:t>
      </w:r>
      <w:r>
        <w:rPr>
          <w:b/>
          <w:bCs/>
        </w:rPr>
        <w:t xml:space="preserve">the development as a whole</w:t>
      </w:r>
      <w:r>
        <w:t xml:space="preserve">, from its ontological organizing principle to its logical and mathematical realizations and the question of computational cost in 3-coloring. The starting point is a unit understood as a</w:t>
      </w:r>
      <w:r>
        <w:t xml:space="preserve"> </w:t>
      </w:r>
      <w:r>
        <w:rPr>
          <w:b/>
          <w:bCs/>
        </w:rPr>
        <w:t xml:space="preserve">self-referential space defined by the radius of the relations that sustain it</w:t>
      </w:r>
      <w:r>
        <w:t xml:space="preserve">. Uncertainty expresses the indeterminacy of its nature relative to a reference and a query; it is not an additional object introduced into the unit.</w:t>
      </w:r>
    </w:p>
    <w:p>
      <w:pPr>
        <w:pStyle w:val="BodyText"/>
      </w:pPr>
      <w:r>
        <w:t xml:space="preserve">The mirror enclosure provides a setting in which to examine reflection, focus, interior and exterior, normalization, and changes of reference. The sphere and circuit laboratories, R–01 modular arithmetic, and the developments R4, R5, R6, T-EXT-01, and R–04 realize parts of this investigation under different contracts. In the P-versus-NP branch, the question becomes testable:</w:t>
      </w:r>
      <w:r>
        <w:t xml:space="preserve"> </w:t>
      </w:r>
      <w:r>
        <w:rPr>
          <w:b/>
          <w:bCs/>
        </w:rPr>
        <w:t xml:space="preserve">which distinctions must be preserved, recovered, or certified when an instance’s relations change, and what is the total cost of doing so?</w:t>
      </w:r>
    </w:p>
    <w:p>
      <w:pPr>
        <w:pStyle w:val="BodyText"/>
      </w:pPr>
      <w:r>
        <w:t xml:space="preserve">We do not ask reviewers to accept a correspondence because it is intuitively explanatory. We ask them to assess</w:t>
      </w:r>
      <w:r>
        <w:t xml:space="preserve"> </w:t>
      </w:r>
      <w:r>
        <w:rPr>
          <w:b/>
          <w:bCs/>
        </w:rPr>
        <w:t xml:space="preserve">definitions, assumptions, proofs, reproducible data, correspondences, and barriers</w:t>
      </w:r>
      <w:r>
        <w:t xml:space="preserve"> </w:t>
      </w:r>
      <w:r>
        <w:t xml:space="preserve">on their own terms. A review that identifies a known equivalent formulation, a missing hypothesis, a better-defined operation, or a counterexample in even one section would be a valuable contribution.</w:t>
      </w:r>
    </w:p>
    <w:p>
      <w:pPr>
        <w:pStyle w:val="BodyText"/>
      </w:pPr>
      <w:r>
        <w:rPr>
          <w:b/>
          <w:bCs/>
        </w:rPr>
        <w:t xml:space="preserve">New result included.</w:t>
      </w:r>
      <w:r>
        <w:t xml:space="preserve"> </w:t>
      </w:r>
      <w:r>
        <w:t xml:space="preserve">T-EXT-01 establishes a lower bound of</w:t>
      </w:r>
      <w:r>
        <w:t xml:space="preserve"> </w:t>
      </w:r>
      <m:oMath>
        <m:r>
          <m:rPr>
            <m:sty m:val="p"/>
          </m:rPr>
          <m:t>⌊</m:t>
        </m:r>
        <m:sSup>
          <m:e>
            <m:r>
              <m:t>n</m:t>
            </m:r>
          </m:e>
          <m:sup>
            <m:r>
              <m:t>2</m:t>
            </m:r>
          </m:sup>
        </m:sSup>
        <m:r>
          <m:rPr>
            <m:sty m:val="p"/>
          </m:rPr>
          <m:t>/</m:t>
        </m:r>
        <m:r>
          <m:t>4</m:t>
        </m:r>
        <m:r>
          <m:rPr>
            <m:sty m:val="p"/>
          </m:rPr>
          <m:t>⌋</m:t>
        </m:r>
      </m:oMath>
      <w:r>
        <w:t xml:space="preserve"> </w:t>
      </w:r>
      <w:r>
        <w:t xml:space="preserve">bits for self-sufficient signatures answering all exterior continuations</w:t>
      </w:r>
      <w:r>
        <w:t xml:space="preserve"> </w:t>
      </w:r>
      <m:oMath>
        <m:sSub>
          <m:e>
            <m:r>
              <m:t>D</m:t>
            </m:r>
          </m:e>
          <m:sub>
            <m:r>
              <m:t>u</m:t>
            </m:r>
            <m:r>
              <m:t>v</m:t>
            </m:r>
          </m:sub>
        </m:sSub>
      </m:oMath>
      <w:r>
        <w:t xml:space="preserve"> </w:t>
      </w:r>
      <w:r>
        <w:t xml:space="preserve">on a bipartite family with a full interface. This is a quadratic information lower bound, not a time lower bound or a proof of either side of P versus NP.</w:t>
      </w:r>
    </w:p>
    <w:p>
      <w:pPr>
        <w:pStyle w:val="BodyText"/>
      </w:pPr>
      <w:r>
        <w:rPr>
          <w:b/>
          <w:bCs/>
        </w:rPr>
        <w:t xml:space="preserve">Scope labels.</w:t>
      </w:r>
      <w:r>
        <w:t xml:space="preserve"> </w:t>
      </w:r>
      <w:r>
        <w:t xml:space="preserve">[O] denotes an ontological formulation; [T], a proposition with proof under stated assumptions; [C], an identified classical result; [E], a reported or supplied finite computation; [I], an interpretive correspondence; and [A], an open question or conjecture. A connection between laboratories is not treated as a mathematical implication until a map preserving the relevant operations and observables has been specified.</w:t>
      </w:r>
    </w:p>
    <w:bookmarkEnd w:id="21"/>
    <w:bookmarkStart w:id="23" w:name="X030d89b4d6030e12d38cb4ce408f29378a51ca3"/>
    <w:p>
      <w:pPr>
        <w:pStyle w:val="Heading2"/>
      </w:pPr>
      <w:r>
        <w:t xml:space="preserve">1. The thread: unit, reference, radius, and relational nature [O]</w:t>
      </w:r>
    </w:p>
    <w:p>
      <w:pPr>
        <w:pStyle w:val="FirstParagraph"/>
      </w:pPr>
      <w:r>
        <w:t xml:space="preserve">A unit</w:t>
      </w:r>
      <w:r>
        <w:t xml:space="preserve"> </w:t>
      </w:r>
      <w:r>
        <w:rPr>
          <w:b/>
          <w:bCs/>
        </w:rPr>
        <w:t xml:space="preserve">does not necessarily arise when images meet</w:t>
      </w:r>
      <w:r>
        <w:t xml:space="preserve">. It is recognized as a self-referential space because an organization of relations defines its own domain of comparison. We call the</w:t>
      </w:r>
      <w:r>
        <w:t xml:space="preserve"> </w:t>
      </w:r>
      <w:r>
        <w:rPr>
          <w:b/>
          <w:bCs/>
        </w:rPr>
        <w:t xml:space="preserve">relational radius</w:t>
      </w:r>
      <w:r>
        <w:t xml:space="preserve"> </w:t>
      </w:r>
      <w:r>
        <w:t xml:space="preserve">the reach of that organization: which relations participate in the reference through which the unit is recognized and which sustain its continuity. This radius need not be Euclidean distance, a material surface, or a single numerical value. Each realization must specify how it is determined.</w:t>
      </w:r>
    </w:p>
    <w:p>
      <w:pPr>
        <w:pStyle w:val="BodyText"/>
      </w:pPr>
      <w:r>
        <w:rPr>
          <w:b/>
          <w:bCs/>
        </w:rPr>
        <w:t xml:space="preserve">Contextual uncertainty</w:t>
      </w:r>
      <w:r>
        <w:t xml:space="preserve"> </w:t>
      </w:r>
      <w:r>
        <w:t xml:space="preserve">is not another entity. It expresses those distinctions concerning the unit’s nature that remain undetermined under the chosen frame and query. An exterior perspective may recognize the unit while not determining its interior; an interior perspective may have access to relations absent from the exterior signature.</w:t>
      </w:r>
    </w:p>
    <w:p>
      <w:pPr>
        <w:pStyle w:val="BodyText"/>
      </w:pPr>
      <w:r>
        <w:t xml:space="preserve">A</w:t>
      </w:r>
      <w:r>
        <w:t xml:space="preserve"> </w:t>
      </w:r>
      <w:r>
        <w:rPr>
          <w:b/>
          <w:bCs/>
        </w:rPr>
        <w:t xml:space="preserve">reflection</w:t>
      </w:r>
      <w:r>
        <w:t xml:space="preserve"> </w:t>
      </w:r>
      <w:r>
        <w:t xml:space="preserve">establishes relations between manifestations and references. Two paths of opposite orientation may reach the same focus; agreement in observed position does not imply agreement in orientation, provenance, or phase. The focus may itself belong to the system. Thus, a meeting is</w:t>
      </w:r>
      <w:r>
        <w:t xml:space="preserve"> </w:t>
      </w:r>
      <w:r>
        <w:rPr>
          <w:b/>
          <w:bCs/>
        </w:rPr>
        <w:t xml:space="preserve">a query relative to a reference</w:t>
      </w:r>
      <w:r>
        <w:t xml:space="preserve">, not automatic evidence that a unit has come into existence or achieved self-closure.</w:t>
      </w:r>
    </w:p>
    <w:p>
      <w:pPr>
        <w:pStyle w:val="BodyText"/>
      </w:pPr>
      <w:r>
        <w:rPr>
          <w:b/>
          <w:bCs/>
        </w:rPr>
        <w:t xml:space="preserve">Normalization</w:t>
      </w:r>
      <w:r>
        <w:t xml:space="preserve"> </w:t>
      </w:r>
      <w:r>
        <w:t xml:space="preserve">expresses how distinct references or scales are compared while preserving the relations declared in the model.</w:t>
      </w:r>
      <w:r>
        <w:t xml:space="preserve"> </w:t>
      </w:r>
      <w:r>
        <w:rPr>
          <w:b/>
          <w:bCs/>
        </w:rPr>
        <w:t xml:space="preserve">Self-closure</w:t>
      </w:r>
      <w:r>
        <w:t xml:space="preserve"> </w:t>
      </w:r>
      <w:r>
        <w:t xml:space="preserve">(</w:t>
      </w:r>
      <w:r>
        <w:rPr>
          <w:i/>
          <w:iCs/>
        </w:rPr>
        <w:t xml:space="preserve">cierre en sí</w:t>
      </w:r>
      <w:r>
        <w:t xml:space="preserve">) names the continuity of a self-referential organization: testing it requires an internal reference, admissible transformations, and observables that remain compatible. A unit may, in turn, participate in a larger unit without necessarily losing its interior information. This yields a structure of</w:t>
      </w:r>
      <w:r>
        <w:t xml:space="preserve"> </w:t>
      </w:r>
      <w:r>
        <w:rPr>
          <w:b/>
          <w:bCs/>
        </w:rPr>
        <w:t xml:space="preserve">units of units</w:t>
      </w:r>
      <w:r>
        <w:t xml:space="preserve">.</w:t>
      </w:r>
    </w:p>
    <w:p>
      <w:pPr>
        <w:pStyle w:val="BodyText"/>
      </w:pPr>
      <w:r>
        <w:t xml:space="preserve">We propose the following genealogy of concepts for review:</w:t>
      </w:r>
    </w:p>
    <w:p>
      <w:pPr>
        <w:pStyle w:val="BodyText"/>
      </w:pPr>
      <w:r>
        <w:rPr>
          <w:b/>
          <w:bCs/>
        </w:rPr>
        <w:t xml:space="preserve">unit → self-reference → relational radius → relative uncertainty → reflection → normalization → self-closure → composition of units.</w:t>
      </w:r>
    </w:p>
    <w:p>
      <w:pPr>
        <w:pStyle w:val="BodyText"/>
      </w:pPr>
      <w:r>
        <w:t xml:space="preserve">This order is a research thread, not a causal theorem of physics. A singularity, understood here as a unit whose nature is not fully determined from an exterior reference, is not automatically a singularity in general relativity.</w:t>
      </w:r>
      <w:r>
        <w:t xml:space="preserve"> </w:t>
      </w:r>
      <w:r>
        <w:rPr>
          <w:b/>
          <w:bCs/>
        </w:rPr>
        <w:t xml:space="preserve">The mathematical propositions in the following sections depend on their explicit definitions and assumptions, not on accepting this ontological interpretation.</w:t>
      </w:r>
      <w:r>
        <w:t xml:space="preserve"> </w:t>
      </w:r>
      <w:r>
        <w:t xml:space="preserve">The ontology shapes the program’s questions and genealogy; proofs are assessed within their own models.</w:t>
      </w:r>
    </w:p>
    <w:bookmarkStart w:id="22" w:name="X984c488f687dfcd76ba45d2e7ca4f392806a73c"/>
    <w:p>
      <w:pPr>
        <w:pStyle w:val="Heading3"/>
      </w:pPr>
      <w:r>
        <w:t xml:space="preserve">What we ask reviewers to examine in this layer</w:t>
      </w:r>
    </w:p>
    <w:p>
      <w:pPr>
        <w:pStyle w:val="FirstParagraph"/>
      </w:pPr>
      <w:r>
        <w:t xml:space="preserve">We ask which existing notions—transition systems with interfaces, quotient theory, observational equivalence, and relational composition—most precisely model this language,</w:t>
      </w:r>
      <w:r>
        <w:t xml:space="preserve"> </w:t>
      </w:r>
      <w:r>
        <w:rPr>
          <w:b/>
          <w:bCs/>
        </w:rPr>
        <w:t xml:space="preserve">without equating a unit with merely the class of states indistinguishable to an observer</w:t>
      </w:r>
      <w:r>
        <w:t xml:space="preserve">. The program does not need a new name for an already represented entity; it needs an explicit account of the relation between an internal reference and the operations by which the unit is recognized.</w:t>
      </w:r>
    </w:p>
    <w:bookmarkEnd w:id="22"/>
    <w:bookmarkEnd w:id="23"/>
    <w:bookmarkStart w:id="24" w:name="X1ed403dad7ca5a870b3db8fe0430adcbfeaef24"/>
    <w:p>
      <w:pPr>
        <w:pStyle w:val="Heading2"/>
      </w:pPr>
      <w:r>
        <w:t xml:space="preserve">2. The mirror enclosure: reflection, orbits, and changing references [C/T/I]</w:t>
      </w:r>
    </w:p>
    <w:p>
      <w:pPr>
        <w:pStyle w:val="FirstParagraph"/>
      </w:pPr>
      <w:r>
        <w:t xml:space="preserve">In the one-dimensional section of O59, with two ideal mirrors at</w:t>
      </w:r>
      <w:r>
        <w:t xml:space="preserve"> </w:t>
      </w:r>
      <m:oMath>
        <m:r>
          <m:t>0</m:t>
        </m:r>
      </m:oMath>
      <w:r>
        <w:t xml:space="preserve"> </w:t>
      </w:r>
      <w:r>
        <w:t xml:space="preserve">and</w:t>
      </w:r>
      <w:r>
        <w:t xml:space="preserve"> </w:t>
      </w:r>
      <m:oMath>
        <m:r>
          <m:t>L</m:t>
        </m:r>
        <m:r>
          <m:rPr>
            <m:sty m:val="p"/>
          </m:rPr>
          <m:t>&gt;</m:t>
        </m:r>
        <m:r>
          <m:t>0</m:t>
        </m:r>
      </m:oMath>
      <w:r>
        <w:t xml:space="preserve">, the reflections are</w:t>
      </w:r>
    </w:p>
    <w:p>
      <w:pPr>
        <w:pStyle w:val="BodyText"/>
      </w:pPr>
      <m:oMathPara>
        <m:oMathParaPr>
          <m:jc m:val="center"/>
        </m:oMathParaPr>
        <m:oMath>
          <m:sSub>
            <m:e>
              <m:r>
                <m:t>s</m:t>
              </m:r>
            </m:e>
            <m:sub>
              <m:r>
                <m:t>0</m:t>
              </m:r>
            </m:sub>
          </m:sSub>
          <m:d>
            <m:dPr>
              <m:begChr m:val="("/>
              <m:endChr m:val=")"/>
              <m:sepChr m:val=""/>
              <m:grow/>
            </m:dPr>
            <m:e>
              <m:r>
                <m:t>x</m:t>
              </m:r>
            </m:e>
          </m:d>
          <m:r>
            <m:rPr>
              <m:sty m:val="p"/>
            </m:rPr>
            <m:t>=</m:t>
          </m:r>
          <m:r>
            <m:rPr>
              <m:sty m:val="p"/>
            </m:rPr>
            <m:t>−</m:t>
          </m:r>
          <m:r>
            <m:t>x</m:t>
          </m:r>
          <m:r>
            <m:rPr>
              <m:sty m:val="p"/>
            </m:rPr>
            <m:t>,</m:t>
          </m:r>
          <m:r>
            <m:t>  </m:t>
          </m:r>
          <m:sSub>
            <m:e>
              <m:r>
                <m:t>s</m:t>
              </m:r>
            </m:e>
            <m:sub>
              <m:r>
                <m:t>L</m:t>
              </m:r>
            </m:sub>
          </m:sSub>
          <m:d>
            <m:dPr>
              <m:begChr m:val="("/>
              <m:endChr m:val=")"/>
              <m:sepChr m:val=""/>
              <m:grow/>
            </m:dPr>
            <m:e>
              <m:r>
                <m:t>x</m:t>
              </m:r>
            </m:e>
          </m:d>
          <m:r>
            <m:rPr>
              <m:sty m:val="p"/>
            </m:rPr>
            <m:t>=</m:t>
          </m:r>
          <m:r>
            <m:t>2</m:t>
          </m:r>
          <m:r>
            <m:t>L</m:t>
          </m:r>
          <m:r>
            <m:rPr>
              <m:sty m:val="p"/>
            </m:rPr>
            <m:t>−</m:t>
          </m:r>
          <m:r>
            <m:t>x</m:t>
          </m:r>
          <m:r>
            <m:rPr>
              <m:sty m:val="p"/>
            </m:rPr>
            <m:t>.</m:t>
          </m:r>
        </m:oMath>
      </m:oMathPara>
    </w:p>
    <w:p>
      <w:pPr>
        <w:pStyle w:val="FirstParagraph"/>
      </w:pPr>
      <w:r>
        <w:t xml:space="preserve">They generate transformations</w:t>
      </w:r>
      <w:r>
        <w:t xml:space="preserve"> </w:t>
      </w:r>
      <m:oMath>
        <m:r>
          <m:t>x</m:t>
        </m:r>
        <m:r>
          <m:rPr>
            <m:sty m:val="p"/>
          </m:rPr>
          <m:t>↦</m:t>
        </m:r>
        <m:r>
          <m:rPr>
            <m:sty m:val="p"/>
          </m:rPr>
          <m:t>±</m:t>
        </m:r>
        <m:r>
          <m:t>x</m:t>
        </m:r>
        <m:r>
          <m:rPr>
            <m:sty m:val="p"/>
          </m:rPr>
          <m:t>+</m:t>
        </m:r>
        <m:r>
          <m:t>2</m:t>
        </m:r>
        <m:r>
          <m:t>k</m:t>
        </m:r>
        <m:r>
          <m:t>L</m:t>
        </m:r>
      </m:oMath>
      <w:r>
        <w:t xml:space="preserve"> </w:t>
      </w:r>
      <w:r>
        <w:t xml:space="preserve">for</w:t>
      </w:r>
      <w:r>
        <w:t xml:space="preserve"> </w:t>
      </w:r>
      <m:oMath>
        <m:r>
          <m:t>k</m:t>
        </m:r>
        <m:r>
          <m:rPr>
            <m:sty m:val="p"/>
          </m:rPr>
          <m:t>∈</m:t>
        </m:r>
        <m:r>
          <m:rPr>
            <m:sty m:val="p"/>
            <m:scr m:val="double-struck"/>
          </m:rPr>
          <m:t>Z</m:t>
        </m:r>
      </m:oMath>
      <w:r>
        <w:t xml:space="preserve">. The signature</w:t>
      </w:r>
    </w:p>
    <w:p>
      <w:pPr>
        <w:pStyle w:val="BodyText"/>
      </w:pPr>
      <m:oMathPara>
        <m:oMathParaPr>
          <m:jc m:val="center"/>
        </m:oMathParaPr>
        <m:oMath>
          <m:sSub>
            <m:e>
              <m:r>
                <m:t>ρ</m:t>
              </m:r>
            </m:e>
            <m:sub>
              <m:r>
                <m:t>L</m:t>
              </m:r>
            </m:sub>
          </m:sSub>
          <m:d>
            <m:dPr>
              <m:begChr m:val="("/>
              <m:endChr m:val=")"/>
              <m:sepChr m:val=""/>
              <m:grow/>
            </m:dPr>
            <m:e>
              <m:r>
                <m:t>x</m:t>
              </m:r>
            </m:e>
          </m:d>
          <m:r>
            <m:rPr>
              <m:sty m:val="p"/>
            </m:rPr>
            <m:t>=</m:t>
          </m:r>
          <m:r>
            <m:rPr>
              <m:sty m:val="p"/>
            </m:rPr>
            <m:t>dist</m:t>
          </m:r>
          <m:d>
            <m:dPr>
              <m:begChr m:val="("/>
              <m:endChr m:val=")"/>
              <m:sepChr m:val=""/>
              <m:grow/>
            </m:dPr>
            <m:e>
              <m:r>
                <m:t>x</m:t>
              </m:r>
              <m:r>
                <m:rPr>
                  <m:sty m:val="p"/>
                </m:rPr>
                <m:t>,</m:t>
              </m:r>
              <m:r>
                <m:t>2</m:t>
              </m:r>
              <m:r>
                <m:t>L</m:t>
              </m:r>
              <m:r>
                <m:rPr>
                  <m:sty m:val="p"/>
                  <m:scr m:val="double-struck"/>
                </m:rPr>
                <m:t>Z</m:t>
              </m:r>
            </m:e>
          </m:d>
        </m:oMath>
      </m:oMathPara>
    </w:p>
    <w:p>
      <w:pPr>
        <w:pStyle w:val="FirstParagraph"/>
      </w:pPr>
      <w:r>
        <w:t xml:space="preserve">characterizes exactly the orbits of the declared group:</w:t>
      </w:r>
      <w:r>
        <w:t xml:space="preserve"> </w:t>
      </w:r>
      <m:oMath>
        <m:sSub>
          <m:e>
            <m:r>
              <m:t>ρ</m:t>
            </m:r>
          </m:e>
          <m:sub>
            <m:r>
              <m:t>L</m:t>
            </m:r>
          </m:sub>
        </m:sSub>
        <m:d>
          <m:dPr>
            <m:begChr m:val="("/>
            <m:endChr m:val=")"/>
            <m:sepChr m:val=""/>
            <m:grow/>
          </m:dPr>
          <m:e>
            <m:r>
              <m:t>x</m:t>
            </m:r>
          </m:e>
        </m:d>
        <m:r>
          <m:rPr>
            <m:sty m:val="p"/>
          </m:rPr>
          <m:t>=</m:t>
        </m:r>
        <m:sSub>
          <m:e>
            <m:r>
              <m:t>ρ</m:t>
            </m:r>
          </m:e>
          <m:sub>
            <m:r>
              <m:t>L</m:t>
            </m:r>
          </m:sub>
        </m:sSub>
        <m:d>
          <m:dPr>
            <m:begChr m:val="("/>
            <m:endChr m:val=")"/>
            <m:sepChr m:val=""/>
            <m:grow/>
          </m:dPr>
          <m:e>
            <m:r>
              <m:t>y</m:t>
            </m:r>
          </m:e>
        </m:d>
      </m:oMath>
      <w:r>
        <w:t xml:space="preserve"> </w:t>
      </w:r>
      <w:r>
        <w:t xml:space="preserve">if and only if</w:t>
      </w:r>
      <w:r>
        <w:t xml:space="preserve"> </w:t>
      </w:r>
      <m:oMath>
        <m:r>
          <m:t>x</m:t>
        </m:r>
      </m:oMath>
      <w:r>
        <w:t xml:space="preserve"> </w:t>
      </w:r>
      <w:r>
        <w:t xml:space="preserve">and</w:t>
      </w:r>
      <w:r>
        <w:t xml:space="preserve"> </w:t>
      </w:r>
      <m:oMath>
        <m:r>
          <m:t>y</m:t>
        </m:r>
      </m:oMath>
      <w:r>
        <w:t xml:space="preserve"> </w:t>
      </w:r>
      <w:r>
        <w:t xml:space="preserve">lie in the same orbit. This is an</w:t>
      </w:r>
      <w:r>
        <w:t xml:space="preserve"> </w:t>
      </w:r>
      <w:r>
        <w:rPr>
          <w:b/>
          <w:bCs/>
        </w:rPr>
        <w:t xml:space="preserve">orbit signature</w:t>
      </w:r>
      <w:r>
        <w:t xml:space="preserve"> </w:t>
      </w:r>
      <w:r>
        <w:t xml:space="preserve">for a particular geometric question, not a complete account of the unit’s interior nature.</w:t>
      </w:r>
    </w:p>
    <w:p>
      <w:pPr>
        <w:pStyle w:val="BodyText"/>
      </w:pPr>
      <w:r>
        <w:rPr>
          <w:b/>
          <w:bCs/>
        </w:rPr>
        <w:t xml:space="preserve">Counterexample to reference updating.</w:t>
      </w:r>
      <w:r>
        <w:t xml:space="preserve"> </w:t>
      </w:r>
      <w:r>
        <w:t xml:space="preserve">With</w:t>
      </w:r>
      <w:r>
        <w:t xml:space="preserve"> </w:t>
      </w:r>
      <m:oMath>
        <m:r>
          <m:t>L</m:t>
        </m:r>
        <m:r>
          <m:rPr>
            <m:sty m:val="p"/>
          </m:rPr>
          <m:t>=</m:t>
        </m:r>
        <m:r>
          <m:t>1</m:t>
        </m:r>
      </m:oMath>
      <w:r>
        <w:t xml:space="preserve">, the positions</w:t>
      </w:r>
      <w:r>
        <w:t xml:space="preserve"> </w:t>
      </w:r>
      <m:oMath>
        <m:r>
          <m:t>x</m:t>
        </m:r>
        <m:r>
          <m:rPr>
            <m:sty m:val="p"/>
          </m:rPr>
          <m:t>=</m:t>
        </m:r>
        <m:r>
          <m:t>1</m:t>
        </m:r>
        <m:r>
          <m:rPr>
            <m:sty m:val="p"/>
          </m:rPr>
          <m:t>/</m:t>
        </m:r>
        <m:r>
          <m:t>4</m:t>
        </m:r>
      </m:oMath>
      <w:r>
        <w:t xml:space="preserve"> </w:t>
      </w:r>
      <w:r>
        <w:t xml:space="preserve">and</w:t>
      </w:r>
      <w:r>
        <w:t xml:space="preserve"> </w:t>
      </w:r>
      <m:oMath>
        <m:r>
          <m:t>y</m:t>
        </m:r>
        <m:r>
          <m:rPr>
            <m:sty m:val="p"/>
          </m:rPr>
          <m:t>=</m:t>
        </m:r>
        <m:r>
          <m:t>9</m:t>
        </m:r>
        <m:r>
          <m:rPr>
            <m:sty m:val="p"/>
          </m:rPr>
          <m:t>/</m:t>
        </m:r>
        <m:r>
          <m:t>4</m:t>
        </m:r>
      </m:oMath>
      <w:r>
        <w:t xml:space="preserve"> </w:t>
      </w:r>
      <w:r>
        <w:t xml:space="preserve">have the same signature</w:t>
      </w:r>
      <w:r>
        <w:t xml:space="preserve"> </w:t>
      </w:r>
      <m:oMath>
        <m:r>
          <m:t>1</m:t>
        </m:r>
        <m:r>
          <m:rPr>
            <m:sty m:val="p"/>
          </m:rPr>
          <m:t>/</m:t>
        </m:r>
        <m:r>
          <m:t>4</m:t>
        </m:r>
      </m:oMath>
      <w:r>
        <w:t xml:space="preserve">. Moving the mirror so that</w:t>
      </w:r>
      <w:r>
        <w:t xml:space="preserve"> </w:t>
      </w:r>
      <m:oMath>
        <m:r>
          <m:t>L</m:t>
        </m:r>
        <m:r>
          <m:rPr>
            <m:sty m:val="p"/>
          </m:rPr>
          <m:t>=</m:t>
        </m:r>
        <m:r>
          <m:t>2</m:t>
        </m:r>
      </m:oMath>
      <w:r>
        <w:t xml:space="preserve"> </w:t>
      </w:r>
      <w:r>
        <w:t xml:space="preserve">yields signatures</w:t>
      </w:r>
      <w:r>
        <w:t xml:space="preserve"> </w:t>
      </w:r>
      <m:oMath>
        <m:r>
          <m:t>1</m:t>
        </m:r>
        <m:r>
          <m:rPr>
            <m:sty m:val="p"/>
          </m:rPr>
          <m:t>/</m:t>
        </m:r>
        <m:r>
          <m:t>4</m:t>
        </m:r>
      </m:oMath>
      <w:r>
        <w:t xml:space="preserve"> </w:t>
      </w:r>
      <w:r>
        <w:t xml:space="preserve">and</w:t>
      </w:r>
      <w:r>
        <w:t xml:space="preserve"> </w:t>
      </w:r>
      <m:oMath>
        <m:r>
          <m:t>7</m:t>
        </m:r>
        <m:r>
          <m:rPr>
            <m:sty m:val="p"/>
          </m:rPr>
          <m:t>/</m:t>
        </m:r>
        <m:r>
          <m:t>4</m:t>
        </m:r>
      </m:oMath>
      <w:r>
        <w:t xml:space="preserve">. Information stored in the earlier signature is insufficient to determine the new one. Two states identified by one reference can require different answers after an admissible change of setting.</w:t>
      </w:r>
    </w:p>
    <w:p>
      <w:pPr>
        <w:pStyle w:val="BodyText"/>
      </w:pPr>
      <w:r>
        <w:t xml:space="preserve">The CME laboratories distinguish objects that should not be conflated: the full symmetry group of a regular tetrahedron,</w:t>
      </w:r>
      <w:r>
        <w:t xml:space="preserve"> </w:t>
      </w:r>
      <m:oMath>
        <m:sSub>
          <m:e>
            <m:r>
              <m:t>S</m:t>
            </m:r>
          </m:e>
          <m:sub>
            <m:r>
              <m:t>4</m:t>
            </m:r>
          </m:sub>
        </m:sSub>
      </m:oMath>
      <w:r>
        <w:t xml:space="preserve">, has 24 elements (its rotational subgroup is</w:t>
      </w:r>
      <w:r>
        <w:t xml:space="preserve"> </w:t>
      </w:r>
      <m:oMath>
        <m:sSub>
          <m:e>
            <m:r>
              <m:t>A</m:t>
            </m:r>
          </m:e>
          <m:sub>
            <m:r>
              <m:t>4</m:t>
            </m:r>
          </m:sub>
        </m:sSub>
      </m:oMath>
      <w:r>
        <w:t xml:space="preserve">, of order 12); the hyperoctahedral group</w:t>
      </w:r>
      <w:r>
        <w:t xml:space="preserve"> </w:t>
      </w:r>
      <m:oMath>
        <m:sSub>
          <m:e>
            <m:r>
              <m:t>B</m:t>
            </m:r>
          </m:e>
          <m:sub>
            <m:r>
              <m:t>3</m:t>
            </m:r>
          </m:sub>
        </m:sSub>
      </m:oMath>
      <w:r>
        <w:t xml:space="preserve"> </w:t>
      </w:r>
      <w:r>
        <w:t xml:space="preserve">has 48; another contract, the free product of four involutions in CME-001, contains</w:t>
      </w:r>
      <w:r>
        <w:t xml:space="preserve"> </w:t>
      </w:r>
      <m:oMath>
        <m:r>
          <m:t>2</m:t>
        </m:r>
        <m:r>
          <m:rPr>
            <m:sty m:val="p"/>
          </m:rPr>
          <m:t>⋅</m:t>
        </m:r>
        <m:sSup>
          <m:e>
            <m:r>
              <m:t>3</m:t>
            </m:r>
          </m:e>
          <m:sup>
            <m:r>
              <m:rPr>
                <m:sty m:val="p"/>
              </m:rPr>
              <m:t>ℓ</m:t>
            </m:r>
          </m:sup>
        </m:sSup>
        <m:r>
          <m:rPr>
            <m:sty m:val="p"/>
          </m:rPr>
          <m:t>−</m:t>
        </m:r>
        <m:r>
          <m:t>1</m:t>
        </m:r>
      </m:oMath>
      <w:r>
        <w:t xml:space="preserve"> </w:t>
      </w:r>
      <w:r>
        <w:t xml:space="preserve">reduced words of length at most</w:t>
      </w:r>
      <w:r>
        <w:t xml:space="preserve"> </w:t>
      </w:r>
      <m:oMath>
        <m:r>
          <m:rPr>
            <m:sty m:val="p"/>
          </m:rPr>
          <m:t>ℓ</m:t>
        </m:r>
      </m:oMath>
      <w:r>
        <w:t xml:space="preserve">. For the triangular Coxeter group</w:t>
      </w:r>
      <w:r>
        <w:t xml:space="preserve"> </w:t>
      </w:r>
      <m:oMath>
        <m:d>
          <m:dPr>
            <m:begChr m:val="("/>
            <m:endChr m:val=")"/>
            <m:sepChr m:val=""/>
            <m:grow/>
          </m:dPr>
          <m:e>
            <m:r>
              <m:t>2</m:t>
            </m:r>
            <m:r>
              <m:rPr>
                <m:sty m:val="p"/>
              </m:rPr>
              <m:t>,</m:t>
            </m:r>
            <m:r>
              <m:t>3</m:t>
            </m:r>
            <m:r>
              <m:rPr>
                <m:sty m:val="p"/>
              </m:rPr>
              <m:t>,</m:t>
            </m:r>
            <m:r>
              <m:t>k</m:t>
            </m:r>
          </m:e>
        </m:d>
      </m:oMath>
      <w:r>
        <w:t xml:space="preserve">, the regime is finite when</w:t>
      </w:r>
      <w:r>
        <w:t xml:space="preserve"> </w:t>
      </w:r>
      <m:oMath>
        <m:r>
          <m:t>k</m:t>
        </m:r>
        <m:r>
          <m:rPr>
            <m:sty m:val="p"/>
          </m:rPr>
          <m:t>=</m:t>
        </m:r>
        <m:r>
          <m:t>2</m:t>
        </m:r>
        <m:r>
          <m:rPr>
            <m:sty m:val="p"/>
          </m:rPr>
          <m:t>,</m:t>
        </m:r>
        <m:r>
          <m:t>3</m:t>
        </m:r>
        <m:r>
          <m:rPr>
            <m:sty m:val="p"/>
          </m:rPr>
          <m:t>,</m:t>
        </m:r>
        <m:r>
          <m:t>4</m:t>
        </m:r>
        <m:r>
          <m:rPr>
            <m:sty m:val="p"/>
          </m:rPr>
          <m:t>,</m:t>
        </m:r>
        <m:r>
          <m:t>5</m:t>
        </m:r>
      </m:oMath>
      <w:r>
        <w:t xml:space="preserve">, affine when</w:t>
      </w:r>
      <w:r>
        <w:t xml:space="preserve"> </w:t>
      </w:r>
      <m:oMath>
        <m:r>
          <m:t>k</m:t>
        </m:r>
        <m:r>
          <m:rPr>
            <m:sty m:val="p"/>
          </m:rPr>
          <m:t>=</m:t>
        </m:r>
        <m:r>
          <m:t>6</m:t>
        </m:r>
      </m:oMath>
      <w:r>
        <w:t xml:space="preserve">, and hyperbolic when</w:t>
      </w:r>
      <w:r>
        <w:t xml:space="preserve"> </w:t>
      </w:r>
      <m:oMath>
        <m:r>
          <m:t>k</m:t>
        </m:r>
        <m:r>
          <m:rPr>
            <m:sty m:val="p"/>
          </m:rPr>
          <m:t>≥</m:t>
        </m:r>
        <m:r>
          <m:t>7</m:t>
        </m:r>
      </m:oMath>
      <w:r>
        <w:t xml:space="preserve">. Initial growth spheres of</w:t>
      </w:r>
      <w:r>
        <w:t xml:space="preserve"> </w:t>
      </w:r>
      <m:oMath>
        <m:d>
          <m:dPr>
            <m:begChr m:val="("/>
            <m:endChr m:val=")"/>
            <m:sepChr m:val=""/>
            <m:grow/>
          </m:dPr>
          <m:e>
            <m:r>
              <m:t>2</m:t>
            </m:r>
            <m:r>
              <m:rPr>
                <m:sty m:val="p"/>
              </m:rPr>
              <m:t>,</m:t>
            </m:r>
            <m:r>
              <m:t>3</m:t>
            </m:r>
            <m:r>
              <m:rPr>
                <m:sty m:val="p"/>
              </m:rPr>
              <m:t>,</m:t>
            </m:r>
            <m:r>
              <m:t>6</m:t>
            </m:r>
          </m:e>
        </m:d>
      </m:oMath>
      <w:r>
        <w:t xml:space="preserve"> </w:t>
      </w:r>
      <w:r>
        <w:t xml:space="preserve">and</w:t>
      </w:r>
      <w:r>
        <w:t xml:space="preserve"> </w:t>
      </w:r>
      <m:oMath>
        <m:d>
          <m:dPr>
            <m:begChr m:val="("/>
            <m:endChr m:val=")"/>
            <m:sepChr m:val=""/>
            <m:grow/>
          </m:dPr>
          <m:e>
            <m:r>
              <m:t>2</m:t>
            </m:r>
            <m:r>
              <m:rPr>
                <m:sty m:val="p"/>
              </m:rPr>
              <m:t>,</m:t>
            </m:r>
            <m:r>
              <m:t>3</m:t>
            </m:r>
            <m:r>
              <m:rPr>
                <m:sty m:val="p"/>
              </m:rPr>
              <m:t>,</m:t>
            </m:r>
            <m:r>
              <m:t>7</m:t>
            </m:r>
          </m:e>
        </m:d>
      </m:oMath>
      <w:r>
        <w:t xml:space="preserve"> </w:t>
      </w:r>
      <w:r>
        <w:t xml:space="preserve">agree to a finite depth and then separate, even though one pair relation has different orders (6 versus 7).</w:t>
      </w:r>
    </w:p>
    <w:p>
      <w:pPr>
        <w:pStyle w:val="BodyText"/>
      </w:pPr>
      <w:r>
        <w:rPr>
          <w:b/>
          <w:bCs/>
        </w:rPr>
        <w:t xml:space="preserve">Interpretation within the program.</w:t>
      </w:r>
      <w:r>
        <w:t xml:space="preserve"> </w:t>
      </w:r>
      <w:r>
        <w:t xml:space="preserve">Closure, repetition, and unbounded growth in a group are properties of that group and its generators; analogy alone does not convert them into a complexity bound for a 3-coloring algorithm. The question is which mathematical object, if any, preserves a corresponding distinction between local relations and global behavior.</w:t>
      </w:r>
    </w:p>
    <w:bookmarkEnd w:id="24"/>
    <w:bookmarkStart w:id="25" w:name="Xbad907bb7983cbd86c64ec7560219f1dacfff6a"/>
    <w:p>
      <w:pPr>
        <w:pStyle w:val="Heading2"/>
      </w:pPr>
      <w:r>
        <w:t xml:space="preserve">3. Spheres, C₄, and common normalization: other realizations [O/T/I]</w:t>
      </w:r>
    </w:p>
    <w:p>
      <w:pPr>
        <w:pStyle w:val="FirstParagraph"/>
      </w:pPr>
      <w:r>
        <w:t xml:space="preserve">In the sphere laboratory, center positions, contacts, and the selected relations determine different structures. Three noncollinear centers determine a plane; four centers of pairwise tangent equal spheres form a regular tetrahedron; four coplanar spheres with only peripheral contacts form a different circuit. Choosing the links is part of the contract, not a consequence of drawing four objects.</w:t>
      </w:r>
    </w:p>
    <w:p>
      <w:pPr>
        <w:pStyle w:val="BodyText"/>
      </w:pPr>
      <w:r>
        <w:t xml:space="preserve">In the scalar model of a</w:t>
      </w:r>
      <w:r>
        <w:t xml:space="preserve"> </w:t>
      </w:r>
      <m:oMath>
        <m:sSub>
          <m:e>
            <m:r>
              <m:t>C</m:t>
            </m:r>
          </m:e>
          <m:sub>
            <m:r>
              <m:t>4</m:t>
            </m:r>
          </m:sub>
        </m:sSub>
      </m:oMath>
      <w:r>
        <w:t xml:space="preserve"> </w:t>
      </w:r>
      <w:r>
        <w:t xml:space="preserve">circuit with constraint</w:t>
      </w:r>
      <w:r>
        <w:t xml:space="preserve"> </w:t>
      </w:r>
      <m:oMath>
        <m:sSub>
          <m:e>
            <m:r>
              <m:t>s</m:t>
            </m:r>
          </m:e>
          <m:sub>
            <m:r>
              <m:t>i</m:t>
            </m:r>
          </m:sub>
        </m:sSub>
        <m:r>
          <m:rPr>
            <m:sty m:val="p"/>
          </m:rPr>
          <m:t>+</m:t>
        </m:r>
        <m:sSub>
          <m:e>
            <m:r>
              <m:t>s</m:t>
            </m:r>
          </m:e>
          <m:sub>
            <m:r>
              <m:t>j</m:t>
            </m:r>
          </m:sub>
        </m:sSub>
        <m:r>
          <m:rPr>
            <m:sty m:val="p"/>
          </m:rPr>
          <m:t>=</m:t>
        </m:r>
        <m:r>
          <m:t>0</m:t>
        </m:r>
      </m:oMath>
      <w:r>
        <w:t xml:space="preserve"> </w:t>
      </w:r>
      <w:r>
        <w:t xml:space="preserve">on each link, the mode</w:t>
      </w:r>
      <w:r>
        <w:t xml:space="preserve"> </w:t>
      </w:r>
      <m:oMath>
        <m:d>
          <m:dPr>
            <m:begChr m:val="("/>
            <m:endChr m:val=")"/>
            <m:sepChr m:val=""/>
            <m:grow/>
          </m:dPr>
          <m:e>
            <m:r>
              <m:t>a</m:t>
            </m:r>
            <m:r>
              <m:rPr>
                <m:sty m:val="p"/>
              </m:rPr>
              <m:t>,</m:t>
            </m:r>
            <m:r>
              <m:rPr>
                <m:sty m:val="p"/>
              </m:rPr>
              <m:t>−</m:t>
            </m:r>
            <m:r>
              <m:t>a</m:t>
            </m:r>
            <m:r>
              <m:rPr>
                <m:sty m:val="p"/>
              </m:rPr>
              <m:t>,</m:t>
            </m:r>
            <m:r>
              <m:t>a</m:t>
            </m:r>
            <m:r>
              <m:rPr>
                <m:sty m:val="p"/>
              </m:rPr>
              <m:t>,</m:t>
            </m:r>
            <m:r>
              <m:rPr>
                <m:sty m:val="p"/>
              </m:rPr>
              <m:t>−</m:t>
            </m:r>
            <m:r>
              <m:t>a</m:t>
            </m:r>
          </m:e>
        </m:d>
      </m:oMath>
      <w:r>
        <w:t xml:space="preserve"> </w:t>
      </w:r>
      <w:r>
        <w:t xml:space="preserve">exists. If the same constraint is imposed on all six edges of</w:t>
      </w:r>
      <w:r>
        <w:t xml:space="preserve"> </w:t>
      </w:r>
      <m:oMath>
        <m:sSub>
          <m:e>
            <m:r>
              <m:t>K</m:t>
            </m:r>
          </m:e>
          <m:sub>
            <m:r>
              <m:t>4</m:t>
            </m:r>
          </m:sub>
        </m:sSub>
      </m:oMath>
      <w:r>
        <w:t xml:space="preserve">, the nonzero mode disappears. This is an exact algebraic distinction between the declared</w:t>
      </w:r>
      <w:r>
        <w:t xml:space="preserve"> </w:t>
      </w:r>
      <w:r>
        <w:rPr>
          <w:b/>
          <w:bCs/>
        </w:rPr>
        <w:t xml:space="preserve">relational rules</w:t>
      </w:r>
      <w:r>
        <w:t xml:space="preserve">, not a general optical law.</w:t>
      </w:r>
    </w:p>
    <w:p>
      <w:pPr>
        <w:pStyle w:val="BodyText"/>
      </w:pPr>
      <w:r>
        <w:t xml:space="preserve">R–01 adds an arithmetic test of continuity. For the reference</w:t>
      </w:r>
      <w:r>
        <w:t xml:space="preserve"> </w:t>
      </w:r>
      <m:oMath>
        <m:sSub>
          <m:e>
            <m:r>
              <m:t>Φ</m:t>
            </m:r>
          </m:e>
          <m:sub>
            <m:r>
              <m:t>N</m:t>
            </m:r>
          </m:sub>
        </m:sSub>
        <m:d>
          <m:dPr>
            <m:begChr m:val="("/>
            <m:endChr m:val=")"/>
            <m:sepChr m:val=""/>
            <m:grow/>
          </m:dPr>
          <m:e>
            <m:r>
              <m:t>x</m:t>
            </m:r>
          </m:e>
        </m:d>
        <m:r>
          <m:rPr>
            <m:sty m:val="p"/>
          </m:rPr>
          <m:t>=</m:t>
        </m:r>
        <m:r>
          <m:t>x</m:t>
        </m:r>
        <m:r>
          <m:t> </m:t>
        </m:r>
        <m:r>
          <m:rPr>
            <m:sty m:val="p"/>
          </m:rPr>
          <m:t>mod</m:t>
        </m:r>
        <m:r>
          <m:t> </m:t>
        </m:r>
        <m:r>
          <m:t>N</m:t>
        </m:r>
      </m:oMath>
      <w:r>
        <w:t xml:space="preserve"> </w:t>
      </w:r>
      <w:r>
        <w:t xml:space="preserve">and a new query</w:t>
      </w:r>
      <w:r>
        <w:t xml:space="preserve"> </w:t>
      </w:r>
      <m:oMath>
        <m:sSub>
          <m:e>
            <m:r>
              <m:t>d</m:t>
            </m:r>
          </m:e>
          <m:sub>
            <m:r>
              <m:t>p</m:t>
            </m:r>
          </m:sub>
        </m:sSub>
        <m:d>
          <m:dPr>
            <m:begChr m:val="("/>
            <m:endChr m:val=")"/>
            <m:sepChr m:val=""/>
            <m:grow/>
          </m:dPr>
          <m:e>
            <m:r>
              <m:t>x</m:t>
            </m:r>
          </m:e>
        </m:d>
        <m:r>
          <m:rPr>
            <m:sty m:val="p"/>
          </m:rPr>
          <m:t>=</m:t>
        </m:r>
        <m:r>
          <m:t>x</m:t>
        </m:r>
        <m:r>
          <m:t> </m:t>
        </m:r>
        <m:r>
          <m:rPr>
            <m:sty m:val="p"/>
          </m:rPr>
          <m:t>mod</m:t>
        </m:r>
        <m:r>
          <m:t> </m:t>
        </m:r>
        <m:r>
          <m:t>p</m:t>
        </m:r>
      </m:oMath>
      <w:r>
        <w:t xml:space="preserve">, where</w:t>
      </w:r>
      <w:r>
        <w:t xml:space="preserve"> </w:t>
      </w:r>
      <m:oMath>
        <m:r>
          <m:t>p</m:t>
        </m:r>
      </m:oMath>
      <w:r>
        <w:t xml:space="preserve"> </w:t>
      </w:r>
      <w:r>
        <w:t xml:space="preserve">is prime and</w:t>
      </w:r>
      <w:r>
        <w:t xml:space="preserve"> </w:t>
      </w:r>
      <m:oMath>
        <m:r>
          <m:rPr>
            <m:sty m:val="p"/>
          </m:rPr>
          <m:t>gcd</m:t>
        </m:r>
        <m:d>
          <m:dPr>
            <m:begChr m:val="("/>
            <m:endChr m:val=")"/>
            <m:sepChr m:val=""/>
            <m:grow/>
          </m:dPr>
          <m:e>
            <m:r>
              <m:t>N</m:t>
            </m:r>
            <m:r>
              <m:rPr>
                <m:sty m:val="p"/>
              </m:rPr>
              <m:t>,</m:t>
            </m:r>
            <m:r>
              <m:t>p</m:t>
            </m:r>
          </m:e>
        </m:d>
        <m:r>
          <m:rPr>
            <m:sty m:val="p"/>
          </m:rPr>
          <m:t>=</m:t>
        </m:r>
        <m:r>
          <m:t>1</m:t>
        </m:r>
      </m:oMath>
      <w:r>
        <w:t xml:space="preserve">, the common reference is</w:t>
      </w:r>
    </w:p>
    <w:p>
      <w:pPr>
        <w:pStyle w:val="BodyText"/>
      </w:pPr>
      <m:oMathPara>
        <m:oMathParaPr>
          <m:jc m:val="center"/>
        </m:oMathParaPr>
        <m:oMath>
          <m:r>
            <m:t>L</m:t>
          </m:r>
          <m:r>
            <m:rPr>
              <m:sty m:val="p"/>
            </m:rPr>
            <m:t>=</m:t>
          </m:r>
          <m:r>
            <m:rPr>
              <m:sty m:val="p"/>
            </m:rPr>
            <m:t>lcm</m:t>
          </m:r>
          <m:d>
            <m:dPr>
              <m:begChr m:val="("/>
              <m:endChr m:val=")"/>
              <m:sepChr m:val=""/>
              <m:grow/>
            </m:dPr>
            <m:e>
              <m:r>
                <m:t>N</m:t>
              </m:r>
              <m:r>
                <m:rPr>
                  <m:sty m:val="p"/>
                </m:rPr>
                <m:t>,</m:t>
              </m:r>
              <m:r>
                <m:t>p</m:t>
              </m:r>
            </m:e>
          </m:d>
          <m:r>
            <m:rPr>
              <m:sty m:val="p"/>
            </m:rPr>
            <m:t>=</m:t>
          </m:r>
          <m:r>
            <m:t>N</m:t>
          </m:r>
          <m:r>
            <m:t>p</m:t>
          </m:r>
          <m:r>
            <m:rPr>
              <m:sty m:val="p"/>
            </m:rPr>
            <m:t>.</m:t>
          </m:r>
        </m:oMath>
      </m:oMathPara>
    </w:p>
    <w:p>
      <w:pPr>
        <w:pStyle w:val="FirstParagraph"/>
      </w:pPr>
      <w:r>
        <w:t xml:space="preserve">By the Chinese remainder theorem, under</w:t>
      </w:r>
      <w:r>
        <w:t xml:space="preserve"> </w:t>
      </w:r>
      <m:oMath>
        <m:r>
          <m:rPr>
            <m:sty m:val="p"/>
          </m:rPr>
          <m:t>gcd</m:t>
        </m:r>
        <m:d>
          <m:dPr>
            <m:begChr m:val="("/>
            <m:endChr m:val=")"/>
            <m:sepChr m:val=""/>
            <m:grow/>
          </m:dPr>
          <m:e>
            <m:r>
              <m:t>N</m:t>
            </m:r>
            <m:r>
              <m:rPr>
                <m:sty m:val="p"/>
              </m:rPr>
              <m:t>,</m:t>
            </m:r>
            <m:r>
              <m:t>p</m:t>
            </m:r>
          </m:e>
        </m:d>
        <m:r>
          <m:rPr>
            <m:sty m:val="p"/>
          </m:rPr>
          <m:t>=</m:t>
        </m:r>
        <m:r>
          <m:t>1</m:t>
        </m:r>
      </m:oMath>
      <w:r>
        <w:t xml:space="preserve"> </w:t>
      </w:r>
      <w:r>
        <w:t xml:space="preserve">there is an isomorphism of residue groups:</w:t>
      </w:r>
    </w:p>
    <w:p>
      <w:pPr>
        <w:pStyle w:val="BodyText"/>
      </w:pPr>
      <m:oMathPara>
        <m:oMathParaPr>
          <m:jc m:val="center"/>
        </m:oMathParaPr>
        <m:oMath>
          <m:r>
            <m:rPr>
              <m:sty m:val="p"/>
              <m:scr m:val="double-struck"/>
            </m:rPr>
            <m:t>Z</m:t>
          </m:r>
          <m:r>
            <m:rPr>
              <m:sty m:val="p"/>
            </m:rPr>
            <m:t>/</m:t>
          </m:r>
          <m:r>
            <m:t>L</m:t>
          </m:r>
          <m:r>
            <m:rPr>
              <m:sty m:val="p"/>
              <m:scr m:val="double-struck"/>
            </m:rPr>
            <m:t>Z</m:t>
          </m:r>
          <m:r>
            <m:rPr>
              <m:sty m:val="p"/>
            </m:rPr>
            <m:t>≅</m:t>
          </m:r>
          <m:r>
            <m:rPr>
              <m:sty m:val="p"/>
              <m:scr m:val="double-struck"/>
            </m:rPr>
            <m:t>Z</m:t>
          </m:r>
          <m:r>
            <m:rPr>
              <m:sty m:val="p"/>
            </m:rPr>
            <m:t>/</m:t>
          </m:r>
          <m:r>
            <m:t>N</m:t>
          </m:r>
          <m:r>
            <m:rPr>
              <m:sty m:val="p"/>
              <m:scr m:val="double-struck"/>
            </m:rPr>
            <m:t>Z</m:t>
          </m:r>
          <m:r>
            <m:rPr>
              <m:sty m:val="p"/>
            </m:rPr>
            <m:t>×</m:t>
          </m:r>
          <m:r>
            <m:rPr>
              <m:sty m:val="p"/>
              <m:scr m:val="double-struck"/>
            </m:rPr>
            <m:t>Z</m:t>
          </m:r>
          <m:r>
            <m:rPr>
              <m:sty m:val="p"/>
            </m:rPr>
            <m:t>/</m:t>
          </m:r>
          <m:r>
            <m:t>p</m:t>
          </m:r>
          <m:r>
            <m:rPr>
              <m:sty m:val="p"/>
              <m:scr m:val="double-struck"/>
            </m:rPr>
            <m:t>Z</m:t>
          </m:r>
          <m:r>
            <m:rPr>
              <m:sty m:val="p"/>
            </m:rPr>
            <m:t>.</m:t>
          </m:r>
        </m:oMath>
      </m:oMathPara>
    </w:p>
    <w:p>
      <w:pPr>
        <w:pStyle w:val="FirstParagraph"/>
      </w:pPr>
      <w:r>
        <w:t xml:space="preserve">Each residue class modulo</w:t>
      </w:r>
      <w:r>
        <w:t xml:space="preserve"> </w:t>
      </w:r>
      <m:oMath>
        <m:r>
          <m:t>N</m:t>
        </m:r>
      </m:oMath>
      <w:r>
        <w:t xml:space="preserve"> </w:t>
      </w:r>
      <w:r>
        <w:t xml:space="preserve">refines into</w:t>
      </w:r>
      <w:r>
        <w:t xml:space="preserve"> </w:t>
      </w:r>
      <m:oMath>
        <m:r>
          <m:t>p</m:t>
        </m:r>
      </m:oMath>
      <w:r>
        <w:t xml:space="preserve"> </w:t>
      </w:r>
      <w:r>
        <w:t xml:space="preserve">classes modulo</w:t>
      </w:r>
      <w:r>
        <w:t xml:space="preserve"> </w:t>
      </w:r>
      <m:oMath>
        <m:r>
          <m:t>L</m:t>
        </m:r>
      </m:oMath>
      <w:r>
        <w:t xml:space="preserve"> </w:t>
      </w:r>
      <w:r>
        <w:t xml:space="preserve">while retaining its projection to the previous reference. The</w:t>
      </w:r>
      <w:r>
        <w:t xml:space="preserve"> </w:t>
      </w:r>
      <w:r>
        <w:rPr>
          <w:b/>
          <w:bCs/>
        </w:rPr>
        <w:t xml:space="preserve">normalized-phase identity</w:t>
      </w:r>
      <w:r>
        <w:t xml:space="preserve">, distinct from the residue projection, is</w:t>
      </w:r>
    </w:p>
    <w:p>
      <w:pPr>
        <w:pStyle w:val="BodyText"/>
      </w:pPr>
      <m:oMathPara>
        <m:oMathParaPr>
          <m:jc m:val="center"/>
        </m:oMathParaPr>
        <m:oMath>
          <m:f>
            <m:fPr>
              <m:type m:val="bar"/>
            </m:fPr>
            <m:num>
              <m:r>
                <m:t>j</m:t>
              </m:r>
            </m:num>
            <m:den>
              <m:r>
                <m:t>N</m:t>
              </m:r>
            </m:den>
          </m:f>
          <m:r>
            <m:rPr>
              <m:sty m:val="p"/>
            </m:rPr>
            <m:t>=</m:t>
          </m:r>
          <m:f>
            <m:fPr>
              <m:type m:val="bar"/>
            </m:fPr>
            <m:num>
              <m:r>
                <m:t>p</m:t>
              </m:r>
              <m:r>
                <m:t>j</m:t>
              </m:r>
            </m:num>
            <m:den>
              <m:r>
                <m:t>L</m:t>
              </m:r>
            </m:den>
          </m:f>
          <m:r>
            <m:rPr>
              <m:sty m:val="p"/>
            </m:rPr>
            <m:t>.</m:t>
          </m:r>
        </m:oMath>
      </m:oMathPara>
    </w:p>
    <w:p>
      <w:pPr>
        <w:pStyle w:val="FirstParagraph"/>
      </w:pPr>
      <w:r>
        <w:t xml:space="preserve">This identity compares points on a normalized grid;</w:t>
      </w:r>
      <w:r>
        <w:t xml:space="preserve"> </w:t>
      </w:r>
      <w:r>
        <w:rPr>
          <w:b/>
          <w:bCs/>
        </w:rPr>
        <w:t xml:space="preserve">it does not turn</w:t>
      </w:r>
      <w:r>
        <w:rPr>
          <w:b/>
          <w:bCs/>
        </w:rPr>
        <w:t xml:space="preserve"> </w:t>
      </w:r>
      <m:oMath>
        <m:r>
          <m:t>j</m:t>
        </m:r>
        <m:r>
          <m:rPr>
            <m:sty m:val="p"/>
          </m:rPr>
          <m:t>↦</m:t>
        </m:r>
        <m:r>
          <m:t>p</m:t>
        </m:r>
        <m:r>
          <m:t>j</m:t>
        </m:r>
      </m:oMath>
      <w:r>
        <w:rPr>
          <w:b/>
          <w:bCs/>
        </w:rPr>
        <w:t xml:space="preserve"> </w:t>
      </w:r>
      <w:r>
        <w:rPr>
          <w:b/>
          <w:bCs/>
        </w:rPr>
        <w:t xml:space="preserve">into a section of the natural residue projection</w:t>
      </w:r>
      <w:r>
        <w:t xml:space="preserve">. Compatible affine updates may commute with projections without being injective: multiplication by</w:t>
      </w:r>
      <w:r>
        <w:t xml:space="preserve"> </w:t>
      </w:r>
      <m:oMath>
        <m:r>
          <m:t>0</m:t>
        </m:r>
      </m:oMath>
      <w:r>
        <w:t xml:space="preserve">, for instance, collapses distinctions.</w:t>
      </w:r>
      <w:r>
        <w:t xml:space="preserve"> </w:t>
      </w:r>
      <w:r>
        <w:rPr>
          <w:b/>
          <w:bCs/>
        </w:rPr>
        <w:t xml:space="preserve">Compatibility between references is not the same as preservation of every distinction.</w:t>
      </w:r>
    </w:p>
    <w:p>
      <w:pPr>
        <w:pStyle w:val="BodyText"/>
      </w:pPr>
      <w:r>
        <w:t xml:space="preserve">These models address a common question about relation, reference, and continuity. Any physical bridge or universal mathematical mechanism would require a definition of which operations are preserved between models.</w:t>
      </w:r>
    </w:p>
    <w:bookmarkEnd w:id="25"/>
    <w:bookmarkStart w:id="26" w:name="Xd97d92585213f211c7b59735ac5fa75e92a4c4e"/>
    <w:p>
      <w:pPr>
        <w:pStyle w:val="Heading2"/>
      </w:pPr>
      <w:r>
        <w:t xml:space="preserve">4. Logical and mathematical contract: reference, query, continuation [C/T]</w:t>
      </w:r>
    </w:p>
    <w:p>
      <w:pPr>
        <w:pStyle w:val="FirstParagraph"/>
      </w:pPr>
      <w:r>
        <w:t xml:space="preserve">For each realization we declare</w:t>
      </w:r>
    </w:p>
    <w:p>
      <w:pPr>
        <w:pStyle w:val="BodyText"/>
      </w:pPr>
      <m:oMathPara>
        <m:oMathParaPr>
          <m:jc m:val="center"/>
        </m:oMathParaPr>
        <m:oMath>
          <m:r>
            <m:rPr>
              <m:sty m:val="p"/>
              <m:scr m:val="fraktur"/>
            </m:rPr>
            <m:t>R</m:t>
          </m:r>
          <m:r>
            <m:rPr>
              <m:sty m:val="p"/>
            </m:rPr>
            <m:t>=</m:t>
          </m:r>
          <m:d>
            <m:dPr>
              <m:begChr m:val="("/>
              <m:endChr m:val=")"/>
              <m:sepChr m:val=""/>
              <m:grow/>
            </m:dPr>
            <m:e>
              <m:r>
                <m:t>X</m:t>
              </m:r>
              <m:r>
                <m:rPr>
                  <m:sty m:val="p"/>
                </m:rPr>
                <m:t>,</m:t>
              </m:r>
              <m:r>
                <m:t>Q</m:t>
              </m:r>
              <m:r>
                <m:rPr>
                  <m:sty m:val="p"/>
                </m:rPr>
                <m:t>,</m:t>
              </m:r>
              <m:r>
                <m:rPr>
                  <m:sty m:val="p"/>
                  <m:scr m:val="script"/>
                </m:rPr>
                <m:t>C</m:t>
              </m:r>
              <m:r>
                <m:rPr>
                  <m:sty m:val="p"/>
                </m:rPr>
                <m:t>,</m:t>
              </m:r>
              <m:r>
                <m:t>Φ</m:t>
              </m:r>
              <m:r>
                <m:rPr>
                  <m:sty m:val="p"/>
                </m:rPr>
                <m:t>,</m:t>
              </m:r>
              <m:r>
                <m:rPr>
                  <m:sty m:val="p"/>
                  <m:scr m:val="script"/>
                </m:rPr>
                <m:t>A</m:t>
              </m:r>
              <m:r>
                <m:rPr>
                  <m:sty m:val="p"/>
                </m:rPr>
                <m:t>,</m:t>
              </m:r>
              <m:r>
                <m:t>κ</m:t>
              </m:r>
            </m:e>
          </m:d>
          <m:r>
            <m:rPr>
              <m:sty m:val="p"/>
            </m:rPr>
            <m:t>,</m:t>
          </m:r>
        </m:oMath>
      </m:oMathPara>
    </w:p>
    <w:p>
      <w:pPr>
        <w:pStyle w:val="FirstParagraph"/>
      </w:pPr>
      <w:r>
        <w:t xml:space="preserve">where</w:t>
      </w:r>
      <w:r>
        <w:t xml:space="preserve"> </w:t>
      </w:r>
      <m:oMath>
        <m:r>
          <m:t>X</m:t>
        </m:r>
      </m:oMath>
      <w:r>
        <w:t xml:space="preserve"> </w:t>
      </w:r>
      <w:r>
        <w:t xml:space="preserve">denotes states;</w:t>
      </w:r>
      <w:r>
        <w:t xml:space="preserve"> </w:t>
      </w:r>
      <m:oMath>
        <m:r>
          <m:t>Q</m:t>
        </m:r>
        <m:r>
          <m:rPr>
            <m:sty m:val="p"/>
          </m:rPr>
          <m:t>:</m:t>
        </m:r>
        <m:r>
          <m:t>X</m:t>
        </m:r>
        <m:r>
          <m:rPr>
            <m:sty m:val="p"/>
          </m:rPr>
          <m:t>→</m:t>
        </m:r>
        <m:r>
          <m:t>Y</m:t>
        </m:r>
      </m:oMath>
      <w:r>
        <w:t xml:space="preserve">, the query;</w:t>
      </w:r>
      <w:r>
        <w:t xml:space="preserve"> </w:t>
      </w:r>
      <m:oMath>
        <m:r>
          <m:rPr>
            <m:sty m:val="p"/>
            <m:scr m:val="script"/>
          </m:rPr>
          <m:t>C</m:t>
        </m:r>
      </m:oMath>
      <w:r>
        <w:t xml:space="preserve">, the admitted continuations;</w:t>
      </w:r>
      <w:r>
        <w:t xml:space="preserve"> </w:t>
      </w:r>
      <m:oMath>
        <m:r>
          <m:t>Φ</m:t>
        </m:r>
        <m:r>
          <m:rPr>
            <m:sty m:val="p"/>
          </m:rPr>
          <m:t>:</m:t>
        </m:r>
        <m:r>
          <m:t>X</m:t>
        </m:r>
        <m:r>
          <m:rPr>
            <m:sty m:val="p"/>
          </m:rPr>
          <m:t>→</m:t>
        </m:r>
        <m:r>
          <m:t>S</m:t>
        </m:r>
      </m:oMath>
      <w:r>
        <w:t xml:space="preserve">, a signature or observable reference;</w:t>
      </w:r>
      <w:r>
        <w:t xml:space="preserve"> </w:t>
      </w:r>
      <m:oMath>
        <m:r>
          <m:rPr>
            <m:sty m:val="p"/>
            <m:scr m:val="script"/>
          </m:rPr>
          <m:t>A</m:t>
        </m:r>
      </m:oMath>
      <w:r>
        <w:t xml:space="preserve">, the effective operations; and</w:t>
      </w:r>
      <w:r>
        <w:t xml:space="preserve"> </w:t>
      </w:r>
      <m:oMath>
        <m:r>
          <m:t>κ</m:t>
        </m:r>
      </m:oMath>
      <w:r>
        <w:t xml:space="preserve">, the cost of encoding, construction, updating, storage, querying, and certification. A self-referential unit may additionally require an</w:t>
      </w:r>
      <w:r>
        <w:t xml:space="preserve"> </w:t>
      </w:r>
      <w:r>
        <w:rPr>
          <w:b/>
          <w:bCs/>
        </w:rPr>
        <w:t xml:space="preserve">internal</w:t>
      </w:r>
      <w:r>
        <w:t xml:space="preserve"> </w:t>
      </w:r>
      <w:r>
        <w:t xml:space="preserve">reference</w:t>
      </w:r>
      <w:r>
        <w:t xml:space="preserve"> </w:t>
      </w:r>
      <m:oMath>
        <m:sSub>
          <m:e>
            <m:r>
              <m:t>Ψ</m:t>
            </m:r>
          </m:e>
          <m:sub>
            <m:r>
              <m:t>U</m:t>
            </m:r>
          </m:sub>
        </m:sSub>
      </m:oMath>
      <w:r>
        <w:t xml:space="preserve">, internal relations</w:t>
      </w:r>
      <w:r>
        <w:t xml:space="preserve"> </w:t>
      </w:r>
      <m:oMath>
        <m:sSub>
          <m:e>
            <m:r>
              <m:t>R</m:t>
            </m:r>
          </m:e>
          <m:sub>
            <m:r>
              <m:t>U</m:t>
            </m:r>
          </m:sub>
        </m:sSub>
      </m:oMath>
      <w:r>
        <w:t xml:space="preserve">, and transformations</w:t>
      </w:r>
      <w:r>
        <w:t xml:space="preserve"> </w:t>
      </w:r>
      <m:oMath>
        <m:sSub>
          <m:e>
            <m:r>
              <m:t>T</m:t>
            </m:r>
          </m:e>
          <m:sub>
            <m:r>
              <m:t>U</m:t>
            </m:r>
          </m:sub>
        </m:sSub>
      </m:oMath>
      <w:r>
        <w:t xml:space="preserve">: the exterior signature</w:t>
      </w:r>
      <w:r>
        <w:t xml:space="preserve"> </w:t>
      </w:r>
      <m:oMath>
        <m:r>
          <m:t>Φ</m:t>
        </m:r>
      </m:oMath>
      <w:r>
        <w:t xml:space="preserve"> </w:t>
      </w:r>
      <w:r>
        <w:t xml:space="preserve">must not silently replace that information.</w:t>
      </w:r>
    </w:p>
    <w:p>
      <w:pPr>
        <w:pStyle w:val="BodyText"/>
      </w:pPr>
      <w:r>
        <w:rPr>
          <w:b/>
          <w:bCs/>
        </w:rPr>
        <w:t xml:space="preserve">Equivalence under continuations (MF-106).</w:t>
      </w:r>
      <w:r>
        <w:t xml:space="preserve"> </w:t>
      </w:r>
      <w:r>
        <w:t xml:space="preserve">Given the operators</w:t>
      </w:r>
      <w:r>
        <w:t xml:space="preserve"> </w:t>
      </w:r>
      <m:oMath>
        <m:sSub>
          <m:e>
            <m:r>
              <m:t>T</m:t>
            </m:r>
          </m:e>
          <m:sub>
            <m:r>
              <m:t>c</m:t>
            </m:r>
          </m:sub>
        </m:sSub>
      </m:oMath>
      <w:r>
        <w:t xml:space="preserve"> </w:t>
      </w:r>
      <w:r>
        <w:t xml:space="preserve">corresponding to continuations, define</w:t>
      </w:r>
    </w:p>
    <w:p>
      <w:pPr>
        <w:pStyle w:val="BodyText"/>
      </w:pPr>
      <m:oMathPara>
        <m:oMathParaPr>
          <m:jc m:val="center"/>
        </m:oMathParaPr>
        <m:oMath>
          <m:r>
            <m:t>x</m:t>
          </m:r>
          <m:sSub>
            <m:e>
              <m:r>
                <m:rPr>
                  <m:sty m:val="p"/>
                </m:rPr>
                <m:t>≡</m:t>
              </m:r>
            </m:e>
            <m:sub>
              <m:r>
                <m:t>Q</m:t>
              </m:r>
              <m:r>
                <m:rPr>
                  <m:sty m:val="p"/>
                </m:rPr>
                <m:t>,</m:t>
              </m:r>
              <m:r>
                <m:rPr>
                  <m:sty m:val="p"/>
                  <m:scr m:val="script"/>
                </m:rPr>
                <m:t>C</m:t>
              </m:r>
            </m:sub>
          </m:sSub>
          <m:r>
            <m:t>y</m:t>
          </m:r>
          <m:r>
            <m:t> </m:t>
          </m:r>
          <m:r>
            <m:rPr>
              <m:sty m:val="p"/>
            </m:rPr>
            <m:t>⇔</m:t>
          </m:r>
          <m:r>
            <m:t> </m:t>
          </m:r>
          <m:r>
            <m:t>Q</m:t>
          </m:r>
          <m:d>
            <m:dPr>
              <m:begChr m:val="("/>
              <m:endChr m:val=")"/>
              <m:sepChr m:val=""/>
              <m:grow/>
            </m:dPr>
            <m:e>
              <m:sSub>
                <m:e>
                  <m:r>
                    <m:t>T</m:t>
                  </m:r>
                </m:e>
                <m:sub>
                  <m:r>
                    <m:t>c</m:t>
                  </m:r>
                </m:sub>
              </m:sSub>
              <m:r>
                <m:t>x</m:t>
              </m:r>
            </m:e>
          </m:d>
          <m:r>
            <m:rPr>
              <m:sty m:val="p"/>
            </m:rPr>
            <m:t>=</m:t>
          </m:r>
          <m:r>
            <m:t>Q</m:t>
          </m:r>
          <m:d>
            <m:dPr>
              <m:begChr m:val="("/>
              <m:endChr m:val=")"/>
              <m:sepChr m:val=""/>
              <m:grow/>
            </m:dPr>
            <m:e>
              <m:sSub>
                <m:e>
                  <m:r>
                    <m:t>T</m:t>
                  </m:r>
                </m:e>
                <m:sub>
                  <m:r>
                    <m:t>c</m:t>
                  </m:r>
                </m:sub>
              </m:sSub>
              <m:r>
                <m:t>y</m:t>
              </m:r>
            </m:e>
          </m:d>
          <m:r>
            <m:t> </m:t>
          </m:r>
          <m:r>
            <m:rPr>
              <m:sty m:val="p"/>
            </m:rPr>
            <m:t>∀</m:t>
          </m:r>
          <m:r>
            <m:t>c</m:t>
          </m:r>
          <m:r>
            <m:rPr>
              <m:sty m:val="p"/>
            </m:rPr>
            <m:t>∈</m:t>
          </m:r>
          <m:r>
            <m:rPr>
              <m:sty m:val="p"/>
              <m:scr m:val="script"/>
            </m:rPr>
            <m:t>C</m:t>
          </m:r>
          <m:r>
            <m:rPr>
              <m:sty m:val="p"/>
            </m:rPr>
            <m:t>.</m:t>
          </m:r>
        </m:oMath>
      </m:oMathPara>
    </w:p>
    <w:p>
      <w:pPr>
        <w:pStyle w:val="FirstParagraph"/>
      </w:pPr>
      <w:r>
        <w:t xml:space="preserve">If</w:t>
      </w:r>
      <w:r>
        <w:t xml:space="preserve"> </w:t>
      </w:r>
      <m:oMath>
        <m:r>
          <m:rPr>
            <m:sty m:val="p"/>
            <m:scr m:val="script"/>
          </m:rPr>
          <m:t>C</m:t>
        </m:r>
      </m:oMath>
      <w:r>
        <w:t xml:space="preserve"> </w:t>
      </w:r>
      <w:r>
        <w:t xml:space="preserve">contains the identity and is closed under composition, both</w:t>
      </w:r>
      <w:r>
        <w:t xml:space="preserve"> </w:t>
      </w:r>
      <m:oMath>
        <m:r>
          <m:t>Q</m:t>
        </m:r>
      </m:oMath>
      <w:r>
        <w:t xml:space="preserve"> </w:t>
      </w:r>
      <w:r>
        <w:t xml:space="preserve">and the continuations descend to the quotient</w:t>
      </w:r>
      <w:r>
        <w:t xml:space="preserve"> </w:t>
      </w:r>
      <m:oMath>
        <m:r>
          <m:t>X</m:t>
        </m:r>
        <m:r>
          <m:rPr>
            <m:sty m:val="p"/>
          </m:rPr>
          <m:t>/</m:t>
        </m:r>
        <m:r>
          <m:t>​</m:t>
        </m:r>
        <m:sSub>
          <m:e>
            <m:r>
              <m:rPr>
                <m:sty m:val="p"/>
              </m:rPr>
              <m:t>≡</m:t>
            </m:r>
          </m:e>
          <m:sub>
            <m:r>
              <m:t>Q</m:t>
            </m:r>
            <m:r>
              <m:rPr>
                <m:sty m:val="p"/>
              </m:rPr>
              <m:t>,</m:t>
            </m:r>
            <m:r>
              <m:rPr>
                <m:sty m:val="p"/>
                <m:scr m:val="script"/>
              </m:rPr>
              <m:t>C</m:t>
            </m:r>
          </m:sub>
        </m:sSub>
      </m:oMath>
      <w:r>
        <w:t xml:space="preserve">. This is a standard observational-equivalence result related to Myhill–Nerode theory. It characterizes exactly the distinctions that any sufficient representation for this contract must preserve.</w:t>
      </w:r>
    </w:p>
    <w:p>
      <w:pPr>
        <w:pStyle w:val="BodyText"/>
      </w:pPr>
      <w:r>
        <w:rPr>
          <w:b/>
          <w:bCs/>
        </w:rPr>
        <w:t xml:space="preserve">Signature-update criterion (MF-97).</w:t>
      </w:r>
      <w:r>
        <w:t xml:space="preserve"> </w:t>
      </w:r>
      <w:r>
        <w:t xml:space="preserve">For a transformation</w:t>
      </w:r>
      <w:r>
        <w:t xml:space="preserve"> </w:t>
      </w:r>
      <m:oMath>
        <m:r>
          <m:t>F</m:t>
        </m:r>
        <m:r>
          <m:rPr>
            <m:sty m:val="p"/>
          </m:rPr>
          <m:t>:</m:t>
        </m:r>
        <m:r>
          <m:t>X</m:t>
        </m:r>
        <m:r>
          <m:rPr>
            <m:sty m:val="p"/>
          </m:rPr>
          <m:t>→</m:t>
        </m:r>
        <m:r>
          <m:t>X</m:t>
        </m:r>
      </m:oMath>
      <w:r>
        <w:t xml:space="preserve">, an operation</w:t>
      </w:r>
      <w:r>
        <w:t xml:space="preserve"> </w:t>
      </w:r>
      <m:oMath>
        <m:r>
          <m:t>f</m:t>
        </m:r>
      </m:oMath>
      <w:r>
        <w:t xml:space="preserve"> </w:t>
      </w:r>
      <w:r>
        <w:t xml:space="preserve">on signatures satisfying</w:t>
      </w:r>
      <w:r>
        <w:t xml:space="preserve"> </w:t>
      </w:r>
      <m:oMath>
        <m:r>
          <m:t>f</m:t>
        </m:r>
        <m:r>
          <m:rPr>
            <m:sty m:val="p"/>
          </m:rPr>
          <m:t>∘</m:t>
        </m:r>
        <m:r>
          <m:t>Φ</m:t>
        </m:r>
        <m:r>
          <m:rPr>
            <m:sty m:val="p"/>
          </m:rPr>
          <m:t>=</m:t>
        </m:r>
        <m:r>
          <m:t>Φ</m:t>
        </m:r>
        <m:r>
          <m:rPr>
            <m:sty m:val="p"/>
          </m:rPr>
          <m:t>∘</m:t>
        </m:r>
        <m:r>
          <m:t>F</m:t>
        </m:r>
      </m:oMath>
      <w:r>
        <w:t xml:space="preserve"> </w:t>
      </w:r>
      <w:r>
        <w:t xml:space="preserve">exists if and only if</w:t>
      </w:r>
    </w:p>
    <w:p>
      <w:pPr>
        <w:pStyle w:val="BodyText"/>
      </w:pPr>
      <m:oMathPara>
        <m:oMathParaPr>
          <m:jc m:val="center"/>
        </m:oMathParaPr>
        <m:oMath>
          <m:r>
            <m:t>Φ</m:t>
          </m:r>
          <m:d>
            <m:dPr>
              <m:begChr m:val="("/>
              <m:endChr m:val=")"/>
              <m:sepChr m:val=""/>
              <m:grow/>
            </m:dPr>
            <m:e>
              <m:r>
                <m:t>x</m:t>
              </m:r>
            </m:e>
          </m:d>
          <m:r>
            <m:rPr>
              <m:sty m:val="p"/>
            </m:rPr>
            <m:t>=</m:t>
          </m:r>
          <m:r>
            <m:t>Φ</m:t>
          </m:r>
          <m:d>
            <m:dPr>
              <m:begChr m:val="("/>
              <m:endChr m:val=")"/>
              <m:sepChr m:val=""/>
              <m:grow/>
            </m:dPr>
            <m:e>
              <m:r>
                <m:t>y</m:t>
              </m:r>
            </m:e>
          </m:d>
          <m:r>
            <m:rPr>
              <m:sty m:val="p"/>
            </m:rPr>
            <m:t>⇒</m:t>
          </m:r>
          <m:r>
            <m:t>Φ</m:t>
          </m:r>
          <m:d>
            <m:dPr>
              <m:begChr m:val="("/>
              <m:endChr m:val=")"/>
              <m:sepChr m:val=""/>
              <m:grow/>
            </m:dPr>
            <m:e>
              <m:r>
                <m:t>F</m:t>
              </m:r>
              <m:r>
                <m:t>x</m:t>
              </m:r>
            </m:e>
          </m:d>
          <m:r>
            <m:rPr>
              <m:sty m:val="p"/>
            </m:rPr>
            <m:t>=</m:t>
          </m:r>
          <m:r>
            <m:t>Φ</m:t>
          </m:r>
          <m:d>
            <m:dPr>
              <m:begChr m:val="("/>
              <m:endChr m:val=")"/>
              <m:sepChr m:val=""/>
              <m:grow/>
            </m:dPr>
            <m:e>
              <m:r>
                <m:t>F</m:t>
              </m:r>
              <m:r>
                <m:t>y</m:t>
              </m:r>
            </m:e>
          </m:d>
          <m:r>
            <m:rPr>
              <m:sty m:val="p"/>
            </m:rPr>
            <m:t>.</m:t>
          </m:r>
        </m:oMath>
      </m:oMathPara>
    </w:p>
    <w:p>
      <w:pPr>
        <w:pStyle w:val="FirstParagraph"/>
      </w:pPr>
      <w:r>
        <w:t xml:space="preserve">The proof defines</w:t>
      </w:r>
      <w:r>
        <w:t xml:space="preserve"> </w:t>
      </w:r>
      <m:oMath>
        <m:r>
          <m:t>f</m:t>
        </m:r>
        <m:d>
          <m:dPr>
            <m:begChr m:val="("/>
            <m:endChr m:val=")"/>
            <m:sepChr m:val=""/>
            <m:grow/>
          </m:dPr>
          <m:e>
            <m:r>
              <m:t>Φ</m:t>
            </m:r>
            <m:d>
              <m:dPr>
                <m:begChr m:val="("/>
                <m:endChr m:val=")"/>
                <m:sepChr m:val=""/>
                <m:grow/>
              </m:dPr>
              <m:e>
                <m:r>
                  <m:t>x</m:t>
                </m:r>
              </m:e>
            </m:d>
          </m:e>
        </m:d>
        <m:r>
          <m:rPr>
            <m:sty m:val="p"/>
          </m:rPr>
          <m:t>=</m:t>
        </m:r>
        <m:r>
          <m:t>Φ</m:t>
        </m:r>
        <m:d>
          <m:dPr>
            <m:begChr m:val="("/>
            <m:endChr m:val=")"/>
            <m:sepChr m:val=""/>
            <m:grow/>
          </m:dPr>
          <m:e>
            <m:r>
              <m:t>F</m:t>
            </m:r>
            <m:r>
              <m:t>x</m:t>
            </m:r>
          </m:e>
        </m:d>
      </m:oMath>
      <w:r>
        <w:t xml:space="preserve">; the condition ensures independence from the choice of representative. Reading the answer also requires</w:t>
      </w:r>
      <w:r>
        <w:t xml:space="preserve"> </w:t>
      </w:r>
      <m:oMath>
        <m:r>
          <m:t>Q</m:t>
        </m:r>
        <m:r>
          <m:rPr>
            <m:sty m:val="p"/>
          </m:rPr>
          <m:t>=</m:t>
        </m:r>
        <m:r>
          <m:t>d</m:t>
        </m:r>
        <m:r>
          <m:rPr>
            <m:sty m:val="p"/>
          </m:rPr>
          <m:t>∘</m:t>
        </m:r>
        <m:r>
          <m:t>Φ</m:t>
        </m:r>
      </m:oMath>
      <w:r>
        <w:t xml:space="preserve">.</w:t>
      </w:r>
      <w:r>
        <w:t xml:space="preserve"> </w:t>
      </w:r>
      <w:r>
        <w:rPr>
          <w:b/>
          <w:bCs/>
        </w:rPr>
        <w:t xml:space="preserve">The existence of</w:t>
      </w:r>
      <w:r>
        <w:rPr>
          <w:b/>
          <w:bCs/>
        </w:rPr>
        <w:t xml:space="preserve"> </w:t>
      </w:r>
      <m:oMath>
        <m:r>
          <m:t>f</m:t>
        </m:r>
      </m:oMath>
      <w:r>
        <w:rPr>
          <w:b/>
          <w:bCs/>
        </w:rPr>
        <w:t xml:space="preserve"> </w:t>
      </w:r>
      <w:r>
        <w:rPr>
          <w:b/>
          <w:bCs/>
        </w:rPr>
        <w:t xml:space="preserve">and</w:t>
      </w:r>
      <w:r>
        <w:rPr>
          <w:b/>
          <w:bCs/>
        </w:rPr>
        <w:t xml:space="preserve"> </w:t>
      </w:r>
      <m:oMath>
        <m:r>
          <m:t>d</m:t>
        </m:r>
      </m:oMath>
      <w:r>
        <w:rPr>
          <w:b/>
          <w:bCs/>
        </w:rPr>
        <w:t xml:space="preserve"> </w:t>
      </w:r>
      <w:r>
        <w:rPr>
          <w:b/>
          <w:bCs/>
        </w:rPr>
        <w:t xml:space="preserve">does not show that they can be constructed or executed efficiently.</w:t>
      </w:r>
    </w:p>
    <w:p>
      <w:pPr>
        <w:pStyle w:val="BodyText"/>
      </w:pPr>
      <w:r>
        <w:rPr>
          <w:b/>
          <w:bCs/>
        </w:rPr>
        <w:t xml:space="preserve">Internal reference and self-closure: a candidate contract [A/T under conditions].</w:t>
      </w:r>
      <w:r>
        <w:t xml:space="preserve"> </w:t>
      </w:r>
      <w:r>
        <w:t xml:space="preserve">To avoid identifying the exterior signature</w:t>
      </w:r>
      <w:r>
        <w:t xml:space="preserve"> </w:t>
      </w:r>
      <m:oMath>
        <m:r>
          <m:t>Φ</m:t>
        </m:r>
      </m:oMath>
      <w:r>
        <w:t xml:space="preserve"> </w:t>
      </w:r>
      <w:r>
        <w:t xml:space="preserve">with the unit, we propose examining an internal reference</w:t>
      </w:r>
      <w:r>
        <w:t xml:space="preserve"> </w:t>
      </w:r>
      <m:oMath>
        <m:sSub>
          <m:e>
            <m:r>
              <m:t>Ψ</m:t>
            </m:r>
          </m:e>
          <m:sub>
            <m:r>
              <m:t>U</m:t>
            </m:r>
          </m:sub>
        </m:sSub>
        <m:r>
          <m:rPr>
            <m:sty m:val="p"/>
          </m:rPr>
          <m:t>:</m:t>
        </m:r>
        <m:sSub>
          <m:e>
            <m:r>
              <m:t>X</m:t>
            </m:r>
          </m:e>
          <m:sub>
            <m:r>
              <m:t>U</m:t>
            </m:r>
          </m:sub>
        </m:sSub>
        <m:r>
          <m:rPr>
            <m:sty m:val="p"/>
          </m:rPr>
          <m:t>→</m:t>
        </m:r>
        <m:sSub>
          <m:e>
            <m:r>
              <m:t>S</m:t>
            </m:r>
          </m:e>
          <m:sub>
            <m:r>
              <m:t>U</m:t>
            </m:r>
          </m:sub>
        </m:sSub>
      </m:oMath>
      <w:r>
        <w:t xml:space="preserve"> </w:t>
      </w:r>
      <w:r>
        <w:t xml:space="preserve">and a declared set of internal transformations</w:t>
      </w:r>
      <w:r>
        <w:t xml:space="preserve"> </w:t>
      </w:r>
      <m:oMath>
        <m:sSub>
          <m:e>
            <m:r>
              <m:rPr>
                <m:sty m:val="p"/>
                <m:scr m:val="script"/>
              </m:rPr>
              <m:t>T</m:t>
            </m:r>
          </m:e>
          <m:sub>
            <m:r>
              <m:t>U</m:t>
            </m:r>
          </m:sub>
        </m:sSub>
      </m:oMath>
      <w:r>
        <w:t xml:space="preserve">. For each</w:t>
      </w:r>
      <w:r>
        <w:t xml:space="preserve"> </w:t>
      </w:r>
      <m:oMath>
        <m:r>
          <m:t>T</m:t>
        </m:r>
        <m:r>
          <m:rPr>
            <m:sty m:val="p"/>
          </m:rPr>
          <m:t>∈</m:t>
        </m:r>
        <m:sSub>
          <m:e>
            <m:r>
              <m:rPr>
                <m:sty m:val="p"/>
                <m:scr m:val="script"/>
              </m:rPr>
              <m:t>T</m:t>
            </m:r>
          </m:e>
          <m:sub>
            <m:r>
              <m:t>U</m:t>
            </m:r>
          </m:sub>
        </m:sSub>
      </m:oMath>
      <w:r>
        <w:t xml:space="preserve">, the compatibility to be tested is</w:t>
      </w:r>
    </w:p>
    <w:p>
      <w:pPr>
        <w:pStyle w:val="BodyText"/>
      </w:pPr>
      <m:oMathPara>
        <m:oMathParaPr>
          <m:jc m:val="center"/>
        </m:oMathParaPr>
        <m:oMath>
          <m:sSub>
            <m:e>
              <m:r>
                <m:t>Ψ</m:t>
              </m:r>
            </m:e>
            <m:sub>
              <m:r>
                <m:t>U</m:t>
              </m:r>
            </m:sub>
          </m:sSub>
          <m:d>
            <m:dPr>
              <m:begChr m:val="("/>
              <m:endChr m:val=")"/>
              <m:sepChr m:val=""/>
              <m:grow/>
            </m:dPr>
            <m:e>
              <m:r>
                <m:t>T</m:t>
              </m:r>
              <m:r>
                <m:t>x</m:t>
              </m:r>
            </m:e>
          </m:d>
          <m:r>
            <m:rPr>
              <m:sty m:val="p"/>
            </m:rPr>
            <m:t>=</m:t>
          </m:r>
          <m:sSub>
            <m:e>
              <m:r>
                <m:t>t</m:t>
              </m:r>
            </m:e>
            <m:sub>
              <m:r>
                <m:t>T</m:t>
              </m:r>
            </m:sub>
          </m:sSub>
          <m:d>
            <m:dPr>
              <m:begChr m:val="("/>
              <m:endChr m:val=")"/>
              <m:sepChr m:val=""/>
              <m:grow/>
            </m:dPr>
            <m:e>
              <m:sSub>
                <m:e>
                  <m:r>
                    <m:t>Ψ</m:t>
                  </m:r>
                </m:e>
                <m:sub>
                  <m:r>
                    <m:t>U</m:t>
                  </m:r>
                </m:sub>
              </m:sSub>
              <m:d>
                <m:dPr>
                  <m:begChr m:val="("/>
                  <m:endChr m:val=")"/>
                  <m:sepChr m:val=""/>
                  <m:grow/>
                </m:dPr>
                <m:e>
                  <m:r>
                    <m:t>x</m:t>
                  </m:r>
                </m:e>
              </m:d>
            </m:e>
          </m:d>
          <m:r>
            <m:rPr>
              <m:sty m:val="p"/>
            </m:rPr>
            <m:t>,</m:t>
          </m:r>
          <m:r>
            <m:t>  </m:t>
          </m:r>
          <m:r>
            <m:t>Q</m:t>
          </m:r>
          <m:r>
            <m:rPr>
              <m:sty m:val="p"/>
            </m:rPr>
            <m:t>=</m:t>
          </m:r>
          <m:sSub>
            <m:e>
              <m:r>
                <m:t>d</m:t>
              </m:r>
            </m:e>
            <m:sub>
              <m:r>
                <m:t>Q</m:t>
              </m:r>
            </m:sub>
          </m:sSub>
          <m:r>
            <m:rPr>
              <m:sty m:val="p"/>
            </m:rPr>
            <m:t>∘</m:t>
          </m:r>
          <m:sSub>
            <m:e>
              <m:r>
                <m:t>Ψ</m:t>
              </m:r>
            </m:e>
            <m:sub>
              <m:r>
                <m:t>U</m:t>
              </m:r>
            </m:sub>
          </m:sSub>
          <m:r>
            <m:t> </m:t>
          </m:r>
          <m:d>
            <m:dPr>
              <m:begChr m:val="("/>
              <m:endChr m:val=")"/>
              <m:sepChr m:val=""/>
              <m:grow/>
            </m:dPr>
            <m:e>
              <m:r>
                <m:t>Q</m:t>
              </m:r>
              <m:r>
                <m:rPr>
                  <m:sty m:val="p"/>
                </m:rPr>
                <m:t>∈</m:t>
              </m:r>
              <m:sSub>
                <m:e>
                  <m:r>
                    <m:rPr>
                      <m:sty m:val="p"/>
                      <m:scr m:val="script"/>
                    </m:rPr>
                    <m:t>Q</m:t>
                  </m:r>
                </m:e>
                <m:sub>
                  <m:r>
                    <m:t>U</m:t>
                  </m:r>
                </m:sub>
              </m:sSub>
            </m:e>
          </m:d>
          <m:r>
            <m:rPr>
              <m:sty m:val="p"/>
            </m:rPr>
            <m:t>.</m:t>
          </m:r>
        </m:oMath>
      </m:oMathPara>
    </w:p>
    <w:p>
      <w:pPr>
        <w:pStyle w:val="FirstParagraph"/>
      </w:pPr>
      <w:r>
        <w:t xml:space="preserve">If transformations compose, their updates must also compose</w:t>
      </w:r>
      <w:r>
        <w:t xml:space="preserve"> </w:t>
      </w:r>
      <w:r>
        <w:rPr>
          <w:b/>
          <w:bCs/>
        </w:rPr>
        <w:t xml:space="preserve">on reachable states</w:t>
      </w:r>
      <w:r>
        <w:t xml:space="preserve">:</w:t>
      </w:r>
      <w:r>
        <w:t xml:space="preserve"> </w:t>
      </w:r>
      <m:oMath>
        <m:sSub>
          <m:e>
            <m:r>
              <m:t>t</m:t>
            </m:r>
          </m:e>
          <m:sub>
            <m:sSub>
              <m:e>
                <m:r>
                  <m:t>T</m:t>
                </m:r>
              </m:e>
              <m:sub>
                <m:r>
                  <m:t>2</m:t>
                </m:r>
              </m:sub>
            </m:sSub>
            <m:r>
              <m:rPr>
                <m:sty m:val="p"/>
              </m:rPr>
              <m:t>∘</m:t>
            </m:r>
            <m:sSub>
              <m:e>
                <m:r>
                  <m:t>T</m:t>
                </m:r>
              </m:e>
              <m:sub>
                <m:r>
                  <m:t>1</m:t>
                </m:r>
              </m:sub>
            </m:sSub>
          </m:sub>
        </m:sSub>
        <m:r>
          <m:rPr>
            <m:sty m:val="p"/>
          </m:rPr>
          <m:t>=</m:t>
        </m:r>
        <m:sSub>
          <m:e>
            <m:r>
              <m:t>t</m:t>
            </m:r>
          </m:e>
          <m:sub>
            <m:sSub>
              <m:e>
                <m:r>
                  <m:t>T</m:t>
                </m:r>
              </m:e>
              <m:sub>
                <m:r>
                  <m:t>2</m:t>
                </m:r>
              </m:sub>
            </m:sSub>
          </m:sub>
        </m:sSub>
        <m:r>
          <m:rPr>
            <m:sty m:val="p"/>
          </m:rPr>
          <m:t>∘</m:t>
        </m:r>
        <m:sSub>
          <m:e>
            <m:r>
              <m:t>t</m:t>
            </m:r>
          </m:e>
          <m:sub>
            <m:sSub>
              <m:e>
                <m:r>
                  <m:t>T</m:t>
                </m:r>
              </m:e>
              <m:sub>
                <m:r>
                  <m:t>1</m:t>
                </m:r>
              </m:sub>
            </m:sSub>
          </m:sub>
        </m:sSub>
      </m:oMath>
      <w:r>
        <w:t xml:space="preserve">. The internal relations</w:t>
      </w:r>
      <w:r>
        <w:t xml:space="preserve"> </w:t>
      </w:r>
      <m:oMath>
        <m:sSub>
          <m:e>
            <m:r>
              <m:t>R</m:t>
            </m:r>
          </m:e>
          <m:sub>
            <m:r>
              <m:t>U</m:t>
            </m:r>
          </m:sub>
        </m:sSub>
      </m:oMath>
      <w:r>
        <w:t xml:space="preserve"> </w:t>
      </w:r>
      <w:r>
        <w:t xml:space="preserve">required to be preserved and the queries</w:t>
      </w:r>
      <w:r>
        <w:t xml:space="preserve"> </w:t>
      </w:r>
      <m:oMath>
        <m:sSub>
          <m:e>
            <m:r>
              <m:rPr>
                <m:sty m:val="p"/>
                <m:scr m:val="script"/>
              </m:rPr>
              <m:t>Q</m:t>
            </m:r>
          </m:e>
          <m:sub>
            <m:r>
              <m:t>U</m:t>
            </m:r>
          </m:sub>
        </m:sSub>
      </m:oMath>
      <w:r>
        <w:t xml:space="preserve"> </w:t>
      </w:r>
      <w:r>
        <w:t xml:space="preserve">used to compare internal and exterior recognition must be specified.</w:t>
      </w:r>
    </w:p>
    <w:p>
      <w:pPr>
        <w:pStyle w:val="BodyText"/>
      </w:pPr>
      <w:r>
        <w:t xml:space="preserve">These equalities are</w:t>
      </w:r>
      <w:r>
        <w:t xml:space="preserve"> </w:t>
      </w:r>
      <w:r>
        <w:rPr>
          <w:b/>
          <w:bCs/>
        </w:rPr>
        <w:t xml:space="preserve">testable conditions once their objects have been defined</w:t>
      </w:r>
      <w:r>
        <w:t xml:space="preserve">, not a universal definition of self-closure. They admit trivial realizations (for example,</w:t>
      </w:r>
      <w:r>
        <w:t xml:space="preserve"> </w:t>
      </w:r>
      <m:oMath>
        <m:sSub>
          <m:e>
            <m:r>
              <m:t>Ψ</m:t>
            </m:r>
          </m:e>
          <m:sub>
            <m:r>
              <m:t>U</m:t>
            </m:r>
          </m:sub>
        </m:sSub>
        <m:r>
          <m:rPr>
            <m:sty m:val="p"/>
          </m:rPr>
          <m:t>=</m:t>
        </m:r>
        <m:r>
          <m:rPr>
            <m:sty m:val="p"/>
          </m:rPr>
          <m:t>i</m:t>
        </m:r>
        <m:r>
          <m:rPr>
            <m:sty m:val="p"/>
          </m:rPr>
          <m:t>d</m:t>
        </m:r>
      </m:oMath>
      <w:r>
        <w:t xml:space="preserve">); their mere existence therefore does not distinguish a self-referential unit from an encoding of states. The substantial review question is to identify a nontrivial condition of internal stability and continuity that remains meaningful when an exterior reference</w:t>
      </w:r>
      <w:r>
        <w:t xml:space="preserve"> </w:t>
      </w:r>
      <m:oMath>
        <m:r>
          <m:t>Φ</m:t>
        </m:r>
      </m:oMath>
      <w:r>
        <w:t xml:space="preserve"> </w:t>
      </w:r>
      <w:r>
        <w:t xml:space="preserve">changes.</w:t>
      </w:r>
    </w:p>
    <w:bookmarkEnd w:id="26"/>
    <w:bookmarkStart w:id="28" w:name="X0b89616de84c94a5445f9a5dbb22b8a7d49af24"/>
    <w:p>
      <w:pPr>
        <w:pStyle w:val="Heading2"/>
      </w:pPr>
      <w:r>
        <w:t xml:space="preserve">5. Interior and exterior: what a reference preserves [T/E]</w:t>
      </w:r>
    </w:p>
    <w:p>
      <w:pPr>
        <w:pStyle w:val="FirstParagraph"/>
      </w:pPr>
      <w:r>
        <w:rPr>
          <w:b/>
          <w:bCs/>
        </w:rPr>
        <w:t xml:space="preserve">R5: composition through a boundary.</w:t>
      </w:r>
      <w:r>
        <w:t xml:space="preserve"> </w:t>
      </w:r>
      <w:r>
        <w:t xml:space="preserve">For a graph</w:t>
      </w:r>
      <w:r>
        <w:t xml:space="preserve"> </w:t>
      </w:r>
      <m:oMath>
        <m:r>
          <m:t>H</m:t>
        </m:r>
      </m:oMath>
      <w:r>
        <w:t xml:space="preserve"> </w:t>
      </w:r>
      <w:r>
        <w:t xml:space="preserve">with a labeled boundary</w:t>
      </w:r>
      <w:r>
        <w:t xml:space="preserve"> </w:t>
      </w:r>
      <m:oMath>
        <m:r>
          <m:t>B</m:t>
        </m:r>
      </m:oMath>
      <w:r>
        <w:t xml:space="preserve">, define</w:t>
      </w:r>
    </w:p>
    <w:p>
      <w:pPr>
        <w:pStyle w:val="BodyText"/>
      </w:pPr>
      <m:oMathPara>
        <m:oMathParaPr>
          <m:jc m:val="center"/>
        </m:oMathParaPr>
        <m:oMath>
          <m:sSub>
            <m:e>
              <m:r>
                <m:t>Γ</m:t>
              </m:r>
            </m:e>
            <m:sub>
              <m:r>
                <m:t>H</m:t>
              </m:r>
            </m:sub>
          </m:sSub>
          <m:d>
            <m:dPr>
              <m:begChr m:val="("/>
              <m:endChr m:val=")"/>
              <m:sepChr m:val=""/>
              <m:grow/>
            </m:dPr>
            <m:e>
              <m:r>
                <m:t>B</m:t>
              </m:r>
            </m:e>
          </m:d>
          <m:r>
            <m:rPr>
              <m:sty m:val="p"/>
            </m:rPr>
            <m:t>=</m:t>
          </m:r>
          <m:r>
            <m:rPr>
              <m:sty m:val="p"/>
            </m:rPr>
            <m:t>{</m:t>
          </m:r>
          <m:r>
            <m:t>c</m:t>
          </m:r>
          <m:sSub>
            <m:e>
              <m:r>
                <m:rPr>
                  <m:sty m:val="p"/>
                </m:rPr>
                <m:t>|</m:t>
              </m:r>
            </m:e>
            <m:sub>
              <m:r>
                <m:t>B</m:t>
              </m:r>
            </m:sub>
          </m:sSub>
          <m:r>
            <m:rPr>
              <m:sty m:val="p"/>
            </m:rPr>
            <m:t>:</m:t>
          </m:r>
          <m:r>
            <m:t>c</m:t>
          </m:r>
          <m:r>
            <m:rPr>
              <m:nor/>
              <m:sty m:val="p"/>
            </m:rPr>
            <m:t> is a valid 3-coloring of </m:t>
          </m:r>
          <m:r>
            <m:t>H</m:t>
          </m:r>
          <m:r>
            <m:rPr>
              <m:sty m:val="p"/>
            </m:rPr>
            <m:t>}</m:t>
          </m:r>
          <m:r>
            <m:rPr>
              <m:sty m:val="p"/>
            </m:rPr>
            <m:t>.</m:t>
          </m:r>
        </m:oMath>
      </m:oMathPara>
    </w:p>
    <w:p>
      <w:pPr>
        <w:pStyle w:val="FirstParagraph"/>
      </w:pPr>
      <w:r>
        <w:t xml:space="preserve">If two regions share only</w:t>
      </w:r>
      <w:r>
        <w:t xml:space="preserve"> </w:t>
      </w:r>
      <m:oMath>
        <m:r>
          <m:t>B</m:t>
        </m:r>
      </m:oMath>
      <w:r>
        <w:t xml:space="preserve">, their interiors are disjoint, and no additional edges join their interiors, then their union is 3-colorable exactly when their boundary signatures intersect. Adding an edge</w:t>
      </w:r>
      <w:r>
        <w:t xml:space="preserve"> </w:t>
      </w:r>
      <m:oMath>
        <m:r>
          <m:t>a</m:t>
        </m:r>
        <m:r>
          <m:t>b</m:t>
        </m:r>
      </m:oMath>
      <w:r>
        <w:t xml:space="preserve"> </w:t>
      </w:r>
      <w:r>
        <w:t xml:space="preserve">with</w:t>
      </w:r>
      <w:r>
        <w:t xml:space="preserve"> </w:t>
      </w:r>
      <m:oMath>
        <m:r>
          <m:t>a</m:t>
        </m:r>
        <m:r>
          <m:rPr>
            <m:sty m:val="p"/>
          </m:rPr>
          <m:t>,</m:t>
        </m:r>
        <m:r>
          <m:t>b</m:t>
        </m:r>
        <m:r>
          <m:rPr>
            <m:sty m:val="p"/>
          </m:rPr>
          <m:t>∈</m:t>
        </m:r>
        <m:r>
          <m:t>B</m:t>
        </m:r>
      </m:oMath>
      <w:r>
        <w:t xml:space="preserve"> </w:t>
      </w:r>
      <w:r>
        <w:t xml:space="preserve">filters the signature according to</w:t>
      </w:r>
      <w:r>
        <w:t xml:space="preserve"> </w:t>
      </w:r>
      <m:oMath>
        <m:r>
          <m:t>c</m:t>
        </m:r>
        <m:d>
          <m:dPr>
            <m:begChr m:val="("/>
            <m:endChr m:val=")"/>
            <m:sepChr m:val=""/>
            <m:grow/>
          </m:dPr>
          <m:e>
            <m:r>
              <m:t>a</m:t>
            </m:r>
          </m:e>
        </m:d>
        <m:r>
          <m:rPr>
            <m:sty m:val="p"/>
          </m:rPr>
          <m:t>≠</m:t>
        </m:r>
        <m:r>
          <m:t>c</m:t>
        </m:r>
        <m:d>
          <m:dPr>
            <m:begChr m:val="("/>
            <m:endChr m:val=")"/>
            <m:sepChr m:val=""/>
            <m:grow/>
          </m:dPr>
          <m:e>
            <m:r>
              <m:t>b</m:t>
            </m:r>
          </m:e>
        </m:d>
      </m:oMath>
      <w:r>
        <w:t xml:space="preserve">.</w:t>
      </w:r>
    </w:p>
    <w:p>
      <w:pPr>
        <w:pStyle w:val="BodyText"/>
      </w:pPr>
      <w:r>
        <w:rPr>
          <w:b/>
          <w:bCs/>
        </w:rPr>
        <w:t xml:space="preserve">R5-F1 counterexample (original source).</w:t>
      </w:r>
      <w:r>
        <w:t xml:space="preserve"> </w:t>
      </w:r>
      <w:r>
        <w:t xml:space="preserve">On</w:t>
      </w:r>
      <w:r>
        <w:t xml:space="preserve"> </w:t>
      </w:r>
      <m:oMath>
        <m:r>
          <m:t>V</m:t>
        </m:r>
        <m:r>
          <m:rPr>
            <m:sty m:val="p"/>
          </m:rPr>
          <m:t>=</m:t>
        </m:r>
        <m:r>
          <m:rPr>
            <m:sty m:val="p"/>
          </m:rPr>
          <m:t>{</m:t>
        </m:r>
        <m:r>
          <m:t>0</m:t>
        </m:r>
        <m:r>
          <m:rPr>
            <m:sty m:val="p"/>
          </m:rPr>
          <m:t>,</m:t>
        </m:r>
        <m:r>
          <m:t>1</m:t>
        </m:r>
        <m:r>
          <m:rPr>
            <m:sty m:val="p"/>
          </m:rPr>
          <m:t>,</m:t>
        </m:r>
        <m:r>
          <m:t>2</m:t>
        </m:r>
        <m:r>
          <m:rPr>
            <m:sty m:val="p"/>
          </m:rPr>
          <m:t>,</m:t>
        </m:r>
        <m:r>
          <m:t>3</m:t>
        </m:r>
        <m:r>
          <m:rPr>
            <m:sty m:val="p"/>
          </m:rPr>
          <m:t>}</m:t>
        </m:r>
      </m:oMath>
      <w:r>
        <w:t xml:space="preserve"> </w:t>
      </w:r>
      <w:r>
        <w:t xml:space="preserve">with boundary</w:t>
      </w:r>
      <w:r>
        <w:t xml:space="preserve"> </w:t>
      </w:r>
      <m:oMath>
        <m:r>
          <m:t>B</m:t>
        </m:r>
        <m:r>
          <m:rPr>
            <m:sty m:val="p"/>
          </m:rPr>
          <m:t>=</m:t>
        </m:r>
        <m:r>
          <m:rPr>
            <m:sty m:val="p"/>
          </m:rPr>
          <m:t>{</m:t>
        </m:r>
        <m:r>
          <m:t>0</m:t>
        </m:r>
        <m:r>
          <m:rPr>
            <m:sty m:val="p"/>
          </m:rPr>
          <m:t>,</m:t>
        </m:r>
        <m:r>
          <m:t>1</m:t>
        </m:r>
        <m:r>
          <m:rPr>
            <m:sty m:val="p"/>
          </m:rPr>
          <m:t>}</m:t>
        </m:r>
      </m:oMath>
      <w:r>
        <w:t xml:space="preserve">, let</w:t>
      </w:r>
      <w:r>
        <w:t xml:space="preserve"> </w:t>
      </w:r>
      <m:oMath>
        <m:sSub>
          <m:e>
            <m:r>
              <m:t>H</m:t>
            </m:r>
          </m:e>
          <m:sub>
            <m:r>
              <m:t>1</m:t>
            </m:r>
          </m:sub>
        </m:sSub>
      </m:oMath>
      <w:r>
        <w:t xml:space="preserve"> </w:t>
      </w:r>
      <w:r>
        <w:t xml:space="preserve">have edges</w:t>
      </w:r>
      <w:r>
        <w:t xml:space="preserve"> </w:t>
      </w:r>
      <m:oMath>
        <m:r>
          <m:t>01</m:t>
        </m:r>
        <m:r>
          <m:rPr>
            <m:sty m:val="p"/>
          </m:rPr>
          <m:t>,</m:t>
        </m:r>
        <m:r>
          <m:t>02</m:t>
        </m:r>
        <m:r>
          <m:rPr>
            <m:sty m:val="p"/>
          </m:rPr>
          <m:t>,</m:t>
        </m:r>
        <m:r>
          <m:t>12</m:t>
        </m:r>
        <m:r>
          <m:rPr>
            <m:sty m:val="p"/>
          </m:rPr>
          <m:t>,</m:t>
        </m:r>
        <m:r>
          <m:t>03</m:t>
        </m:r>
        <m:r>
          <m:rPr>
            <m:sty m:val="p"/>
          </m:rPr>
          <m:t>,</m:t>
        </m:r>
        <m:r>
          <m:t>13</m:t>
        </m:r>
      </m:oMath>
      <w:r>
        <w:t xml:space="preserve"> </w:t>
      </w:r>
      <w:r>
        <w:t xml:space="preserve">and let</w:t>
      </w:r>
      <w:r>
        <w:t xml:space="preserve"> </w:t>
      </w:r>
      <m:oMath>
        <m:sSub>
          <m:e>
            <m:r>
              <m:t>H</m:t>
            </m:r>
          </m:e>
          <m:sub>
            <m:r>
              <m:t>2</m:t>
            </m:r>
          </m:sub>
        </m:sSub>
      </m:oMath>
      <w:r>
        <w:t xml:space="preserve"> </w:t>
      </w:r>
      <w:r>
        <w:t xml:space="preserve">have edges</w:t>
      </w:r>
      <w:r>
        <w:t xml:space="preserve"> </w:t>
      </w:r>
      <m:oMath>
        <m:r>
          <m:t>01</m:t>
        </m:r>
        <m:r>
          <m:rPr>
            <m:sty m:val="p"/>
          </m:rPr>
          <m:t>,</m:t>
        </m:r>
        <m:r>
          <m:t>02</m:t>
        </m:r>
        <m:r>
          <m:rPr>
            <m:sty m:val="p"/>
          </m:rPr>
          <m:t>,</m:t>
        </m:r>
        <m:r>
          <m:t>12</m:t>
        </m:r>
        <m:r>
          <m:rPr>
            <m:sty m:val="p"/>
          </m:rPr>
          <m:t>,</m:t>
        </m:r>
        <m:r>
          <m:t>03</m:t>
        </m:r>
      </m:oMath>
      <w:r>
        <w:t xml:space="preserve">. Both admit six exterior assignments (the pairs of distinct colors on</w:t>
      </w:r>
      <w:r>
        <w:t xml:space="preserve"> </w:t>
      </w:r>
      <m:oMath>
        <m:r>
          <m:t>0</m:t>
        </m:r>
        <m:r>
          <m:rPr>
            <m:sty m:val="p"/>
          </m:rPr>
          <m:t>,</m:t>
        </m:r>
        <m:r>
          <m:t>1</m:t>
        </m:r>
      </m:oMath>
      <w:r>
        <w:t xml:space="preserve">). When the same interior edge</w:t>
      </w:r>
      <w:r>
        <w:t xml:space="preserve"> </w:t>
      </w:r>
      <m:oMath>
        <m:r>
          <m:t>23</m:t>
        </m:r>
      </m:oMath>
      <w:r>
        <w:t xml:space="preserve"> </w:t>
      </w:r>
      <w:r>
        <w:t xml:space="preserve">is added,</w:t>
      </w:r>
      <w:r>
        <w:t xml:space="preserve"> </w:t>
      </w:r>
      <m:oMath>
        <m:sSub>
          <m:e>
            <m:r>
              <m:t>H</m:t>
            </m:r>
          </m:e>
          <m:sub>
            <m:r>
              <m:t>1</m:t>
            </m:r>
          </m:sub>
        </m:sSub>
      </m:oMath>
      <w:r>
        <w:t xml:space="preserve"> </w:t>
      </w:r>
      <w:r>
        <w:t xml:space="preserve">becomes</w:t>
      </w:r>
      <w:r>
        <w:t xml:space="preserve"> </w:t>
      </w:r>
      <m:oMath>
        <m:sSub>
          <m:e>
            <m:r>
              <m:t>K</m:t>
            </m:r>
          </m:e>
          <m:sub>
            <m:r>
              <m:t>4</m:t>
            </m:r>
          </m:sub>
        </m:sSub>
      </m:oMath>
      <w:r>
        <w:t xml:space="preserve"> </w:t>
      </w:r>
      <w:r>
        <w:t xml:space="preserve">and its signature becomes empty;</w:t>
      </w:r>
      <w:r>
        <w:t xml:space="preserve"> </w:t>
      </w:r>
      <m:oMath>
        <m:sSub>
          <m:e>
            <m:r>
              <m:t>H</m:t>
            </m:r>
          </m:e>
          <m:sub>
            <m:r>
              <m:t>2</m:t>
            </m:r>
          </m:sub>
        </m:sSub>
      </m:oMath>
      <w:r>
        <w:t xml:space="preserve"> </w:t>
      </w:r>
      <w:r>
        <w:t xml:space="preserve">retains six exterior assignments. The exterior signature was sufficient for</w:t>
      </w:r>
      <w:r>
        <w:t xml:space="preserve"> </w:t>
      </w:r>
      <w:r>
        <w:rPr>
          <w:b/>
          <w:bCs/>
        </w:rPr>
        <w:t xml:space="preserve">exterior continuations</w:t>
      </w:r>
      <w:r>
        <w:t xml:space="preserve"> </w:t>
      </w:r>
      <w:r>
        <w:t xml:space="preserve">but is insufficient for this</w:t>
      </w:r>
      <w:r>
        <w:t xml:space="preserve"> </w:t>
      </w:r>
      <w:r>
        <w:rPr>
          <w:b/>
          <w:bCs/>
        </w:rPr>
        <w:t xml:space="preserve">interior</w:t>
      </w:r>
      <w:r>
        <w:t xml:space="preserve"> </w:t>
      </w:r>
      <w:r>
        <w:t xml:space="preserve">modification. The earlier result has not failed: the family of admissible continuations has changed.</w:t>
      </w:r>
    </w:p>
    <w:p>
      <w:pPr>
        <w:pStyle w:val="BodyText"/>
      </w:pPr>
      <w:r>
        <w:t xml:space="preserve">An exact enriched interface for a specified modification</w:t>
      </w:r>
      <w:r>
        <w:t xml:space="preserve"> </w:t>
      </w:r>
      <m:oMath>
        <m:r>
          <m:t>u</m:t>
        </m:r>
        <m:r>
          <m:t>v</m:t>
        </m:r>
      </m:oMath>
      <w:r>
        <w:t xml:space="preserve"> </w:t>
      </w:r>
      <w:r>
        <w:t xml:space="preserve">is</w:t>
      </w:r>
      <w:r>
        <w:t xml:space="preserve"> </w:t>
      </w:r>
      <m:oMath>
        <m:sSubSup>
          <m:e>
            <m:r>
              <m:t>Σ</m:t>
            </m:r>
          </m:e>
          <m:sub>
            <m:r>
              <m:t>H</m:t>
            </m:r>
          </m:sub>
          <m:sup>
            <m:r>
              <m:t>u</m:t>
            </m:r>
            <m:r>
              <m:rPr>
                <m:sty m:val="p"/>
              </m:rPr>
              <m:t>,</m:t>
            </m:r>
            <m:r>
              <m:t>v</m:t>
            </m:r>
          </m:sup>
        </m:sSubSup>
        <m:d>
          <m:dPr>
            <m:begChr m:val="("/>
            <m:endChr m:val=")"/>
            <m:sepChr m:val=""/>
            <m:grow/>
          </m:dPr>
          <m:e>
            <m:r>
              <m:t>B</m:t>
            </m:r>
          </m:e>
        </m:d>
        <m:r>
          <m:rPr>
            <m:sty m:val="p"/>
          </m:rPr>
          <m:t>=</m:t>
        </m:r>
        <m:r>
          <m:rPr>
            <m:sty m:val="p"/>
          </m:rPr>
          <m:t>{</m:t>
        </m:r>
        <m:d>
          <m:dPr>
            <m:begChr m:val="("/>
            <m:endChr m:val=")"/>
            <m:sepChr m:val=""/>
            <m:grow/>
          </m:dPr>
          <m:e>
            <m:r>
              <m:t>c</m:t>
            </m:r>
            <m:sSub>
              <m:e>
                <m:r>
                  <m:rPr>
                    <m:sty m:val="p"/>
                  </m:rPr>
                  <m:t>|</m:t>
                </m:r>
              </m:e>
              <m:sub>
                <m:r>
                  <m:t>B</m:t>
                </m:r>
              </m:sub>
            </m:sSub>
            <m:r>
              <m:rPr>
                <m:sty m:val="p"/>
              </m:rPr>
              <m:t>,</m:t>
            </m:r>
            <m:r>
              <m:t>c</m:t>
            </m:r>
            <m:d>
              <m:dPr>
                <m:begChr m:val="("/>
                <m:endChr m:val=")"/>
                <m:sepChr m:val=""/>
                <m:grow/>
              </m:dPr>
              <m:e>
                <m:r>
                  <m:t>u</m:t>
                </m:r>
              </m:e>
            </m:d>
            <m:r>
              <m:rPr>
                <m:sty m:val="p"/>
              </m:rPr>
              <m:t>,</m:t>
            </m:r>
            <m:r>
              <m:t>c</m:t>
            </m:r>
            <m:d>
              <m:dPr>
                <m:begChr m:val="("/>
                <m:endChr m:val=")"/>
                <m:sepChr m:val=""/>
                <m:grow/>
              </m:dPr>
              <m:e>
                <m:r>
                  <m:t>v</m:t>
                </m:r>
              </m:e>
            </m:d>
          </m:e>
        </m:d>
        <m:r>
          <m:rPr>
            <m:sty m:val="p"/>
          </m:rPr>
          <m:t>:</m:t>
        </m:r>
        <m:r>
          <m:t>c</m:t>
        </m:r>
        <m:r>
          <m:rPr>
            <m:nor/>
            <m:sty m:val="p"/>
          </m:rPr>
          <m:t> is valid</m:t>
        </m:r>
        <m:r>
          <m:rPr>
            <m:sty m:val="p"/>
          </m:rPr>
          <m:t>}</m:t>
        </m:r>
      </m:oMath>
      <w:r>
        <w:t xml:space="preserve">. Filtering by</w:t>
      </w:r>
      <w:r>
        <w:t xml:space="preserve"> </w:t>
      </w:r>
      <m:oMath>
        <m:r>
          <m:t>c</m:t>
        </m:r>
        <m:d>
          <m:dPr>
            <m:begChr m:val="("/>
            <m:endChr m:val=")"/>
            <m:sepChr m:val=""/>
            <m:grow/>
          </m:dPr>
          <m:e>
            <m:r>
              <m:t>u</m:t>
            </m:r>
          </m:e>
        </m:d>
        <m:r>
          <m:rPr>
            <m:sty m:val="p"/>
          </m:rPr>
          <m:t>≠</m:t>
        </m:r>
        <m:r>
          <m:t>c</m:t>
        </m:r>
        <m:d>
          <m:dPr>
            <m:begChr m:val="("/>
            <m:endChr m:val=")"/>
            <m:sepChr m:val=""/>
            <m:grow/>
          </m:dPr>
          <m:e>
            <m:r>
              <m:t>v</m:t>
            </m:r>
          </m:e>
        </m:d>
      </m:oMath>
      <w:r>
        <w:t xml:space="preserve"> </w:t>
      </w:r>
      <w:r>
        <w:t xml:space="preserve">and projecting back to</w:t>
      </w:r>
      <w:r>
        <w:t xml:space="preserve"> </w:t>
      </w:r>
      <m:oMath>
        <m:r>
          <m:t>B</m:t>
        </m:r>
      </m:oMath>
      <w:r>
        <w:t xml:space="preserve"> </w:t>
      </w:r>
      <w:r>
        <w:t xml:space="preserve">reconstructs the new signature. This proves semantic sufficiency without establishing universally polynomial size or cost.</w:t>
      </w:r>
    </w:p>
    <w:p>
      <w:pPr>
        <w:pStyle w:val="BodyText"/>
      </w:pPr>
      <w:r>
        <w:rPr>
          <w:b/>
          <w:bCs/>
        </w:rPr>
        <w:t xml:space="preserve">R6: the circumstantial determinant.</w:t>
      </w:r>
      <w:r>
        <w:t xml:space="preserve"> </w:t>
      </w:r>
      <w:r>
        <w:t xml:space="preserve">Let</w:t>
      </w:r>
      <w:r>
        <w:t xml:space="preserve"> </w:t>
      </w:r>
      <m:oMath>
        <m:sSub>
          <m:e>
            <m:r>
              <m:rPr>
                <m:sty m:val="p"/>
                <m:scr m:val="script"/>
              </m:rPr>
              <m:t>P</m:t>
            </m:r>
          </m:e>
          <m:sub>
            <m:r>
              <m:t>3</m:t>
            </m:r>
          </m:sub>
        </m:sSub>
        <m:d>
          <m:dPr>
            <m:begChr m:val="("/>
            <m:endChr m:val=")"/>
            <m:sepChr m:val=""/>
            <m:grow/>
          </m:dPr>
          <m:e>
            <m:r>
              <m:t>G</m:t>
            </m:r>
          </m:e>
        </m:d>
      </m:oMath>
      <w:r>
        <w:t xml:space="preserve"> </w:t>
      </w:r>
      <w:r>
        <w:t xml:space="preserve">be the family of partitions of</w:t>
      </w:r>
      <w:r>
        <w:t xml:space="preserve"> </w:t>
      </w:r>
      <m:oMath>
        <m:r>
          <m:t>V</m:t>
        </m:r>
      </m:oMath>
      <w:r>
        <w:t xml:space="preserve">,</w:t>
      </w:r>
      <w:r>
        <w:t xml:space="preserve"> </w:t>
      </w:r>
      <m:oMath>
        <m:d>
          <m:dPr>
            <m:begChr m:val="|"/>
            <m:endChr m:val="|"/>
            <m:sepChr m:val=""/>
            <m:grow/>
          </m:dPr>
          <m:e>
            <m:r>
              <m:t>V</m:t>
            </m:r>
          </m:e>
        </m:d>
        <m:r>
          <m:rPr>
            <m:sty m:val="p"/>
          </m:rPr>
          <m:t>≥</m:t>
        </m:r>
        <m:r>
          <m:t>3</m:t>
        </m:r>
      </m:oMath>
      <w:r>
        <w:t xml:space="preserve">, into three nonempty independent classes without color names. For graphs on the same</w:t>
      </w:r>
      <w:r>
        <w:t xml:space="preserve"> </w:t>
      </w:r>
      <m:oMath>
        <m:r>
          <m:t>V</m:t>
        </m:r>
      </m:oMath>
      <w:r>
        <w:t xml:space="preserve">:</w:t>
      </w:r>
    </w:p>
    <w:p>
      <w:pPr>
        <w:pStyle w:val="BodyText"/>
      </w:pPr>
      <m:oMathPara>
        <m:oMathParaPr>
          <m:jc m:val="center"/>
        </m:oMathParaPr>
        <m:oMath>
          <m:sSub>
            <m:e>
              <m:r>
                <m:rPr>
                  <m:sty m:val="p"/>
                  <m:scr m:val="script"/>
                </m:rPr>
                <m:t>P</m:t>
              </m:r>
            </m:e>
            <m:sub>
              <m:r>
                <m:t>3</m:t>
              </m:r>
            </m:sub>
          </m:sSub>
          <m:d>
            <m:dPr>
              <m:begChr m:val="("/>
              <m:endChr m:val=")"/>
              <m:sepChr m:val=""/>
              <m:grow/>
            </m:dPr>
            <m:e>
              <m:r>
                <m:t>G</m:t>
              </m:r>
              <m:r>
                <m:rPr>
                  <m:sty m:val="p"/>
                </m:rPr>
                <m:t>∪</m:t>
              </m:r>
              <m:r>
                <m:t>H</m:t>
              </m:r>
            </m:e>
          </m:d>
          <m:r>
            <m:rPr>
              <m:sty m:val="p"/>
            </m:rPr>
            <m:t>=</m:t>
          </m:r>
          <m:sSub>
            <m:e>
              <m:r>
                <m:rPr>
                  <m:sty m:val="p"/>
                  <m:scr m:val="script"/>
                </m:rPr>
                <m:t>P</m:t>
              </m:r>
            </m:e>
            <m:sub>
              <m:r>
                <m:t>3</m:t>
              </m:r>
            </m:sub>
          </m:sSub>
          <m:d>
            <m:dPr>
              <m:begChr m:val="("/>
              <m:endChr m:val=")"/>
              <m:sepChr m:val=""/>
              <m:grow/>
            </m:dPr>
            <m:e>
              <m:r>
                <m:t>G</m:t>
              </m:r>
            </m:e>
          </m:d>
          <m:r>
            <m:rPr>
              <m:sty m:val="p"/>
            </m:rPr>
            <m:t>∩</m:t>
          </m:r>
          <m:sSub>
            <m:e>
              <m:r>
                <m:rPr>
                  <m:sty m:val="p"/>
                  <m:scr m:val="script"/>
                </m:rPr>
                <m:t>P</m:t>
              </m:r>
            </m:e>
            <m:sub>
              <m:r>
                <m:t>3</m:t>
              </m:r>
            </m:sub>
          </m:sSub>
          <m:d>
            <m:dPr>
              <m:begChr m:val="("/>
              <m:endChr m:val=")"/>
              <m:sepChr m:val=""/>
              <m:grow/>
            </m:dPr>
            <m:e>
              <m:r>
                <m:t>H</m:t>
              </m:r>
            </m:e>
          </m:d>
          <m:r>
            <m:rPr>
              <m:sty m:val="p"/>
            </m:rPr>
            <m:t>,</m:t>
          </m:r>
          <m:r>
            <m:t>  </m:t>
          </m:r>
          <m:sSub>
            <m:e>
              <m:r>
                <m:t>Δ</m:t>
              </m:r>
            </m:e>
            <m:sub>
              <m:r>
                <m:t>G</m:t>
              </m:r>
            </m:sub>
          </m:sSub>
          <m:d>
            <m:dPr>
              <m:begChr m:val="("/>
              <m:endChr m:val=")"/>
              <m:sepChr m:val=""/>
              <m:grow/>
            </m:dPr>
            <m:e>
              <m:r>
                <m:t>e</m:t>
              </m:r>
            </m:e>
          </m:d>
          <m:r>
            <m:rPr>
              <m:sty m:val="p"/>
            </m:rPr>
            <m:t>=</m:t>
          </m:r>
          <m:sSub>
            <m:e>
              <m:r>
                <m:rPr>
                  <m:sty m:val="p"/>
                  <m:scr m:val="script"/>
                </m:rPr>
                <m:t>P</m:t>
              </m:r>
            </m:e>
            <m:sub>
              <m:r>
                <m:t>3</m:t>
              </m:r>
            </m:sub>
          </m:sSub>
          <m:d>
            <m:dPr>
              <m:begChr m:val="("/>
              <m:endChr m:val=")"/>
              <m:sepChr m:val=""/>
              <m:grow/>
            </m:dPr>
            <m:e>
              <m:r>
                <m:t>G</m:t>
              </m:r>
            </m:e>
          </m:d>
          <m:r>
            <m:rPr>
              <m:sty m:val="p"/>
            </m:rPr>
            <m:t>\</m:t>
          </m:r>
          <m:sSub>
            <m:e>
              <m:r>
                <m:rPr>
                  <m:sty m:val="p"/>
                  <m:scr m:val="script"/>
                </m:rPr>
                <m:t>P</m:t>
              </m:r>
            </m:e>
            <m:sub>
              <m:r>
                <m:t>3</m:t>
              </m:r>
            </m:sub>
          </m:sSub>
          <m:d>
            <m:dPr>
              <m:begChr m:val="("/>
              <m:endChr m:val=")"/>
              <m:sepChr m:val=""/>
              <m:grow/>
            </m:dPr>
            <m:e>
              <m:r>
                <m:t>G</m:t>
              </m:r>
              <m:r>
                <m:rPr>
                  <m:sty m:val="p"/>
                </m:rPr>
                <m:t>+</m:t>
              </m:r>
              <m:r>
                <m:t>e</m:t>
              </m:r>
            </m:e>
          </m:d>
          <m:r>
            <m:rPr>
              <m:sty m:val="p"/>
            </m:rPr>
            <m:t>.</m:t>
          </m:r>
        </m:oMath>
      </m:oMathPara>
    </w:p>
    <w:p>
      <w:pPr>
        <w:pStyle w:val="FirstParagraph"/>
      </w:pPr>
      <w:r>
        <w:t xml:space="preserve">An edge</w:t>
      </w:r>
      <w:r>
        <w:t xml:space="preserve"> </w:t>
      </w:r>
      <m:oMath>
        <m:r>
          <m:t>e</m:t>
        </m:r>
      </m:oMath>
      <w:r>
        <w:t xml:space="preserve"> </w:t>
      </w:r>
      <w:r>
        <w:t xml:space="preserve">is redundant in that circumstance when</w:t>
      </w:r>
      <w:r>
        <w:t xml:space="preserve"> </w:t>
      </w:r>
      <m:oMath>
        <m:sSub>
          <m:e>
            <m:r>
              <m:t>Δ</m:t>
            </m:r>
          </m:e>
          <m:sub>
            <m:r>
              <m:t>G</m:t>
            </m:r>
          </m:sub>
        </m:sSub>
        <m:d>
          <m:dPr>
            <m:begChr m:val="("/>
            <m:endChr m:val=")"/>
            <m:sepChr m:val=""/>
            <m:grow/>
          </m:dPr>
          <m:e>
            <m:r>
              <m:t>e</m:t>
            </m:r>
          </m:e>
        </m:d>
        <m:r>
          <m:rPr>
            <m:sty m:val="p"/>
          </m:rPr>
          <m:t>=</m:t>
        </m:r>
        <m:r>
          <m:rPr>
            <m:sty m:val="p"/>
          </m:rPr>
          <m:t>⌀</m:t>
        </m:r>
      </m:oMath>
      <w:r>
        <w:t xml:space="preserve">. Cardinality alone does not identify the family: on five vertices, graphs with a single edge</w:t>
      </w:r>
      <w:r>
        <w:t xml:space="preserve"> </w:t>
      </w:r>
      <m:oMath>
        <m:r>
          <m:t>01</m:t>
        </m:r>
      </m:oMath>
      <w:r>
        <w:t xml:space="preserve"> </w:t>
      </w:r>
      <w:r>
        <w:t xml:space="preserve">or</w:t>
      </w:r>
      <w:r>
        <w:t xml:space="preserve"> </w:t>
      </w:r>
      <m:oMath>
        <m:r>
          <m:t>12</m:t>
        </m:r>
      </m:oMath>
      <w:r>
        <w:t xml:space="preserve"> </w:t>
      </w:r>
      <w:r>
        <w:t xml:space="preserve">each have 19 partitions; adding edge</w:t>
      </w:r>
      <w:r>
        <w:t xml:space="preserve"> </w:t>
      </w:r>
      <m:oMath>
        <m:r>
          <m:t>01</m:t>
        </m:r>
      </m:oMath>
      <w:r>
        <w:t xml:space="preserve"> </w:t>
      </w:r>
      <w:r>
        <w:t xml:space="preserve">leaves 19 partitions in the first graph but only 14 in the second.</w:t>
      </w:r>
    </w:p>
    <w:p>
      <w:pPr>
        <w:pStyle w:val="BodyText"/>
      </w:pPr>
      <w:r>
        <w:rPr>
          <w:b/>
          <w:bCs/>
        </w:rPr>
        <w:t xml:space="preserve">Exact separator R6-T3.</w:t>
      </w:r>
      <w:r>
        <w:t xml:space="preserve"> </w:t>
      </w:r>
      <w:r>
        <w:t xml:space="preserve">If two graphs have different</w:t>
      </w:r>
      <w:r>
        <w:t xml:space="preserve"> </w:t>
      </w:r>
      <m:oMath>
        <m:sSub>
          <m:e>
            <m:r>
              <m:rPr>
                <m:sty m:val="p"/>
                <m:scr m:val="script"/>
              </m:rPr>
              <m:t>P</m:t>
            </m:r>
          </m:e>
          <m:sub>
            <m:r>
              <m:t>3</m:t>
            </m:r>
          </m:sub>
        </m:sSub>
      </m:oMath>
      <w:r>
        <w:t xml:space="preserve"> </w:t>
      </w:r>
      <w:r>
        <w:t xml:space="preserve">families, choose a partition</w:t>
      </w:r>
      <w:r>
        <w:t xml:space="preserve"> </w:t>
      </w:r>
      <m:oMath>
        <m:r>
          <m:t>P</m:t>
        </m:r>
      </m:oMath>
      <w:r>
        <w:t xml:space="preserve"> </w:t>
      </w:r>
      <w:r>
        <w:t xml:space="preserve">belonging to one but not the other and construct the complete tripartite graph</w:t>
      </w:r>
      <w:r>
        <w:t xml:space="preserve"> </w:t>
      </w:r>
      <m:oMath>
        <m:sSub>
          <m:e>
            <m:r>
              <m:t>K</m:t>
            </m:r>
          </m:e>
          <m:sub>
            <m:r>
              <m:t>P</m:t>
            </m:r>
          </m:sub>
        </m:sSub>
      </m:oMath>
      <w:r>
        <w:t xml:space="preserve">, whose unique admissible partition into three classes is</w:t>
      </w:r>
      <w:r>
        <w:t xml:space="preserve"> </w:t>
      </w:r>
      <m:oMath>
        <m:r>
          <m:t>P</m:t>
        </m:r>
      </m:oMath>
      <w:r>
        <w:t xml:space="preserve">. Adjoining it distinguishes the feasibility of the two instances. Consequently, two graphs have the same feasibility answers under</w:t>
      </w:r>
      <w:r>
        <w:t xml:space="preserve"> </w:t>
      </w:r>
      <w:r>
        <w:rPr>
          <w:b/>
          <w:bCs/>
        </w:rPr>
        <w:t xml:space="preserve">all</w:t>
      </w:r>
      <w:r>
        <w:t xml:space="preserve"> </w:t>
      </w:r>
      <w:r>
        <w:t xml:space="preserve">future edge insertions on the fixed vertex set if and only if their</w:t>
      </w:r>
      <w:r>
        <w:t xml:space="preserve"> </w:t>
      </w:r>
      <m:oMath>
        <m:sSub>
          <m:e>
            <m:r>
              <m:rPr>
                <m:sty m:val="p"/>
                <m:scr m:val="script"/>
              </m:rPr>
              <m:t>P</m:t>
            </m:r>
          </m:e>
          <m:sub>
            <m:r>
              <m:t>3</m:t>
            </m:r>
          </m:sub>
        </m:sSub>
      </m:oMath>
      <w:r>
        <w:t xml:space="preserve"> </w:t>
      </w:r>
      <w:r>
        <w:t xml:space="preserve">families agree. This is an exact characterization of contextual equivalence, not a polynomial-time algorithm for computing that equivalence.</w:t>
      </w:r>
    </w:p>
    <w:p>
      <w:pPr>
        <w:pStyle w:val="BodyText"/>
      </w:pPr>
      <w:r>
        <w:t xml:space="preserve">The central distinction is more precise than</w:t>
      </w:r>
      <w:r>
        <w:t xml:space="preserve"> </w:t>
      </w:r>
      <w:r>
        <w:t xml:space="preserve">“</w:t>
      </w:r>
      <w:r>
        <w:t xml:space="preserve">there is more information</w:t>
      </w:r>
      <w:r>
        <w:t xml:space="preserve">”</w:t>
      </w:r>
      <w:r>
        <w:t xml:space="preserve">:</w:t>
      </w:r>
      <w:r>
        <w:t xml:space="preserve"> </w:t>
      </w:r>
      <w:r>
        <w:rPr>
          <w:b/>
          <w:bCs/>
        </w:rPr>
        <w:t xml:space="preserve">the admitted continuations determine which interior differences a reference must preserve</w:t>
      </w:r>
      <w:r>
        <w:t xml:space="preserve">. The next theorem converts this observation into an information lower bound for an explicit family.</w:t>
      </w:r>
    </w:p>
    <w:bookmarkStart w:id="27" w:name="Xed7db8b4fbe120a7b8bb82a8e58350245d7e80e"/>
    <w:p>
      <w:pPr>
        <w:pStyle w:val="Heading3"/>
      </w:pPr>
      <w:r>
        <w:t xml:space="preserve">T-EXT-01: minimum information for exterior continuations [T/E]</w:t>
      </w:r>
    </w:p>
    <w:p>
      <w:pPr>
        <w:pStyle w:val="FirstParagraph"/>
      </w:pPr>
      <w:r>
        <w:rPr>
          <w:b/>
          <w:bCs/>
        </w:rPr>
        <w:t xml:space="preserve">Contract and scope.</w:t>
      </w:r>
      <w:r>
        <w:t xml:space="preserve"> </w:t>
      </w:r>
      <w:r>
        <w:t xml:space="preserve">Fix</w:t>
      </w:r>
      <w:r>
        <w:t xml:space="preserve"> </w:t>
      </w:r>
      <m:oMath>
        <m:r>
          <m:t>n</m:t>
        </m:r>
        <m:r>
          <m:rPr>
            <m:sty m:val="p"/>
          </m:rPr>
          <m:t>≥</m:t>
        </m:r>
        <m:r>
          <m:t>2</m:t>
        </m:r>
      </m:oMath>
      <w:r>
        <w:t xml:space="preserve"> </w:t>
      </w:r>
      <w:r>
        <w:t xml:space="preserve">labeled vertices</w:t>
      </w:r>
      <w:r>
        <w:t xml:space="preserve"> </w:t>
      </w:r>
      <m:oMath>
        <m:r>
          <m:t>V</m:t>
        </m:r>
        <m:r>
          <m:rPr>
            <m:sty m:val="p"/>
          </m:rPr>
          <m:t>=</m:t>
        </m:r>
        <m:r>
          <m:t>A</m:t>
        </m:r>
        <m:r>
          <m:rPr>
            <m:sty m:val="p"/>
          </m:rPr>
          <m:t>⊔</m:t>
        </m:r>
        <m:r>
          <m:t>B</m:t>
        </m:r>
      </m:oMath>
      <w:r>
        <w:t xml:space="preserve">, with</w:t>
      </w:r>
      <w:r>
        <w:t xml:space="preserve"> </w:t>
      </w:r>
      <m:oMath>
        <m:d>
          <m:dPr>
            <m:begChr m:val="|"/>
            <m:endChr m:val="|"/>
            <m:sepChr m:val=""/>
            <m:grow/>
          </m:dPr>
          <m:e>
            <m:r>
              <m:t>A</m:t>
            </m:r>
          </m:e>
        </m:d>
        <m:r>
          <m:rPr>
            <m:sty m:val="p"/>
          </m:rPr>
          <m:t>=</m:t>
        </m:r>
        <m:r>
          <m:rPr>
            <m:sty m:val="p"/>
          </m:rPr>
          <m:t>⌊</m:t>
        </m:r>
        <m:r>
          <m:t>n</m:t>
        </m:r>
        <m:r>
          <m:rPr>
            <m:sty m:val="p"/>
          </m:rPr>
          <m:t>/</m:t>
        </m:r>
        <m:r>
          <m:t>2</m:t>
        </m:r>
        <m:r>
          <m:rPr>
            <m:sty m:val="p"/>
          </m:rPr>
          <m:t>⌋</m:t>
        </m:r>
      </m:oMath>
      <w:r>
        <w:t xml:space="preserve"> </w:t>
      </w:r>
      <w:r>
        <w:t xml:space="preserve">and</w:t>
      </w:r>
      <w:r>
        <w:t xml:space="preserve"> </w:t>
      </w:r>
      <m:oMath>
        <m:d>
          <m:dPr>
            <m:begChr m:val="|"/>
            <m:endChr m:val="|"/>
            <m:sepChr m:val=""/>
            <m:grow/>
          </m:dPr>
          <m:e>
            <m:r>
              <m:t>B</m:t>
            </m:r>
          </m:e>
        </m:d>
        <m:r>
          <m:rPr>
            <m:sty m:val="p"/>
          </m:rPr>
          <m:t>=</m:t>
        </m:r>
        <m:r>
          <m:rPr>
            <m:sty m:val="p"/>
          </m:rPr>
          <m:t>⌈</m:t>
        </m:r>
        <m:r>
          <m:t>n</m:t>
        </m:r>
        <m:r>
          <m:rPr>
            <m:sty m:val="p"/>
          </m:rPr>
          <m:t>/</m:t>
        </m:r>
        <m:r>
          <m:t>2</m:t>
        </m:r>
        <m:r>
          <m:rPr>
            <m:sty m:val="p"/>
          </m:rPr>
          <m:t>⌉</m:t>
        </m:r>
      </m:oMath>
      <w:r>
        <w:t xml:space="preserve">. Consider the family</w:t>
      </w:r>
    </w:p>
    <w:p>
      <w:pPr>
        <w:pStyle w:val="BodyText"/>
      </w:pPr>
      <m:oMathPara>
        <m:oMathParaPr>
          <m:jc m:val="center"/>
        </m:oMathParaPr>
        <m:oMath>
          <m:sSub>
            <m:e>
              <m:r>
                <m:rPr>
                  <m:sty m:val="p"/>
                  <m:scr m:val="script"/>
                </m:rPr>
                <m:t>H</m:t>
              </m:r>
            </m:e>
            <m:sub>
              <m:r>
                <m:t>n</m:t>
              </m:r>
            </m:sub>
          </m:sSub>
          <m:r>
            <m:rPr>
              <m:sty m:val="p"/>
            </m:rPr>
            <m:t>=</m:t>
          </m:r>
          <m:r>
            <m:rPr>
              <m:sty m:val="p"/>
            </m:rPr>
            <m:t>{</m:t>
          </m:r>
          <m:sSub>
            <m:e>
              <m:r>
                <m:t>H</m:t>
              </m:r>
            </m:e>
            <m:sub>
              <m:r>
                <m:t>E</m:t>
              </m:r>
            </m:sub>
          </m:sSub>
          <m:r>
            <m:rPr>
              <m:sty m:val="p"/>
            </m:rPr>
            <m:t>=</m:t>
          </m:r>
          <m:d>
            <m:dPr>
              <m:begChr m:val="("/>
              <m:endChr m:val=")"/>
              <m:sepChr m:val=""/>
              <m:grow/>
            </m:dPr>
            <m:e>
              <m:r>
                <m:t>V</m:t>
              </m:r>
              <m:r>
                <m:rPr>
                  <m:sty m:val="p"/>
                </m:rPr>
                <m:t>,</m:t>
              </m:r>
              <m:r>
                <m:t>E</m:t>
              </m:r>
            </m:e>
          </m:d>
          <m:r>
            <m:rPr>
              <m:sty m:val="p"/>
            </m:rPr>
            <m:t>:</m:t>
          </m:r>
          <m:r>
            <m:t>E</m:t>
          </m:r>
          <m:r>
            <m:rPr>
              <m:sty m:val="p"/>
            </m:rPr>
            <m:t>⊆</m:t>
          </m:r>
          <m:r>
            <m:t>A</m:t>
          </m:r>
          <m:r>
            <m:rPr>
              <m:sty m:val="p"/>
            </m:rPr>
            <m:t>×</m:t>
          </m:r>
          <m:r>
            <m:t>B</m:t>
          </m:r>
          <m:r>
            <m:rPr>
              <m:sty m:val="p"/>
            </m:rPr>
            <m:t>}</m:t>
          </m:r>
          <m:r>
            <m:rPr>
              <m:sty m:val="p"/>
            </m:rPr>
            <m:t>.</m:t>
          </m:r>
        </m:oMath>
      </m:oMathPara>
    </w:p>
    <w:p>
      <w:pPr>
        <w:pStyle w:val="FirstParagraph"/>
      </w:pPr>
      <w:r>
        <w:t xml:space="preserve">Every such graph is bipartite and therefore 3-colorable.</w:t>
      </w:r>
      <w:r>
        <w:t xml:space="preserve"> </w:t>
      </w:r>
      <w:r>
        <w:rPr>
          <w:b/>
          <w:bCs/>
        </w:rPr>
        <w:t xml:space="preserve">For this proof</w:t>
      </w:r>
      <w:r>
        <w:t xml:space="preserve">, the exterior interface comprises</w:t>
      </w:r>
      <w:r>
        <w:t xml:space="preserve"> </w:t>
      </w:r>
      <w:r>
        <w:rPr>
          <w:b/>
          <w:bCs/>
        </w:rPr>
        <w:t xml:space="preserve">all vertices of</w:t>
      </w:r>
      <w:r>
        <w:rPr>
          <w:b/>
          <w:bCs/>
        </w:rPr>
        <w:t xml:space="preserve"> </w:t>
      </w:r>
      <m:oMath>
        <m:r>
          <m:t>V</m:t>
        </m:r>
      </m:oMath>
      <w:r>
        <w:t xml:space="preserve">: a continuation may connect two new vertices to any chosen pair</w:t>
      </w:r>
      <w:r>
        <w:t xml:space="preserve"> </w:t>
      </w:r>
      <m:oMath>
        <m:r>
          <m:t>u</m:t>
        </m:r>
        <m:r>
          <m:rPr>
            <m:sty m:val="p"/>
          </m:rPr>
          <m:t>∈</m:t>
        </m:r>
        <m:r>
          <m:t>A</m:t>
        </m:r>
      </m:oMath>
      <w:r>
        <w:t xml:space="preserve">,</w:t>
      </w:r>
      <w:r>
        <w:t xml:space="preserve"> </w:t>
      </w:r>
      <m:oMath>
        <m:r>
          <m:t>v</m:t>
        </m:r>
        <m:r>
          <m:rPr>
            <m:sty m:val="p"/>
          </m:rPr>
          <m:t>∈</m:t>
        </m:r>
        <m:r>
          <m:t>B</m:t>
        </m:r>
      </m:oMath>
      <w:r>
        <w:t xml:space="preserve">. We do not claim the same lower bound for a proper interface exposing only a few interior vertices.</w:t>
      </w:r>
    </w:p>
    <w:p>
      <w:pPr>
        <w:pStyle w:val="BodyText"/>
      </w:pPr>
      <w:r>
        <w:t xml:space="preserve">For every pair</w:t>
      </w:r>
      <w:r>
        <w:t xml:space="preserve"> </w:t>
      </w:r>
      <m:oMath>
        <m:r>
          <m:t>u</m:t>
        </m:r>
        <m:r>
          <m:rPr>
            <m:sty m:val="p"/>
          </m:rPr>
          <m:t>∈</m:t>
        </m:r>
        <m:r>
          <m:t>A</m:t>
        </m:r>
      </m:oMath>
      <w:r>
        <w:t xml:space="preserve">,</w:t>
      </w:r>
      <w:r>
        <w:t xml:space="preserve"> </w:t>
      </w:r>
      <m:oMath>
        <m:r>
          <m:t>v</m:t>
        </m:r>
        <m:r>
          <m:rPr>
            <m:sty m:val="p"/>
          </m:rPr>
          <m:t>∈</m:t>
        </m:r>
        <m:r>
          <m:t>B</m:t>
        </m:r>
      </m:oMath>
      <w:r>
        <w:t xml:space="preserve">, define a continuation</w:t>
      </w:r>
      <w:r>
        <w:t xml:space="preserve"> </w:t>
      </w:r>
      <m:oMath>
        <m:sSub>
          <m:e>
            <m:r>
              <m:t>D</m:t>
            </m:r>
          </m:e>
          <m:sub>
            <m:r>
              <m:t>u</m:t>
            </m:r>
            <m:r>
              <m:t>v</m:t>
            </m:r>
          </m:sub>
        </m:sSub>
      </m:oMath>
      <w:r>
        <w:t xml:space="preserve"> </w:t>
      </w:r>
      <w:r>
        <w:t xml:space="preserve">by adjoining two new vertices</w:t>
      </w:r>
      <w:r>
        <w:t xml:space="preserve"> </w:t>
      </w:r>
      <m:oMath>
        <m:r>
          <m:t>a</m:t>
        </m:r>
        <m:r>
          <m:rPr>
            <m:sty m:val="p"/>
          </m:rPr>
          <m:t>,</m:t>
        </m:r>
        <m:r>
          <m:t>b</m:t>
        </m:r>
      </m:oMath>
      <w:r>
        <w:t xml:space="preserve"> </w:t>
      </w:r>
      <w:r>
        <w:t xml:space="preserve">and exactly the five edges</w:t>
      </w:r>
    </w:p>
    <w:p>
      <w:pPr>
        <w:pStyle w:val="BodyText"/>
      </w:pPr>
      <m:oMathPara>
        <m:oMathParaPr>
          <m:jc m:val="center"/>
        </m:oMathParaPr>
        <m:oMath>
          <m:sSub>
            <m:e>
              <m:r>
                <m:t>D</m:t>
              </m:r>
            </m:e>
            <m:sub>
              <m:r>
                <m:t>u</m:t>
              </m:r>
              <m:r>
                <m:t>v</m:t>
              </m:r>
            </m:sub>
          </m:sSub>
          <m:r>
            <m:rPr>
              <m:sty m:val="p"/>
            </m:rPr>
            <m:t>=</m:t>
          </m:r>
          <m:r>
            <m:rPr>
              <m:sty m:val="p"/>
            </m:rPr>
            <m:t>{</m:t>
          </m:r>
          <m:r>
            <m:t>a</m:t>
          </m:r>
          <m:r>
            <m:t>b</m:t>
          </m:r>
          <m:r>
            <m:rPr>
              <m:sty m:val="p"/>
            </m:rPr>
            <m:t>,</m:t>
          </m:r>
          <m:r>
            <m:t>a</m:t>
          </m:r>
          <m:r>
            <m:t>u</m:t>
          </m:r>
          <m:r>
            <m:rPr>
              <m:sty m:val="p"/>
            </m:rPr>
            <m:t>,</m:t>
          </m:r>
          <m:r>
            <m:t>a</m:t>
          </m:r>
          <m:r>
            <m:t>v</m:t>
          </m:r>
          <m:r>
            <m:rPr>
              <m:sty m:val="p"/>
            </m:rPr>
            <m:t>,</m:t>
          </m:r>
          <m:r>
            <m:t>b</m:t>
          </m:r>
          <m:r>
            <m:t>u</m:t>
          </m:r>
          <m:r>
            <m:rPr>
              <m:sty m:val="p"/>
            </m:rPr>
            <m:t>,</m:t>
          </m:r>
          <m:r>
            <m:t>b</m:t>
          </m:r>
          <m:r>
            <m:t>v</m:t>
          </m:r>
          <m:r>
            <m:rPr>
              <m:sty m:val="p"/>
            </m:rPr>
            <m:t>}</m:t>
          </m:r>
          <m:r>
            <m:rPr>
              <m:sty m:val="p"/>
            </m:rPr>
            <m:t>.</m:t>
          </m:r>
        </m:oMath>
      </m:oMathPara>
    </w:p>
    <w:p>
      <w:pPr>
        <w:pStyle w:val="FirstParagraph"/>
      </w:pPr>
      <w:r>
        <w:t xml:space="preserve">The query</w:t>
      </w:r>
      <w:r>
        <w:t xml:space="preserve"> </w:t>
      </w:r>
      <m:oMath>
        <m:r>
          <m:t>Q</m:t>
        </m:r>
        <m:d>
          <m:dPr>
            <m:begChr m:val="("/>
            <m:endChr m:val=")"/>
            <m:sepChr m:val=""/>
            <m:grow/>
          </m:dPr>
          <m:e>
            <m:sSub>
              <m:e>
                <m:r>
                  <m:t>H</m:t>
                </m:r>
              </m:e>
              <m:sub>
                <m:r>
                  <m:t>E</m:t>
                </m:r>
              </m:sub>
            </m:sSub>
            <m:r>
              <m:rPr>
                <m:sty m:val="p"/>
              </m:rPr>
              <m:t>∪</m:t>
            </m:r>
            <m:sSub>
              <m:e>
                <m:r>
                  <m:t>D</m:t>
                </m:r>
              </m:e>
              <m:sub>
                <m:r>
                  <m:t>u</m:t>
                </m:r>
                <m:r>
                  <m:t>v</m:t>
                </m:r>
              </m:sub>
            </m:sSub>
          </m:e>
        </m:d>
      </m:oMath>
      <w:r>
        <w:t xml:space="preserve"> </w:t>
      </w:r>
      <w:r>
        <w:t xml:space="preserve">asks whether the augmented graph is 3-colorable. A</w:t>
      </w:r>
      <w:r>
        <w:t xml:space="preserve"> </w:t>
      </w:r>
      <w:r>
        <w:rPr>
          <w:i/>
          <w:iCs/>
        </w:rPr>
        <w:t xml:space="preserve">self-sufficient signature</w:t>
      </w:r>
      <w:r>
        <w:t xml:space="preserve"> </w:t>
      </w:r>
      <m:oMath>
        <m:r>
          <m:t>Φ</m:t>
        </m:r>
        <m:d>
          <m:dPr>
            <m:begChr m:val="("/>
            <m:endChr m:val=")"/>
            <m:sepChr m:val=""/>
            <m:grow/>
          </m:dPr>
          <m:e>
            <m:sSub>
              <m:e>
                <m:r>
                  <m:t>H</m:t>
                </m:r>
              </m:e>
              <m:sub>
                <m:r>
                  <m:t>E</m:t>
                </m:r>
              </m:sub>
            </m:sSub>
          </m:e>
        </m:d>
      </m:oMath>
      <w:r>
        <w:t xml:space="preserve"> </w:t>
      </w:r>
      <w:r>
        <w:t xml:space="preserve">must answer this query for</w:t>
      </w:r>
      <w:r>
        <w:t xml:space="preserve"> </w:t>
      </w:r>
      <w:r>
        <w:rPr>
          <w:b/>
          <w:bCs/>
        </w:rPr>
        <w:t xml:space="preserve">every</w:t>
      </w:r>
      <w:r>
        <w:t xml:space="preserve"> </w:t>
      </w:r>
      <w:r>
        <w:t xml:space="preserve">pair through decoding functions</w:t>
      </w:r>
      <w:r>
        <w:t xml:space="preserve"> </w:t>
      </w:r>
      <m:oMath>
        <m:sSub>
          <m:e>
            <m:r>
              <m:t>d</m:t>
            </m:r>
          </m:e>
          <m:sub>
            <m:r>
              <m:t>u</m:t>
            </m:r>
            <m:r>
              <m:t>v</m:t>
            </m:r>
          </m:sub>
        </m:sSub>
      </m:oMath>
      <w:r>
        <w:t xml:space="preserve">, with no additional access to the original graph unless that access is included in the representation:</w:t>
      </w:r>
    </w:p>
    <w:p>
      <w:pPr>
        <w:pStyle w:val="BodyText"/>
      </w:pPr>
      <m:oMathPara>
        <m:oMathParaPr>
          <m:jc m:val="center"/>
        </m:oMathParaPr>
        <m:oMath>
          <m:r>
            <m:t>Q</m:t>
          </m:r>
          <m:d>
            <m:dPr>
              <m:begChr m:val="("/>
              <m:endChr m:val=")"/>
              <m:sepChr m:val=""/>
              <m:grow/>
            </m:dPr>
            <m:e>
              <m:sSub>
                <m:e>
                  <m:r>
                    <m:t>H</m:t>
                  </m:r>
                </m:e>
                <m:sub>
                  <m:r>
                    <m:t>E</m:t>
                  </m:r>
                </m:sub>
              </m:sSub>
              <m:r>
                <m:rPr>
                  <m:sty m:val="p"/>
                </m:rPr>
                <m:t>∪</m:t>
              </m:r>
              <m:sSub>
                <m:e>
                  <m:r>
                    <m:t>D</m:t>
                  </m:r>
                </m:e>
                <m:sub>
                  <m:r>
                    <m:t>u</m:t>
                  </m:r>
                  <m:r>
                    <m:t>v</m:t>
                  </m:r>
                </m:sub>
              </m:sSub>
            </m:e>
          </m:d>
          <m:r>
            <m:rPr>
              <m:sty m:val="p"/>
            </m:rPr>
            <m:t>=</m:t>
          </m:r>
          <m:sSub>
            <m:e>
              <m:r>
                <m:t>d</m:t>
              </m:r>
            </m:e>
            <m:sub>
              <m:r>
                <m:t>u</m:t>
              </m:r>
              <m:r>
                <m:t>v</m:t>
              </m:r>
            </m:sub>
          </m:sSub>
          <m:d>
            <m:dPr>
              <m:begChr m:val="("/>
              <m:endChr m:val=")"/>
              <m:sepChr m:val=""/>
              <m:grow/>
            </m:dPr>
            <m:e>
              <m:r>
                <m:t>Φ</m:t>
              </m:r>
              <m:d>
                <m:dPr>
                  <m:begChr m:val="("/>
                  <m:endChr m:val=")"/>
                  <m:sepChr m:val=""/>
                  <m:grow/>
                </m:dPr>
                <m:e>
                  <m:sSub>
                    <m:e>
                      <m:r>
                        <m:t>H</m:t>
                      </m:r>
                    </m:e>
                    <m:sub>
                      <m:r>
                        <m:t>E</m:t>
                      </m:r>
                    </m:sub>
                  </m:sSub>
                </m:e>
              </m:d>
            </m:e>
          </m:d>
          <m:r>
            <m:rPr>
              <m:sty m:val="p"/>
            </m:rPr>
            <m:t>.</m:t>
          </m:r>
        </m:oMath>
      </m:oMathPara>
    </w:p>
    <w:p>
      <w:pPr>
        <w:pStyle w:val="FirstParagraph"/>
      </w:pPr>
      <w:r>
        <w:rPr>
          <w:b/>
          <w:bCs/>
        </w:rPr>
        <w:t xml:space="preserve">Theorem T-EXT-01 (exact contextual-state lower bound).</w:t>
      </w:r>
      <w:r>
        <w:t xml:space="preserve"> </w:t>
      </w:r>
      <w:r>
        <w:t xml:space="preserve">Under this contract, any self-sufficient signature must distinguish at least</w:t>
      </w:r>
    </w:p>
    <w:p>
      <w:pPr>
        <w:pStyle w:val="BodyText"/>
      </w:pPr>
      <m:oMathPara>
        <m:oMathParaPr>
          <m:jc m:val="center"/>
        </m:oMathParaPr>
        <m:oMath>
          <m:borderBox>
            <m:e>
              <m:sSup>
                <m:e>
                  <m:r>
                    <m:t>2</m:t>
                  </m:r>
                </m:e>
                <m:sup>
                  <m:d>
                    <m:dPr>
                      <m:begChr m:val="|"/>
                      <m:endChr m:val="|"/>
                      <m:sepChr m:val=""/>
                      <m:grow/>
                    </m:dPr>
                    <m:e>
                      <m:r>
                        <m:t>A</m:t>
                      </m:r>
                    </m:e>
                  </m:d>
                  <m:d>
                    <m:dPr>
                      <m:begChr m:val="|"/>
                      <m:endChr m:val="|"/>
                      <m:sepChr m:val=""/>
                      <m:grow/>
                    </m:dPr>
                    <m:e>
                      <m:r>
                        <m:t>B</m:t>
                      </m:r>
                    </m:e>
                  </m:d>
                </m:sup>
              </m:sSup>
              <m:r>
                <m:rPr>
                  <m:sty m:val="p"/>
                </m:rPr>
                <m:t>=</m:t>
              </m:r>
              <m:sSup>
                <m:e>
                  <m:r>
                    <m:t>2</m:t>
                  </m:r>
                </m:e>
                <m:sup>
                  <m:r>
                    <m:rPr>
                      <m:sty m:val="p"/>
                    </m:rPr>
                    <m:t>⌊</m:t>
                  </m:r>
                  <m:sSup>
                    <m:e>
                      <m:r>
                        <m:t>n</m:t>
                      </m:r>
                    </m:e>
                    <m:sup>
                      <m:r>
                        <m:t>2</m:t>
                      </m:r>
                    </m:sup>
                  </m:sSup>
                  <m:r>
                    <m:rPr>
                      <m:sty m:val="p"/>
                    </m:rPr>
                    <m:t>/</m:t>
                  </m:r>
                  <m:r>
                    <m:t>4</m:t>
                  </m:r>
                  <m:r>
                    <m:rPr>
                      <m:sty m:val="p"/>
                    </m:rPr>
                    <m:t>⌋</m:t>
                  </m:r>
                </m:sup>
              </m:sSup>
            </m:e>
          </m:borderBox>
        </m:oMath>
      </m:oMathPara>
    </w:p>
    <w:p>
      <w:pPr>
        <w:pStyle w:val="FirstParagraph"/>
      </w:pPr>
      <w:r>
        <w:t xml:space="preserve">different states. A fixed-length binary encoding therefore requires at least</w:t>
      </w:r>
      <w:r>
        <w:t xml:space="preserve"> </w:t>
      </w:r>
      <m:oMath>
        <m:r>
          <m:rPr>
            <m:sty m:val="p"/>
          </m:rPr>
          <m:t>⌊</m:t>
        </m:r>
        <m:sSup>
          <m:e>
            <m:r>
              <m:t>n</m:t>
            </m:r>
          </m:e>
          <m:sup>
            <m:r>
              <m:t>2</m:t>
            </m:r>
          </m:sup>
        </m:sSup>
        <m:r>
          <m:rPr>
            <m:sty m:val="p"/>
          </m:rPr>
          <m:t>/</m:t>
        </m:r>
        <m:r>
          <m:t>4</m:t>
        </m:r>
        <m:r>
          <m:rPr>
            <m:sty m:val="p"/>
          </m:rPr>
          <m:t>⌋</m:t>
        </m:r>
      </m:oMath>
      <w:r>
        <w:t xml:space="preserve"> </w:t>
      </w:r>
      <w:r>
        <w:t xml:space="preserve">bits. On this family, the bit bound is tight: the adjacency matrix for pairs in</w:t>
      </w:r>
      <w:r>
        <w:t xml:space="preserve"> </w:t>
      </w:r>
      <m:oMath>
        <m:r>
          <m:t>A</m:t>
        </m:r>
        <m:r>
          <m:rPr>
            <m:sty m:val="p"/>
          </m:rPr>
          <m:t>×</m:t>
        </m:r>
        <m:r>
          <m:t>B</m:t>
        </m:r>
      </m:oMath>
      <w:r>
        <w:t xml:space="preserve"> </w:t>
      </w:r>
      <w:r>
        <w:t xml:space="preserve">uses exactly this many bits. This does not establish efficient decoding for arbitrary other continuation families.</w:t>
      </w:r>
    </w:p>
    <w:p>
      <w:pPr>
        <w:pStyle w:val="BodyText"/>
      </w:pPr>
      <w:r>
        <w:rPr>
          <w:b/>
          <w:bCs/>
        </w:rPr>
        <w:t xml:space="preserve">Proof.</w:t>
      </w:r>
      <w:r>
        <w:t xml:space="preserve"> </w:t>
      </w:r>
      <w:r>
        <w:t xml:space="preserve">First, for every</w:t>
      </w:r>
      <w:r>
        <w:t xml:space="preserve"> </w:t>
      </w:r>
      <m:oMath>
        <m:r>
          <m:t>E</m:t>
        </m:r>
        <m:r>
          <m:rPr>
            <m:sty m:val="p"/>
          </m:rPr>
          <m:t>⊆</m:t>
        </m:r>
        <m:r>
          <m:t>A</m:t>
        </m:r>
        <m:r>
          <m:rPr>
            <m:sty m:val="p"/>
          </m:rPr>
          <m:t>×</m:t>
        </m:r>
        <m:r>
          <m:t>B</m:t>
        </m:r>
      </m:oMath>
      <w:r>
        <w:t xml:space="preserve"> </w:t>
      </w:r>
      <w:r>
        <w:t xml:space="preserve">and each</w:t>
      </w:r>
      <w:r>
        <w:t xml:space="preserve"> </w:t>
      </w:r>
      <m:oMath>
        <m:r>
          <m:t>u</m:t>
        </m:r>
        <m:r>
          <m:t>v</m:t>
        </m:r>
        <m:r>
          <m:rPr>
            <m:sty m:val="p"/>
          </m:rPr>
          <m:t>∈</m:t>
        </m:r>
        <m:r>
          <m:t>A</m:t>
        </m:r>
        <m:r>
          <m:rPr>
            <m:sty m:val="p"/>
          </m:rPr>
          <m:t>×</m:t>
        </m:r>
        <m:r>
          <m:t>B</m:t>
        </m:r>
      </m:oMath>
      <w:r>
        <w:t xml:space="preserve">,</w:t>
      </w:r>
    </w:p>
    <w:p>
      <w:pPr>
        <w:pStyle w:val="BodyText"/>
      </w:pPr>
      <m:oMathPara>
        <m:oMathParaPr>
          <m:jc m:val="center"/>
        </m:oMathParaPr>
        <m:oMath>
          <m:borderBox>
            <m:e>
              <m:sSub>
                <m:e>
                  <m:r>
                    <m:t>H</m:t>
                  </m:r>
                </m:e>
                <m:sub>
                  <m:r>
                    <m:t>E</m:t>
                  </m:r>
                </m:sub>
              </m:sSub>
              <m:r>
                <m:rPr>
                  <m:sty m:val="p"/>
                </m:rPr>
                <m:t>∪</m:t>
              </m:r>
              <m:sSub>
                <m:e>
                  <m:r>
                    <m:t>D</m:t>
                  </m:r>
                </m:e>
                <m:sub>
                  <m:r>
                    <m:t>u</m:t>
                  </m:r>
                  <m:r>
                    <m:t>v</m:t>
                  </m:r>
                </m:sub>
              </m:sSub>
              <m:r>
                <m:rPr>
                  <m:nor/>
                  <m:sty m:val="p"/>
                </m:rPr>
                <m:t> is 3-colorable</m:t>
              </m:r>
              <m:r>
                <m:rPr>
                  <m:sty m:val="p"/>
                </m:rPr>
                <m:t>⇔</m:t>
              </m:r>
              <m:r>
                <m:t>u</m:t>
              </m:r>
              <m:r>
                <m:t>v</m:t>
              </m:r>
              <m:r>
                <m:rPr>
                  <m:sty m:val="p"/>
                </m:rPr>
                <m:t>∉</m:t>
              </m:r>
              <m:r>
                <m:t>E</m:t>
              </m:r>
              <m:r>
                <m:rPr>
                  <m:sty m:val="p"/>
                </m:rPr>
                <m:t>.</m:t>
              </m:r>
            </m:e>
          </m:borderBox>
        </m:oMath>
      </m:oMathPara>
    </w:p>
    <w:p>
      <w:pPr>
        <w:pStyle w:val="FirstParagraph"/>
      </w:pPr>
      <w:r>
        <w:t xml:space="preserve">If</w:t>
      </w:r>
      <w:r>
        <w:t xml:space="preserve"> </w:t>
      </w:r>
      <m:oMath>
        <m:r>
          <m:t>u</m:t>
        </m:r>
        <m:r>
          <m:t>v</m:t>
        </m:r>
        <m:r>
          <m:rPr>
            <m:sty m:val="p"/>
          </m:rPr>
          <m:t>∈</m:t>
        </m:r>
        <m:r>
          <m:t>E</m:t>
        </m:r>
      </m:oMath>
      <w:r>
        <w:t xml:space="preserve">, the four vertices</w:t>
      </w:r>
      <w:r>
        <w:t xml:space="preserve"> </w:t>
      </w:r>
      <m:oMath>
        <m:r>
          <m:t>a</m:t>
        </m:r>
        <m:r>
          <m:rPr>
            <m:sty m:val="p"/>
          </m:rPr>
          <m:t>,</m:t>
        </m:r>
        <m:r>
          <m:t>b</m:t>
        </m:r>
        <m:r>
          <m:rPr>
            <m:sty m:val="p"/>
          </m:rPr>
          <m:t>,</m:t>
        </m:r>
        <m:r>
          <m:t>u</m:t>
        </m:r>
        <m:r>
          <m:rPr>
            <m:sty m:val="p"/>
          </m:rPr>
          <m:t>,</m:t>
        </m:r>
        <m:r>
          <m:t>v</m:t>
        </m:r>
      </m:oMath>
      <w:r>
        <w:t xml:space="preserve"> </w:t>
      </w:r>
      <w:r>
        <w:t xml:space="preserve">induce a</w:t>
      </w:r>
      <w:r>
        <w:t xml:space="preserve"> </w:t>
      </w:r>
      <m:oMath>
        <m:sSub>
          <m:e>
            <m:r>
              <m:t>K</m:t>
            </m:r>
          </m:e>
          <m:sub>
            <m:r>
              <m:t>4</m:t>
            </m:r>
          </m:sub>
        </m:sSub>
      </m:oMath>
      <w:r>
        <w:t xml:space="preserve">, which cannot be colored with three colors. If</w:t>
      </w:r>
      <w:r>
        <w:t xml:space="preserve"> </w:t>
      </w:r>
      <m:oMath>
        <m:r>
          <m:t>u</m:t>
        </m:r>
        <m:r>
          <m:t>v</m:t>
        </m:r>
        <m:r>
          <m:rPr>
            <m:sty m:val="p"/>
          </m:rPr>
          <m:t>∉</m:t>
        </m:r>
        <m:r>
          <m:t>E</m:t>
        </m:r>
      </m:oMath>
      <w:r>
        <w:t xml:space="preserve">, assign color 0 to</w:t>
      </w:r>
      <w:r>
        <w:t xml:space="preserve"> </w:t>
      </w:r>
      <m:oMath>
        <m:r>
          <m:t>A</m:t>
        </m:r>
        <m:r>
          <m:rPr>
            <m:sty m:val="p"/>
          </m:rPr>
          <m:t>\</m:t>
        </m:r>
        <m:r>
          <m:rPr>
            <m:sty m:val="p"/>
          </m:rPr>
          <m:t>{</m:t>
        </m:r>
        <m:r>
          <m:t>u</m:t>
        </m:r>
        <m:r>
          <m:rPr>
            <m:sty m:val="p"/>
          </m:rPr>
          <m:t>}</m:t>
        </m:r>
      </m:oMath>
      <w:r>
        <w:t xml:space="preserve">, color 1 to</w:t>
      </w:r>
      <w:r>
        <w:t xml:space="preserve"> </w:t>
      </w:r>
      <m:oMath>
        <m:r>
          <m:t>B</m:t>
        </m:r>
        <m:r>
          <m:rPr>
            <m:sty m:val="p"/>
          </m:rPr>
          <m:t>\</m:t>
        </m:r>
        <m:r>
          <m:rPr>
            <m:sty m:val="p"/>
          </m:rPr>
          <m:t>{</m:t>
        </m:r>
        <m:r>
          <m:t>v</m:t>
        </m:r>
        <m:r>
          <m:rPr>
            <m:sty m:val="p"/>
          </m:rPr>
          <m:t>}</m:t>
        </m:r>
      </m:oMath>
      <w:r>
        <w:t xml:space="preserve">, color 2 to</w:t>
      </w:r>
      <w:r>
        <w:t xml:space="preserve"> </w:t>
      </w:r>
      <m:oMath>
        <m:r>
          <m:t>u</m:t>
        </m:r>
      </m:oMath>
      <w:r>
        <w:t xml:space="preserve"> </w:t>
      </w:r>
      <w:r>
        <w:t xml:space="preserve">and</w:t>
      </w:r>
      <w:r>
        <w:t xml:space="preserve"> </w:t>
      </w:r>
      <m:oMath>
        <m:r>
          <m:t>v</m:t>
        </m:r>
      </m:oMath>
      <w:r>
        <w:t xml:space="preserve">, and colors 0 and 1 to the new vertices</w:t>
      </w:r>
      <w:r>
        <w:t xml:space="preserve"> </w:t>
      </w:r>
      <m:oMath>
        <m:r>
          <m:t>a</m:t>
        </m:r>
      </m:oMath>
      <w:r>
        <w:t xml:space="preserve"> </w:t>
      </w:r>
      <w:r>
        <w:t xml:space="preserve">and</w:t>
      </w:r>
      <w:r>
        <w:t xml:space="preserve"> </w:t>
      </w:r>
      <m:oMath>
        <m:r>
          <m:t>b</m:t>
        </m:r>
      </m:oMath>
      <w:r>
        <w:t xml:space="preserve">, respectively. This assignment is valid: original edges run only between</w:t>
      </w:r>
      <w:r>
        <w:t xml:space="preserve"> </w:t>
      </w:r>
      <m:oMath>
        <m:r>
          <m:t>A</m:t>
        </m:r>
      </m:oMath>
      <w:r>
        <w:t xml:space="preserve"> </w:t>
      </w:r>
      <w:r>
        <w:t xml:space="preserve">and</w:t>
      </w:r>
      <w:r>
        <w:t xml:space="preserve"> </w:t>
      </w:r>
      <m:oMath>
        <m:r>
          <m:t>B</m:t>
        </m:r>
      </m:oMath>
      <w:r>
        <w:t xml:space="preserve">, the edge</w:t>
      </w:r>
      <w:r>
        <w:t xml:space="preserve"> </w:t>
      </w:r>
      <m:oMath>
        <m:r>
          <m:t>u</m:t>
        </m:r>
        <m:r>
          <m:t>v</m:t>
        </m:r>
      </m:oMath>
      <w:r>
        <w:t xml:space="preserve"> </w:t>
      </w:r>
      <w:r>
        <w:t xml:space="preserve">is absent, and the five new edges have differently colored endpoints.</w:t>
      </w:r>
    </w:p>
    <w:p>
      <w:pPr>
        <w:pStyle w:val="BodyText"/>
      </w:pPr>
      <w:r>
        <w:t xml:space="preserve">If</w:t>
      </w:r>
      <w:r>
        <w:t xml:space="preserve"> </w:t>
      </w:r>
      <m:oMath>
        <m:r>
          <m:t>E</m:t>
        </m:r>
        <m:r>
          <m:rPr>
            <m:sty m:val="p"/>
          </m:rPr>
          <m:t>≠</m:t>
        </m:r>
        <m:r>
          <m:t>E</m:t>
        </m:r>
        <m:r>
          <m:rPr>
            <m:sty m:val="p"/>
          </m:rPr>
          <m:t>′</m:t>
        </m:r>
      </m:oMath>
      <w:r>
        <w:t xml:space="preserve">, some pair</w:t>
      </w:r>
      <w:r>
        <w:t xml:space="preserve"> </w:t>
      </w:r>
      <m:oMath>
        <m:r>
          <m:t>u</m:t>
        </m:r>
        <m:r>
          <m:t>v</m:t>
        </m:r>
      </m:oMath>
      <w:r>
        <w:t xml:space="preserve"> </w:t>
      </w:r>
      <w:r>
        <w:t xml:space="preserve">belongs to exactly one of the two edge sets. The continuation</w:t>
      </w:r>
      <w:r>
        <w:t xml:space="preserve"> </w:t>
      </w:r>
      <m:oMath>
        <m:sSub>
          <m:e>
            <m:r>
              <m:t>D</m:t>
            </m:r>
          </m:e>
          <m:sub>
            <m:r>
              <m:t>u</m:t>
            </m:r>
            <m:r>
              <m:t>v</m:t>
            </m:r>
          </m:sub>
        </m:sSub>
      </m:oMath>
      <w:r>
        <w:t xml:space="preserve"> </w:t>
      </w:r>
      <w:r>
        <w:t xml:space="preserve">gives different answers on</w:t>
      </w:r>
      <w:r>
        <w:t xml:space="preserve"> </w:t>
      </w:r>
      <m:oMath>
        <m:sSub>
          <m:e>
            <m:r>
              <m:t>H</m:t>
            </m:r>
          </m:e>
          <m:sub>
            <m:r>
              <m:t>E</m:t>
            </m:r>
          </m:sub>
        </m:sSub>
      </m:oMath>
      <w:r>
        <w:t xml:space="preserve"> </w:t>
      </w:r>
      <w:r>
        <w:t xml:space="preserve">and</w:t>
      </w:r>
      <w:r>
        <w:t xml:space="preserve"> </w:t>
      </w:r>
      <m:oMath>
        <m:sSub>
          <m:e>
            <m:r>
              <m:t>H</m:t>
            </m:r>
          </m:e>
          <m:sub>
            <m:r>
              <m:t>E</m:t>
            </m:r>
            <m:r>
              <m:rPr>
                <m:sty m:val="p"/>
              </m:rPr>
              <m:t>′</m:t>
            </m:r>
          </m:sub>
        </m:sSub>
      </m:oMath>
      <w:r>
        <w:t xml:space="preserve">. A signature capable of answering every query cannot identify these two graphs. There are</w:t>
      </w:r>
      <w:r>
        <w:t xml:space="preserve"> </w:t>
      </w:r>
      <m:oMath>
        <m:sSup>
          <m:e>
            <m:r>
              <m:t>2</m:t>
            </m:r>
          </m:e>
          <m:sup>
            <m:d>
              <m:dPr>
                <m:begChr m:val="|"/>
                <m:endChr m:val="|"/>
                <m:sepChr m:val=""/>
                <m:grow/>
              </m:dPr>
              <m:e>
                <m:r>
                  <m:t>A</m:t>
                </m:r>
              </m:e>
            </m:d>
            <m:d>
              <m:dPr>
                <m:begChr m:val="|"/>
                <m:endChr m:val="|"/>
                <m:sepChr m:val=""/>
                <m:grow/>
              </m:dPr>
              <m:e>
                <m:r>
                  <m:t>B</m:t>
                </m:r>
              </m:e>
            </m:d>
          </m:sup>
        </m:sSup>
      </m:oMath>
      <w:r>
        <w:t xml:space="preserve"> </w:t>
      </w:r>
      <w:r>
        <w:t xml:space="preserve">edge subsets and therefore that many distinguishable signatures. A fixed</w:t>
      </w:r>
      <w:r>
        <w:t xml:space="preserve"> </w:t>
      </w:r>
      <m:oMath>
        <m:r>
          <m:t>b</m:t>
        </m:r>
      </m:oMath>
      <w:r>
        <w:t xml:space="preserve">-bit encoding supports at most</w:t>
      </w:r>
      <w:r>
        <w:t xml:space="preserve"> </w:t>
      </w:r>
      <m:oMath>
        <m:sSup>
          <m:e>
            <m:r>
              <m:t>2</m:t>
            </m:r>
          </m:e>
          <m:sup>
            <m:r>
              <m:t>b</m:t>
            </m:r>
          </m:sup>
        </m:sSup>
      </m:oMath>
      <w:r>
        <w:t xml:space="preserve"> </w:t>
      </w:r>
      <w:r>
        <w:t xml:space="preserve">states, hence</w:t>
      </w:r>
      <w:r>
        <w:t xml:space="preserve"> </w:t>
      </w:r>
      <m:oMath>
        <m:r>
          <m:t>b</m:t>
        </m:r>
        <m:r>
          <m:rPr>
            <m:sty m:val="p"/>
          </m:rPr>
          <m:t>≥</m:t>
        </m:r>
        <m:d>
          <m:dPr>
            <m:begChr m:val="|"/>
            <m:endChr m:val="|"/>
            <m:sepChr m:val=""/>
            <m:grow/>
          </m:dPr>
          <m:e>
            <m:r>
              <m:t>A</m:t>
            </m:r>
          </m:e>
        </m:d>
        <m:d>
          <m:dPr>
            <m:begChr m:val="|"/>
            <m:endChr m:val="|"/>
            <m:sepChr m:val=""/>
            <m:grow/>
          </m:dPr>
          <m:e>
            <m:r>
              <m:t>B</m:t>
            </m:r>
          </m:e>
        </m:d>
        <m:r>
          <m:rPr>
            <m:sty m:val="p"/>
          </m:rPr>
          <m:t>=</m:t>
        </m:r>
        <m:r>
          <m:rPr>
            <m:sty m:val="p"/>
          </m:rPr>
          <m:t>⌊</m:t>
        </m:r>
        <m:sSup>
          <m:e>
            <m:r>
              <m:t>n</m:t>
            </m:r>
          </m:e>
          <m:sup>
            <m:r>
              <m:t>2</m:t>
            </m:r>
          </m:sup>
        </m:sSup>
        <m:r>
          <m:rPr>
            <m:sty m:val="p"/>
          </m:rPr>
          <m:t>/</m:t>
        </m:r>
        <m:r>
          <m:t>4</m:t>
        </m:r>
        <m:r>
          <m:rPr>
            <m:sty m:val="p"/>
          </m:rPr>
          <m:t>⌋</m:t>
        </m:r>
      </m:oMath>
      <w:r>
        <w:t xml:space="preserve">.</w:t>
      </w:r>
      <w:r>
        <w:t xml:space="preserve"> </w:t>
      </w:r>
      <m:oMath>
        <m:r>
          <m:rPr>
            <m:sty m:val="p"/>
          </m:rPr>
          <m:t>▫</m:t>
        </m:r>
      </m:oMath>
    </w:p>
    <w:p>
      <w:pPr>
        <w:pStyle w:val="BodyText"/>
      </w:pPr>
      <w:r>
        <w:rPr>
          <w:b/>
          <w:bCs/>
        </w:rPr>
        <w:t xml:space="preserve">Independent finite check [E].</w:t>
      </w:r>
      <w:r>
        <w:t xml:space="preserve"> </w:t>
      </w:r>
      <w:r>
        <w:t xml:space="preserve">The verifier</w:t>
      </w:r>
      <w:r>
        <w:t xml:space="preserve"> </w:t>
      </w:r>
      <w:r>
        <w:rPr>
          <w:rStyle w:val="VerbatimChar"/>
        </w:rPr>
        <w:t xml:space="preserve">verificar_T_EXT_01.py</w:t>
      </w:r>
      <w:r>
        <w:t xml:space="preserve"> </w:t>
      </w:r>
      <w:r>
        <w:t xml:space="preserve">exhaustively checks the 16 instances on four vertices and the 512 instances on six. It tests the equivalence above for the 4 or 9 possible pairs per instance:</w:t>
      </w:r>
      <w:r>
        <w:t xml:space="preserve"> </w:t>
      </w:r>
      <w:r>
        <w:rPr>
          <w:b/>
          <w:bCs/>
        </w:rPr>
        <w:t xml:space="preserve">64 + 4,608 = 4,672 queries</w:t>
      </w:r>
      <w:r>
        <w:t xml:space="preserve">, all successful, and records 16 and 512 distinct response signatures, respectively. This finite computation checks the general proof but is not its foundation.</w:t>
      </w:r>
    </w:p>
    <w:p>
      <w:pPr>
        <w:pStyle w:val="BodyText"/>
      </w:pPr>
      <w:r>
        <w:rPr>
          <w:b/>
          <w:bCs/>
        </w:rPr>
        <w:t xml:space="preserve">Relation to R5 and R6.</w:t>
      </w:r>
      <w:r>
        <w:t xml:space="preserve"> </w:t>
      </w:r>
      <w:r>
        <w:t xml:space="preserve">R5 distinguishes what a boundary signature preserves under exterior continuations and fails to preserve under interior modifications. R6 characterizes the distinctions needed for edge insertions</w:t>
      </w:r>
      <w:r>
        <w:t xml:space="preserve"> </w:t>
      </w:r>
      <w:r>
        <w:rPr>
          <w:b/>
          <w:bCs/>
        </w:rPr>
        <w:t xml:space="preserve">without adding vertices</w:t>
      </w:r>
      <w:r>
        <w:t xml:space="preserve"> </w:t>
      </w:r>
      <w:r>
        <w:t xml:space="preserve">on</w:t>
      </w:r>
      <w:r>
        <w:t xml:space="preserve"> </w:t>
      </w:r>
      <m:oMath>
        <m:r>
          <m:t>V</m:t>
        </m:r>
      </m:oMath>
      <w:r>
        <w:t xml:space="preserve">. T-EXT-01 specifies a different contract:</w:t>
      </w:r>
      <w:r>
        <w:t xml:space="preserve"> </w:t>
      </w:r>
      <w:r>
        <w:rPr>
          <w:b/>
          <w:bCs/>
        </w:rPr>
        <w:t xml:space="preserve">adjoining two new vertices that can contact every vertex of</w:t>
      </w:r>
      <w:r>
        <w:rPr>
          <w:b/>
          <w:bCs/>
        </w:rPr>
        <w:t xml:space="preserve"> </w:t>
      </w:r>
      <m:oMath>
        <m:r>
          <m:t>V</m:t>
        </m:r>
      </m:oMath>
      <w:r>
        <w:t xml:space="preserve">. This family of queries recovers each individual edge of</w:t>
      </w:r>
      <w:r>
        <w:t xml:space="preserve"> </w:t>
      </w:r>
      <m:oMath>
        <m:r>
          <m:t>A</m:t>
        </m:r>
        <m:r>
          <m:rPr>
            <m:sty m:val="p"/>
          </m:rPr>
          <m:t>×</m:t>
        </m:r>
        <m:r>
          <m:t>B</m:t>
        </m:r>
      </m:oMath>
      <w:r>
        <w:t xml:space="preserve">. It thus quantifies an exterior-reference information requirement even though recognizing 3-colorability of the original family is easy.</w:t>
      </w:r>
    </w:p>
    <w:p>
      <w:pPr>
        <w:pStyle w:val="BodyText"/>
      </w:pPr>
      <w:r>
        <w:rPr>
          <w:b/>
          <w:bCs/>
        </w:rPr>
        <w:t xml:space="preserve">Limits.</w:t>
      </w:r>
      <w:r>
        <w:t xml:space="preserve"> </w:t>
      </w:r>
      <w:r>
        <w:t xml:space="preserve">The lower bound is quadratic, not superpolynomial. It is not a time lower bound for general 3-coloring, an extra memory lower bound when the algorithm has unrestricted access to the original graph, or the same bound for a small boundary. The proof resembles distinguishable-family arguments, contextual equivalence, and communication complexity; establishing bibliographic priority requires independent review. It is a theorem with an explicit contract, not a solution to P versus NP.</w:t>
      </w:r>
    </w:p>
    <w:bookmarkEnd w:id="27"/>
    <w:bookmarkEnd w:id="28"/>
    <w:bookmarkStart w:id="29" w:name="Xdfd24239858f834f5c064a72e9ed51cb14465cb"/>
    <w:p>
      <w:pPr>
        <w:pStyle w:val="Heading2"/>
      </w:pPr>
      <w:r>
        <w:t xml:space="preserve">6. Orientation, phase, and global closure: laboratory R4 [T/E]</w:t>
      </w:r>
    </w:p>
    <w:p>
      <w:pPr>
        <w:pStyle w:val="FirstParagraph"/>
      </w:pPr>
      <w:r>
        <w:t xml:space="preserve">A 3-coloring</w:t>
      </w:r>
      <w:r>
        <w:t xml:space="preserve"> </w:t>
      </w:r>
      <m:oMath>
        <m:r>
          <m:t>c</m:t>
        </m:r>
        <m:r>
          <m:rPr>
            <m:sty m:val="p"/>
          </m:rPr>
          <m:t>:</m:t>
        </m:r>
        <m:r>
          <m:t>V</m:t>
        </m:r>
        <m:r>
          <m:rPr>
            <m:sty m:val="p"/>
          </m:rPr>
          <m:t>→</m:t>
        </m:r>
        <m:sSub>
          <m:e>
            <m:r>
              <m:rPr>
                <m:sty m:val="p"/>
                <m:scr m:val="double-struck"/>
              </m:rPr>
              <m:t>F</m:t>
            </m:r>
          </m:e>
          <m:sub>
            <m:r>
              <m:t>3</m:t>
            </m:r>
          </m:sub>
        </m:sSub>
      </m:oMath>
      <w:r>
        <w:t xml:space="preserve"> </w:t>
      </w:r>
      <w:r>
        <w:t xml:space="preserve">induces on each oriented edge</w:t>
      </w:r>
      <w:r>
        <w:t xml:space="preserve"> </w:t>
      </w:r>
      <m:oMath>
        <m:r>
          <m:t>u</m:t>
        </m:r>
        <m:r>
          <m:t>v</m:t>
        </m:r>
      </m:oMath>
      <w:r>
        <w:t xml:space="preserve"> </w:t>
      </w:r>
      <w:r>
        <w:t xml:space="preserve">a tension</w:t>
      </w:r>
      <w:r>
        <w:t xml:space="preserve"> </w:t>
      </w:r>
      <m:oMath>
        <m:sSub>
          <m:e>
            <m:r>
              <m:t>ε</m:t>
            </m:r>
          </m:e>
          <m:sub>
            <m:r>
              <m:t>u</m:t>
            </m:r>
            <m:r>
              <m:t>v</m:t>
            </m:r>
          </m:sub>
        </m:sSub>
        <m:r>
          <m:rPr>
            <m:sty m:val="p"/>
          </m:rPr>
          <m:t>=</m:t>
        </m:r>
        <m:r>
          <m:t>c</m:t>
        </m:r>
        <m:d>
          <m:dPr>
            <m:begChr m:val="("/>
            <m:endChr m:val=")"/>
            <m:sepChr m:val=""/>
            <m:grow/>
          </m:dPr>
          <m:e>
            <m:r>
              <m:t>v</m:t>
            </m:r>
          </m:e>
        </m:d>
        <m:r>
          <m:rPr>
            <m:sty m:val="p"/>
          </m:rPr>
          <m:t>−</m:t>
        </m:r>
        <m:r>
          <m:t>c</m:t>
        </m:r>
        <m:d>
          <m:dPr>
            <m:begChr m:val="("/>
            <m:endChr m:val=")"/>
            <m:sepChr m:val=""/>
            <m:grow/>
          </m:dPr>
          <m:e>
            <m:r>
              <m:t>u</m:t>
            </m:r>
          </m:e>
        </m:d>
        <m:r>
          <m:rPr>
            <m:sty m:val="p"/>
          </m:rPr>
          <m:t>∈</m:t>
        </m:r>
        <m:r>
          <m:rPr>
            <m:sty m:val="p"/>
          </m:rPr>
          <m:t>{</m:t>
        </m:r>
        <m:r>
          <m:rPr>
            <m:sty m:val="p"/>
          </m:rPr>
          <m:t>±</m:t>
        </m:r>
        <m:r>
          <m:t>1</m:t>
        </m:r>
        <m:r>
          <m:rPr>
            <m:sty m:val="p"/>
          </m:rPr>
          <m:t>}</m:t>
        </m:r>
      </m:oMath>
      <w:r>
        <w:t xml:space="preserve">. The signed sum of tensions around any cycle vanishes in</w:t>
      </w:r>
      <w:r>
        <w:t xml:space="preserve"> </w:t>
      </w:r>
      <m:oMath>
        <m:sSub>
          <m:e>
            <m:r>
              <m:rPr>
                <m:sty m:val="p"/>
                <m:scr m:val="double-struck"/>
              </m:rPr>
              <m:t>F</m:t>
            </m:r>
          </m:e>
          <m:sub>
            <m:r>
              <m:t>3</m:t>
            </m:r>
          </m:sub>
        </m:sSub>
      </m:oMath>
      <w:r>
        <w:t xml:space="preserve">. Conversely, nowhere-zero tensions whose periods vanish on a cycle basis integrate to a coloring, unique up to a global constant on each connected component. This is the classical formulation of nowhere-zero modular tensions; the nonzero condition retains the combinatorial character of the problem.</w:t>
      </w:r>
    </w:p>
    <w:p>
      <w:pPr>
        <w:pStyle w:val="BodyText"/>
      </w:pPr>
      <w:r>
        <w:t xml:space="preserve">For a closed, connected, orientable triangulated surface with connected face dual, R4 distinguishes face closure from periods on homology: each triangle may close without the tension being a global coboundary. On the periodic triangulated torus</w:t>
      </w:r>
      <w:r>
        <w:t xml:space="preserve"> </w:t>
      </w:r>
      <m:oMath>
        <m:r>
          <m:t>T</m:t>
        </m:r>
        <m:d>
          <m:dPr>
            <m:begChr m:val="("/>
            <m:endChr m:val=")"/>
            <m:sepChr m:val=""/>
            <m:grow/>
          </m:dPr>
          <m:e>
            <m:r>
              <m:t>n</m:t>
            </m:r>
            <m:r>
              <m:rPr>
                <m:sty m:val="p"/>
              </m:rPr>
              <m:t>,</m:t>
            </m:r>
            <m:r>
              <m:t>m</m:t>
            </m:r>
          </m:e>
        </m:d>
      </m:oMath>
      <w:r>
        <w:t xml:space="preserve"> </w:t>
      </w:r>
      <w:r>
        <w:t xml:space="preserve">in the laboratory, the orientation of the</w:t>
      </w:r>
      <w:r>
        <w:t xml:space="preserve"> </w:t>
      </w:r>
      <m:oMath>
        <m:sSup>
          <m:e>
            <m:r>
              <m:rPr>
                <m:sty m:val="p"/>
                <m:scr m:val="double-struck"/>
              </m:rPr>
              <m:t>Z</m:t>
            </m:r>
          </m:e>
          <m:sup>
            <m:r>
              <m:t>2</m:t>
            </m:r>
          </m:sup>
        </m:sSup>
      </m:oMath>
      <w:r>
        <w:t xml:space="preserve"> </w:t>
      </w:r>
      <w:r>
        <w:t xml:space="preserve">covering is fixed together with the local expression</w:t>
      </w:r>
      <w:r>
        <w:t xml:space="preserve"> </w:t>
      </w:r>
      <m:oMath>
        <m:r>
          <m:t>c</m:t>
        </m:r>
        <m:d>
          <m:dPr>
            <m:begChr m:val="("/>
            <m:endChr m:val=")"/>
            <m:sepChr m:val=""/>
            <m:grow/>
          </m:dPr>
          <m:e>
            <m:r>
              <m:t>i</m:t>
            </m:r>
            <m:r>
              <m:rPr>
                <m:sty m:val="p"/>
              </m:rPr>
              <m:t>,</m:t>
            </m:r>
            <m:r>
              <m:t>j</m:t>
            </m:r>
          </m:e>
        </m:d>
        <m:r>
          <m:rPr>
            <m:sty m:val="p"/>
          </m:rPr>
          <m:t>=</m:t>
        </m:r>
        <m:r>
          <m:t>i</m:t>
        </m:r>
        <m:r>
          <m:rPr>
            <m:sty m:val="p"/>
          </m:rPr>
          <m:t>−</m:t>
        </m:r>
        <m:r>
          <m:t>j</m:t>
        </m:r>
        <m:r>
          <m:t> </m:t>
        </m:r>
        <m:r>
          <m:rPr>
            <m:sty m:val="p"/>
          </m:rPr>
          <m:t>(</m:t>
        </m:r>
        <m:r>
          <m:rPr>
            <m:sty m:val="p"/>
          </m:rPr>
          <m:t>mod</m:t>
        </m:r>
        <m:r>
          <m:t> </m:t>
        </m:r>
        <m:r>
          <m:t>3</m:t>
        </m:r>
        <m:r>
          <m:rPr>
            <m:sty m:val="p"/>
          </m:rPr>
          <m:t>)</m:t>
        </m:r>
      </m:oMath>
      <w:r>
        <w:t xml:space="preserve">. Along an edge from</w:t>
      </w:r>
      <w:r>
        <w:t xml:space="preserve"> </w:t>
      </w:r>
      <m:oMath>
        <m:d>
          <m:dPr>
            <m:begChr m:val="("/>
            <m:endChr m:val=")"/>
            <m:sepChr m:val=""/>
            <m:grow/>
          </m:dPr>
          <m:e>
            <m:r>
              <m:t>i</m:t>
            </m:r>
            <m:r>
              <m:rPr>
                <m:sty m:val="p"/>
              </m:rPr>
              <m:t>,</m:t>
            </m:r>
            <m:r>
              <m:t>j</m:t>
            </m:r>
          </m:e>
        </m:d>
      </m:oMath>
      <w:r>
        <w:t xml:space="preserve"> </w:t>
      </w:r>
      <w:r>
        <w:t xml:space="preserve">to</w:t>
      </w:r>
      <w:r>
        <w:t xml:space="preserve"> </w:t>
      </w:r>
      <m:oMath>
        <m:d>
          <m:dPr>
            <m:begChr m:val="("/>
            <m:endChr m:val=")"/>
            <m:sepChr m:val=""/>
            <m:grow/>
          </m:dPr>
          <m:e>
            <m:r>
              <m:t>i</m:t>
            </m:r>
            <m:r>
              <m:rPr>
                <m:sty m:val="p"/>
              </m:rPr>
              <m:t>+</m:t>
            </m:r>
            <m:r>
              <m:t>1</m:t>
            </m:r>
            <m:r>
              <m:rPr>
                <m:sty m:val="p"/>
              </m:rPr>
              <m:t>,</m:t>
            </m:r>
            <m:r>
              <m:t>j</m:t>
            </m:r>
          </m:e>
        </m:d>
      </m:oMath>
      <w:r>
        <w:t xml:space="preserve"> </w:t>
      </w:r>
      <w:r>
        <w:t xml:space="preserve">the increment is</w:t>
      </w:r>
      <w:r>
        <w:t xml:space="preserve"> </w:t>
      </w:r>
      <m:oMath>
        <m:r>
          <m:rPr>
            <m:sty m:val="p"/>
          </m:rPr>
          <m:t>+</m:t>
        </m:r>
        <m:r>
          <m:t>1</m:t>
        </m:r>
      </m:oMath>
      <w:r>
        <w:t xml:space="preserve">; along one from</w:t>
      </w:r>
      <w:r>
        <w:t xml:space="preserve"> </w:t>
      </w:r>
      <m:oMath>
        <m:d>
          <m:dPr>
            <m:begChr m:val="("/>
            <m:endChr m:val=")"/>
            <m:sepChr m:val=""/>
            <m:grow/>
          </m:dPr>
          <m:e>
            <m:r>
              <m:t>i</m:t>
            </m:r>
            <m:r>
              <m:rPr>
                <m:sty m:val="p"/>
              </m:rPr>
              <m:t>,</m:t>
            </m:r>
            <m:r>
              <m:t>j</m:t>
            </m:r>
          </m:e>
        </m:d>
      </m:oMath>
      <w:r>
        <w:t xml:space="preserve"> </w:t>
      </w:r>
      <w:r>
        <w:t xml:space="preserve">to</w:t>
      </w:r>
      <w:r>
        <w:t xml:space="preserve"> </w:t>
      </w:r>
      <m:oMath>
        <m:d>
          <m:dPr>
            <m:begChr m:val="("/>
            <m:endChr m:val=")"/>
            <m:sepChr m:val=""/>
            <m:grow/>
          </m:dPr>
          <m:e>
            <m:r>
              <m:t>i</m:t>
            </m:r>
            <m:r>
              <m:rPr>
                <m:sty m:val="p"/>
              </m:rPr>
              <m:t>,</m:t>
            </m:r>
            <m:r>
              <m:t>j</m:t>
            </m:r>
            <m:r>
              <m:rPr>
                <m:sty m:val="p"/>
              </m:rPr>
              <m:t>+</m:t>
            </m:r>
            <m:r>
              <m:t>1</m:t>
            </m:r>
          </m:e>
        </m:d>
      </m:oMath>
      <w:r>
        <w:t xml:space="preserve"> </w:t>
      </w:r>
      <w:r>
        <w:t xml:space="preserve">it is</w:t>
      </w:r>
      <w:r>
        <w:t xml:space="preserve"> </w:t>
      </w:r>
      <m:oMath>
        <m:r>
          <m:rPr>
            <m:sty m:val="p"/>
          </m:rPr>
          <m:t>−</m:t>
        </m:r>
        <m:r>
          <m:t>1</m:t>
        </m:r>
      </m:oMath>
      <w:r>
        <w:t xml:space="preserve">. Therefore the fundamental paths oriented in those directions have periods</w:t>
      </w:r>
    </w:p>
    <w:p>
      <w:pPr>
        <w:pStyle w:val="BodyText"/>
      </w:pPr>
      <m:oMathPara>
        <m:oMathParaPr>
          <m:jc m:val="center"/>
        </m:oMathParaPr>
        <m:oMath>
          <m:sSub>
            <m:e>
              <m:r>
                <m:t>H</m:t>
              </m:r>
            </m:e>
            <m:sub>
              <m:r>
                <m:t>x</m:t>
              </m:r>
            </m:sub>
          </m:sSub>
          <m:r>
            <m:rPr>
              <m:sty m:val="p"/>
            </m:rPr>
            <m:t>=</m:t>
          </m:r>
          <m:r>
            <m:t>n</m:t>
          </m:r>
          <m:r>
            <m:t> </m:t>
          </m:r>
          <m:r>
            <m:rPr>
              <m:sty m:val="p"/>
            </m:rPr>
            <m:t>(</m:t>
          </m:r>
          <m:r>
            <m:rPr>
              <m:sty m:val="p"/>
            </m:rPr>
            <m:t>mod</m:t>
          </m:r>
          <m:r>
            <m:t> </m:t>
          </m:r>
          <m:r>
            <m:t>3</m:t>
          </m:r>
          <m:r>
            <m:rPr>
              <m:sty m:val="p"/>
            </m:rPr>
            <m:t>)</m:t>
          </m:r>
          <m:r>
            <m:rPr>
              <m:sty m:val="p"/>
            </m:rPr>
            <m:t>,</m:t>
          </m:r>
          <m:r>
            <m:t>  </m:t>
          </m:r>
          <m:sSub>
            <m:e>
              <m:r>
                <m:t>H</m:t>
              </m:r>
            </m:e>
            <m:sub>
              <m:r>
                <m:t>y</m:t>
              </m:r>
            </m:sub>
          </m:sSub>
          <m:r>
            <m:rPr>
              <m:sty m:val="p"/>
            </m:rPr>
            <m:t>=</m:t>
          </m:r>
          <m:r>
            <m:rPr>
              <m:sty m:val="p"/>
            </m:rPr>
            <m:t>−</m:t>
          </m:r>
          <m:r>
            <m:t>m</m:t>
          </m:r>
          <m:r>
            <m:t> </m:t>
          </m:r>
          <m:r>
            <m:rPr>
              <m:sty m:val="p"/>
            </m:rPr>
            <m:t>(</m:t>
          </m:r>
          <m:r>
            <m:rPr>
              <m:sty m:val="p"/>
            </m:rPr>
            <m:t>mod</m:t>
          </m:r>
          <m:r>
            <m:t> </m:t>
          </m:r>
          <m:r>
            <m:t>3</m:t>
          </m:r>
          <m:r>
            <m:rPr>
              <m:sty m:val="p"/>
            </m:rPr>
            <m:t>)</m:t>
          </m:r>
          <m:r>
            <m:rPr>
              <m:sty m:val="p"/>
            </m:rPr>
            <m:t>.</m:t>
          </m:r>
        </m:oMath>
      </m:oMathPara>
    </w:p>
    <w:p>
      <w:pPr>
        <w:pStyle w:val="FirstParagraph"/>
      </w:pPr>
      <w:r>
        <w:t xml:space="preserve">When those periods do not vanish,</w:t>
      </w:r>
      <w:r>
        <w:t xml:space="preserve"> </w:t>
      </w:r>
      <m:oMath>
        <m:r>
          <m:t>c</m:t>
        </m:r>
        <m:d>
          <m:dPr>
            <m:begChr m:val="("/>
            <m:endChr m:val=")"/>
            <m:sepChr m:val=""/>
            <m:grow/>
          </m:dPr>
          <m:e>
            <m:r>
              <m:t>i</m:t>
            </m:r>
            <m:r>
              <m:rPr>
                <m:sty m:val="p"/>
              </m:rPr>
              <m:t>,</m:t>
            </m:r>
            <m:r>
              <m:t>j</m:t>
            </m:r>
          </m:e>
        </m:d>
      </m:oMath>
      <w:r>
        <w:t xml:space="preserve"> </w:t>
      </w:r>
      <w:r>
        <w:t xml:space="preserve">is defined on the covering space but</w:t>
      </w:r>
      <w:r>
        <w:t xml:space="preserve"> </w:t>
      </w:r>
      <w:r>
        <w:rPr>
          <w:b/>
          <w:bCs/>
        </w:rPr>
        <w:t xml:space="preserve">does not descend</w:t>
      </w:r>
      <w:r>
        <w:t xml:space="preserve"> </w:t>
      </w:r>
      <w:r>
        <w:t xml:space="preserve">to a well-defined coloring of the periodic torus. Reversing both tension signs reverses both periods without changing their vanishing condition. Under the stated contract,</w:t>
      </w:r>
      <w:r>
        <w:t xml:space="preserve"> </w:t>
      </w:r>
      <m:oMath>
        <m:r>
          <m:t>T</m:t>
        </m:r>
        <m:d>
          <m:dPr>
            <m:begChr m:val="("/>
            <m:endChr m:val=")"/>
            <m:sepChr m:val=""/>
            <m:grow/>
          </m:dPr>
          <m:e>
            <m:r>
              <m:t>n</m:t>
            </m:r>
            <m:r>
              <m:rPr>
                <m:sty m:val="p"/>
              </m:rPr>
              <m:t>,</m:t>
            </m:r>
            <m:r>
              <m:t>m</m:t>
            </m:r>
          </m:e>
        </m:d>
      </m:oMath>
      <w:r>
        <w:t xml:space="preserve"> </w:t>
      </w:r>
      <w:r>
        <w:t xml:space="preserve">is 3-colorable exactly when</w:t>
      </w:r>
      <w:r>
        <w:t xml:space="preserve"> </w:t>
      </w:r>
      <m:oMath>
        <m:r>
          <m:t>3</m:t>
        </m:r>
        <m:r>
          <m:rPr>
            <m:sty m:val="p"/>
          </m:rPr>
          <m:t>∣</m:t>
        </m:r>
        <m:r>
          <m:t>n</m:t>
        </m:r>
      </m:oMath>
      <w:r>
        <w:t xml:space="preserve"> </w:t>
      </w:r>
      <w:r>
        <w:t xml:space="preserve">and</w:t>
      </w:r>
      <w:r>
        <w:t xml:space="preserve"> </w:t>
      </w:r>
      <m:oMath>
        <m:r>
          <m:t>3</m:t>
        </m:r>
        <m:r>
          <m:rPr>
            <m:sty m:val="p"/>
          </m:rPr>
          <m:t>∣</m:t>
        </m:r>
        <m:r>
          <m:t>m</m:t>
        </m:r>
      </m:oMath>
      <w:r>
        <w:t xml:space="preserve">;</w:t>
      </w:r>
      <w:r>
        <w:t xml:space="preserve"> </w:t>
      </w:r>
      <m:oMath>
        <m:r>
          <m:t>T</m:t>
        </m:r>
        <m:d>
          <m:dPr>
            <m:begChr m:val="("/>
            <m:endChr m:val=")"/>
            <m:sepChr m:val=""/>
            <m:grow/>
          </m:dPr>
          <m:e>
            <m:r>
              <m:t>4</m:t>
            </m:r>
            <m:r>
              <m:rPr>
                <m:sty m:val="p"/>
              </m:rPr>
              <m:t>,</m:t>
            </m:r>
            <m:r>
              <m:t>4</m:t>
            </m:r>
          </m:e>
        </m:d>
      </m:oMath>
      <w:r>
        <w:t xml:space="preserve"> </w:t>
      </w:r>
      <w:r>
        <w:t xml:space="preserve">has locally closing faces but is incompatible, whereas</w:t>
      </w:r>
      <w:r>
        <w:t xml:space="preserve"> </w:t>
      </w:r>
      <m:oMath>
        <m:r>
          <m:t>T</m:t>
        </m:r>
        <m:d>
          <m:dPr>
            <m:begChr m:val="("/>
            <m:endChr m:val=")"/>
            <m:sepChr m:val=""/>
            <m:grow/>
          </m:dPr>
          <m:e>
            <m:r>
              <m:t>6</m:t>
            </m:r>
            <m:r>
              <m:rPr>
                <m:sty m:val="p"/>
              </m:rPr>
              <m:t>,</m:t>
            </m:r>
            <m:r>
              <m:t>6</m:t>
            </m:r>
          </m:e>
        </m:d>
      </m:oMath>
      <w:r>
        <w:t xml:space="preserve"> </w:t>
      </w:r>
      <w:r>
        <w:t xml:space="preserve">admits six colorings.</w:t>
      </w:r>
    </w:p>
    <w:p>
      <w:pPr>
        <w:pStyle w:val="BodyText"/>
      </w:pPr>
      <w:r>
        <w:t xml:space="preserve">This illustrates an important distinction suggested by the cube:</w:t>
      </w:r>
      <w:r>
        <w:t xml:space="preserve"> </w:t>
      </w:r>
      <w:r>
        <w:rPr>
          <w:b/>
          <w:bCs/>
        </w:rPr>
        <w:t xml:space="preserve">local references may be consistent while a global path retains a residual obstruction</w:t>
      </w:r>
      <w:r>
        <w:t xml:space="preserve">. R4 yields a small signature and an efficient procedure for this family of tori, not a universal algorithm for arbitrary graphs.</w:t>
      </w:r>
    </w:p>
    <w:bookmarkEnd w:id="29"/>
    <w:bookmarkStart w:id="30" w:name="Xa62d50f92609d78006789621f58a51692c6e75a"/>
    <w:p>
      <w:pPr>
        <w:pStyle w:val="Heading2"/>
      </w:pPr>
      <w:r>
        <w:t xml:space="preserve">7. R–04: indeterminate query, determination radius, and certificate [T/E]</w:t>
      </w:r>
    </w:p>
    <w:p>
      <w:pPr>
        <w:pStyle w:val="FirstParagraph"/>
      </w:pPr>
      <w:r>
        <w:t xml:space="preserve">Given a fiber</w:t>
      </w:r>
      <w:r>
        <w:t xml:space="preserve"> </w:t>
      </w:r>
      <m:oMath>
        <m:r>
          <m:t>F</m:t>
        </m:r>
      </m:oMath>
      <w:r>
        <w:t xml:space="preserve"> </w:t>
      </w:r>
      <w:r>
        <w:t xml:space="preserve">of compatible solutions and a relational query</w:t>
      </w:r>
      <w:r>
        <w:t xml:space="preserve"> </w:t>
      </w:r>
      <m:oMath>
        <m:r>
          <m:t>q</m:t>
        </m:r>
      </m:oMath>
      <w:r>
        <w:t xml:space="preserve">, R–04 distinguishes</w:t>
      </w:r>
      <w:r>
        <w:t xml:space="preserve"> </w:t>
      </w:r>
      <w:r>
        <w:rPr>
          <w:b/>
          <w:bCs/>
        </w:rPr>
        <w:t xml:space="preserve">indeterminacy</w:t>
      </w:r>
      <w:r>
        <w:t xml:space="preserve"> </w:t>
      </w:r>
      <w:r>
        <w:t xml:space="preserve">(</w:t>
      </w:r>
      <m:oMath>
        <m:r>
          <m:t>F</m:t>
        </m:r>
        <m:r>
          <m:rPr>
            <m:sty m:val="p"/>
          </m:rPr>
          <m:t>≠</m:t>
        </m:r>
        <m:r>
          <m:rPr>
            <m:sty m:val="p"/>
          </m:rPr>
          <m:t>⌀</m:t>
        </m:r>
      </m:oMath>
      <w:r>
        <w:t xml:space="preserve"> </w:t>
      </w:r>
      <w:r>
        <w:t xml:space="preserve">and</w:t>
      </w:r>
      <w:r>
        <w:t xml:space="preserve"> </w:t>
      </w:r>
      <m:oMath>
        <m:d>
          <m:dPr>
            <m:begChr m:val="|"/>
            <m:endChr m:val="|"/>
            <m:sepChr m:val=""/>
            <m:grow/>
          </m:dPr>
          <m:e>
            <m:r>
              <m:t>q</m:t>
            </m:r>
            <m:d>
              <m:dPr>
                <m:begChr m:val="("/>
                <m:endChr m:val=")"/>
                <m:sepChr m:val=""/>
                <m:grow/>
              </m:dPr>
              <m:e>
                <m:r>
                  <m:t>F</m:t>
                </m:r>
              </m:e>
            </m:d>
          </m:e>
        </m:d>
        <m:r>
          <m:rPr>
            <m:sty m:val="p"/>
          </m:rPr>
          <m:t>≥</m:t>
        </m:r>
        <m:r>
          <m:t>2</m:t>
        </m:r>
      </m:oMath>
      <w:r>
        <w:t xml:space="preserve">),</w:t>
      </w:r>
      <w:r>
        <w:t xml:space="preserve"> </w:t>
      </w:r>
      <w:r>
        <w:rPr>
          <w:b/>
          <w:bCs/>
        </w:rPr>
        <w:t xml:space="preserve">determination</w:t>
      </w:r>
      <w:r>
        <w:t xml:space="preserve"> </w:t>
      </w:r>
      <w:r>
        <w:t xml:space="preserve">(</w:t>
      </w:r>
      <m:oMath>
        <m:r>
          <m:t>F</m:t>
        </m:r>
        <m:r>
          <m:rPr>
            <m:sty m:val="p"/>
          </m:rPr>
          <m:t>≠</m:t>
        </m:r>
        <m:r>
          <m:rPr>
            <m:sty m:val="p"/>
          </m:rPr>
          <m:t>⌀</m:t>
        </m:r>
      </m:oMath>
      <w:r>
        <w:t xml:space="preserve"> </w:t>
      </w:r>
      <w:r>
        <w:t xml:space="preserve">and</w:t>
      </w:r>
      <w:r>
        <w:t xml:space="preserve"> </w:t>
      </w:r>
      <m:oMath>
        <m:d>
          <m:dPr>
            <m:begChr m:val="|"/>
            <m:endChr m:val="|"/>
            <m:sepChr m:val=""/>
            <m:grow/>
          </m:dPr>
          <m:e>
            <m:r>
              <m:t>q</m:t>
            </m:r>
            <m:d>
              <m:dPr>
                <m:begChr m:val="("/>
                <m:endChr m:val=")"/>
                <m:sepChr m:val=""/>
                <m:grow/>
              </m:dPr>
              <m:e>
                <m:r>
                  <m:t>F</m:t>
                </m:r>
              </m:e>
            </m:d>
          </m:e>
        </m:d>
        <m:r>
          <m:rPr>
            <m:sty m:val="p"/>
          </m:rPr>
          <m:t>=</m:t>
        </m:r>
        <m:r>
          <m:t>1</m:t>
        </m:r>
      </m:oMath>
      <w:r>
        <w:t xml:space="preserve">), and</w:t>
      </w:r>
      <w:r>
        <w:t xml:space="preserve"> </w:t>
      </w:r>
      <w:r>
        <w:rPr>
          <w:b/>
          <w:bCs/>
        </w:rPr>
        <w:t xml:space="preserve">incompatibility</w:t>
      </w:r>
      <w:r>
        <w:t xml:space="preserve"> </w:t>
      </w:r>
      <w:r>
        <w:t xml:space="preserve">(</w:t>
      </w:r>
      <m:oMath>
        <m:r>
          <m:t>F</m:t>
        </m:r>
        <m:r>
          <m:rPr>
            <m:sty m:val="p"/>
          </m:rPr>
          <m:t>=</m:t>
        </m:r>
        <m:r>
          <m:rPr>
            <m:sty m:val="p"/>
          </m:rPr>
          <m:t>⌀</m:t>
        </m:r>
      </m:oMath>
      <w:r>
        <w:t xml:space="preserve">). In 3-coloring, the canonical bit is</w:t>
      </w:r>
      <w:r>
        <w:t xml:space="preserve"> </w:t>
      </w:r>
      <m:oMath>
        <m:sSub>
          <m:e>
            <m:r>
              <m:t>q</m:t>
            </m:r>
          </m:e>
          <m:sub>
            <m:r>
              <m:t>u</m:t>
            </m:r>
            <m:r>
              <m:t>v</m:t>
            </m:r>
          </m:sub>
        </m:sSub>
        <m:d>
          <m:dPr>
            <m:begChr m:val="("/>
            <m:endChr m:val=")"/>
            <m:sepChr m:val=""/>
            <m:grow/>
          </m:dPr>
          <m:e>
            <m:r>
              <m:t>c</m:t>
            </m:r>
          </m:e>
        </m:d>
        <m:r>
          <m:rPr>
            <m:sty m:val="p"/>
          </m:rPr>
          <m:t>=</m:t>
        </m:r>
        <m:d>
          <m:dPr>
            <m:begChr m:val="["/>
            <m:endChr m:val="]"/>
            <m:sepChr m:val=""/>
            <m:grow/>
          </m:dPr>
          <m:e>
            <m:r>
              <m:t>c</m:t>
            </m:r>
            <m:d>
              <m:dPr>
                <m:begChr m:val="("/>
                <m:endChr m:val=")"/>
                <m:sepChr m:val=""/>
                <m:grow/>
              </m:dPr>
              <m:e>
                <m:r>
                  <m:t>u</m:t>
                </m:r>
              </m:e>
            </m:d>
            <m:r>
              <m:rPr>
                <m:sty m:val="p"/>
              </m:rPr>
              <m:t>=</m:t>
            </m:r>
            <m:r>
              <m:t>c</m:t>
            </m:r>
            <m:d>
              <m:dPr>
                <m:begChr m:val="("/>
                <m:endChr m:val=")"/>
                <m:sepChr m:val=""/>
                <m:grow/>
              </m:dPr>
              <m:e>
                <m:r>
                  <m:t>v</m:t>
                </m:r>
              </m:e>
            </m:d>
          </m:e>
        </m:d>
      </m:oMath>
      <w:r>
        <w:t xml:space="preserve">. Adding constraints can only shrink the solution set; a determined answer cannot switch to its opposite without the fiber first becoming empty.</w:t>
      </w:r>
    </w:p>
    <w:p>
      <w:pPr>
        <w:pStyle w:val="BodyText"/>
      </w:pPr>
      <w:r>
        <w:t xml:space="preserve">In the diamond</w:t>
      </w:r>
      <w:r>
        <w:t xml:space="preserve"> </w:t>
      </w:r>
      <m:oMath>
        <m:sSub>
          <m:e>
            <m:r>
              <m:t>K</m:t>
            </m:r>
          </m:e>
          <m:sub>
            <m:r>
              <m:t>4</m:t>
            </m:r>
          </m:sub>
        </m:sSub>
        <m:r>
          <m:rPr>
            <m:sty m:val="p"/>
          </m:rPr>
          <m:t>−</m:t>
        </m:r>
        <m:r>
          <m:t>e</m:t>
        </m:r>
      </m:oMath>
      <w:r>
        <w:t xml:space="preserve">, the two nonadjacent tips must share the third color. Identifying them preserves 3-colorability. A closure procedure applying this inference terminates in polynomial time and detects every odd wheel; it does not activate on triangle-free graphs, a class in which 3-coloring remains NP-complete.</w:t>
      </w:r>
    </w:p>
    <w:p>
      <w:pPr>
        <w:pStyle w:val="BodyText"/>
      </w:pPr>
      <w:r>
        <w:t xml:space="preserve">The</w:t>
      </w:r>
      <w:r>
        <w:t xml:space="preserve"> </w:t>
      </w:r>
      <w:r>
        <w:rPr>
          <w:b/>
          <w:bCs/>
        </w:rPr>
        <w:t xml:space="preserve">determination radius</w:t>
      </w:r>
      <w:r>
        <w:t xml:space="preserve"> </w:t>
      </w:r>
      <m:oMath>
        <m:r>
          <m:t>ρ</m:t>
        </m:r>
        <m:d>
          <m:dPr>
            <m:begChr m:val="("/>
            <m:endChr m:val=")"/>
            <m:sepChr m:val=""/>
            <m:grow/>
          </m:dPr>
          <m:e>
            <m:r>
              <m:t>G</m:t>
            </m:r>
          </m:e>
        </m:d>
      </m:oMath>
      <w:r>
        <w:t xml:space="preserve"> </w:t>
      </w:r>
      <w:r>
        <w:t xml:space="preserve">is the minimum number of vertices in a proper induced 3-colorable subgraph in which some nonadjacent pair is determined; if no such subgraph exists, set</w:t>
      </w:r>
      <w:r>
        <w:t xml:space="preserve"> </w:t>
      </w:r>
      <m:oMath>
        <m:r>
          <m:t>ρ</m:t>
        </m:r>
        <m:d>
          <m:dPr>
            <m:begChr m:val="("/>
            <m:endChr m:val=")"/>
            <m:sepChr m:val=""/>
            <m:grow/>
          </m:dPr>
          <m:e>
            <m:r>
              <m:t>G</m:t>
            </m:r>
          </m:e>
        </m:d>
        <m:r>
          <m:rPr>
            <m:sty m:val="p"/>
          </m:rPr>
          <m:t>=</m:t>
        </m:r>
        <m:r>
          <m:rPr>
            <m:sty m:val="p"/>
          </m:rPr>
          <m:t>∞</m:t>
        </m:r>
      </m:oMath>
      <w:r>
        <w:t xml:space="preserve">. It measures the support needed for a query in this laboratory;</w:t>
      </w:r>
      <w:r>
        <w:t xml:space="preserve"> </w:t>
      </w:r>
      <w:r>
        <w:rPr>
          <w:b/>
          <w:bCs/>
        </w:rPr>
        <w:t xml:space="preserve">by definition it is not the constitutive radius of every unit in the program</w:t>
      </w:r>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Graph family</w:t>
            </w:r>
          </w:p>
        </w:tc>
        <w:tc>
          <w:tcPr/>
          <w:p>
            <w:pPr>
              <w:pStyle w:val="Compact"/>
              <w:jc w:val="right"/>
            </w:pPr>
            <w:r>
              <w:t xml:space="preserve">Vertices</w:t>
            </w:r>
          </w:p>
        </w:tc>
        <w:tc>
          <w:tcPr/>
          <w:p>
            <w:pPr>
              <w:pStyle w:val="Compact"/>
              <w:jc w:val="right"/>
            </w:pPr>
            <m:oMath>
              <m:r>
                <m:t>ρ</m:t>
              </m:r>
              <m:d>
                <m:dPr>
                  <m:begChr m:val="("/>
                  <m:endChr m:val=")"/>
                  <m:sepChr m:val=""/>
                  <m:grow/>
                </m:dPr>
                <m:e>
                  <m:r>
                    <m:t>G</m:t>
                  </m:r>
                </m:e>
              </m:d>
            </m:oMath>
          </w:p>
        </w:tc>
        <w:tc>
          <w:tcPr/>
          <w:p>
            <w:pPr>
              <w:pStyle w:val="Compact"/>
              <w:jc w:val="left"/>
            </w:pPr>
            <w:r>
              <w:t xml:space="preserve">Incompatibility argument</w:t>
            </w:r>
          </w:p>
        </w:tc>
      </w:tr>
      <w:tr>
        <w:tc>
          <w:tcPr/>
          <w:p>
            <w:pPr>
              <w:pStyle w:val="Compact"/>
              <w:jc w:val="left"/>
            </w:pPr>
            <w:r>
              <w:t xml:space="preserve">Odd wheel</w:t>
            </w:r>
            <w:r>
              <w:t xml:space="preserve"> </w:t>
            </w:r>
            <m:oMath>
              <m:sSub>
                <m:e>
                  <m:r>
                    <m:t>W</m:t>
                  </m:r>
                </m:e>
                <m:sub>
                  <m:r>
                    <m:t>r</m:t>
                  </m:r>
                </m:sub>
              </m:sSub>
            </m:oMath>
            <w:r>
              <w:t xml:space="preserve"> </w:t>
            </w:r>
            <w:r>
              <w:t xml:space="preserve">(</w:t>
            </w:r>
            <m:oMath>
              <m:r>
                <m:t>r</m:t>
              </m:r>
              <m:r>
                <m:rPr>
                  <m:sty m:val="p"/>
                </m:rPr>
                <m:t>≥</m:t>
              </m:r>
              <m:r>
                <m:t>5</m:t>
              </m:r>
            </m:oMath>
            <w:r>
              <w:t xml:space="preserve">)</w:t>
            </w:r>
          </w:p>
        </w:tc>
        <w:tc>
          <w:tcPr/>
          <w:p>
            <w:pPr>
              <w:pStyle w:val="Compact"/>
              <w:jc w:val="right"/>
            </w:pPr>
            <m:oMath>
              <m:r>
                <m:t>r</m:t>
              </m:r>
              <m:r>
                <m:rPr>
                  <m:sty m:val="p"/>
                </m:rPr>
                <m:t>+</m:t>
              </m:r>
              <m:r>
                <m:t>1</m:t>
              </m:r>
            </m:oMath>
          </w:p>
        </w:tc>
        <w:tc>
          <w:tcPr/>
          <w:p>
            <w:pPr>
              <w:pStyle w:val="Compact"/>
              <w:jc w:val="right"/>
            </w:pPr>
            <m:oMath>
              <m:r>
                <m:t>4</m:t>
              </m:r>
            </m:oMath>
            <w:r>
              <w:t xml:space="preserve"> </w:t>
            </w:r>
            <w:r>
              <w:t xml:space="preserve">[T]</w:t>
            </w:r>
          </w:p>
        </w:tc>
        <w:tc>
          <w:tcPr/>
          <w:p>
            <w:pPr>
              <w:pStyle w:val="Compact"/>
              <w:jc w:val="left"/>
            </w:pPr>
            <w:r>
              <w:t xml:space="preserve">Successive diamonds</w:t>
            </w:r>
          </w:p>
        </w:tc>
      </w:tr>
      <w:tr>
        <w:tc>
          <w:tcPr/>
          <w:p>
            <w:pPr>
              <w:pStyle w:val="Compact"/>
              <w:jc w:val="left"/>
            </w:pPr>
            <m:oMath>
              <m:r>
                <m:t>M</m:t>
              </m:r>
              <m:d>
                <m:dPr>
                  <m:begChr m:val="("/>
                  <m:endChr m:val=")"/>
                  <m:sepChr m:val=""/>
                  <m:grow/>
                </m:dPr>
                <m:e>
                  <m:sSub>
                    <m:e>
                      <m:r>
                        <m:t>C</m:t>
                      </m:r>
                    </m:e>
                    <m:sub>
                      <m:r>
                        <m:t>5</m:t>
                      </m:r>
                    </m:sub>
                  </m:sSub>
                </m:e>
              </m:d>
            </m:oMath>
          </w:p>
        </w:tc>
        <w:tc>
          <w:tcPr/>
          <w:p>
            <w:pPr>
              <w:pStyle w:val="Compact"/>
              <w:jc w:val="right"/>
            </w:pPr>
            <m:oMath>
              <m:r>
                <m:t>11</m:t>
              </m:r>
            </m:oMath>
          </w:p>
        </w:tc>
        <w:tc>
          <w:tcPr/>
          <w:p>
            <w:pPr>
              <w:pStyle w:val="Compact"/>
              <w:jc w:val="right"/>
            </w:pPr>
            <m:oMath>
              <m:r>
                <m:t>9</m:t>
              </m:r>
            </m:oMath>
            <w:r>
              <w:t xml:space="preserve"> </w:t>
            </w:r>
            <w:r>
              <w:t xml:space="preserve">[E]</w:t>
            </w:r>
          </w:p>
        </w:tc>
        <w:tc>
          <w:tcPr/>
          <w:p>
            <w:pPr>
              <w:pStyle w:val="Compact"/>
              <w:jc w:val="left"/>
            </w:pPr>
            <w:r>
              <w:t xml:space="preserve">Recoloring the odd cycle</w:t>
            </w:r>
          </w:p>
        </w:tc>
      </w:tr>
      <w:tr>
        <w:tc>
          <w:tcPr/>
          <w:p>
            <w:pPr>
              <w:pStyle w:val="Compact"/>
              <w:jc w:val="left"/>
            </w:pPr>
            <m:oMath>
              <m:r>
                <m:t>M</m:t>
              </m:r>
              <m:d>
                <m:dPr>
                  <m:begChr m:val="("/>
                  <m:endChr m:val=")"/>
                  <m:sepChr m:val=""/>
                  <m:grow/>
                </m:dPr>
                <m:e>
                  <m:sSub>
                    <m:e>
                      <m:r>
                        <m:t>C</m:t>
                      </m:r>
                    </m:e>
                    <m:sub>
                      <m:r>
                        <m:t>7</m:t>
                      </m:r>
                    </m:sub>
                  </m:sSub>
                </m:e>
              </m:d>
            </m:oMath>
          </w:p>
        </w:tc>
        <w:tc>
          <w:tcPr/>
          <w:p>
            <w:pPr>
              <w:pStyle w:val="Compact"/>
              <w:jc w:val="right"/>
            </w:pPr>
            <m:oMath>
              <m:r>
                <m:t>15</m:t>
              </m:r>
            </m:oMath>
          </w:p>
        </w:tc>
        <w:tc>
          <w:tcPr/>
          <w:p>
            <w:pPr>
              <w:pStyle w:val="Compact"/>
              <w:jc w:val="right"/>
            </w:pPr>
            <m:oMath>
              <m:r>
                <m:t>12</m:t>
              </m:r>
            </m:oMath>
            <w:r>
              <w:t xml:space="preserve"> </w:t>
            </w:r>
            <w:r>
              <w:t xml:space="preserve">[E]</w:t>
            </w:r>
          </w:p>
        </w:tc>
        <w:tc>
          <w:tcPr/>
          <w:p>
            <w:pPr>
              <w:pStyle w:val="Compact"/>
              <w:jc w:val="left"/>
            </w:pPr>
            <w:r>
              <w:t xml:space="preserve">Recoloring the odd cycle</w:t>
            </w:r>
          </w:p>
        </w:tc>
      </w:tr>
      <w:tr>
        <w:tc>
          <w:tcPr/>
          <w:p>
            <w:pPr>
              <w:pStyle w:val="Compact"/>
              <w:jc w:val="left"/>
            </w:pPr>
            <m:oMath>
              <m:r>
                <m:t>M</m:t>
              </m:r>
              <m:d>
                <m:dPr>
                  <m:begChr m:val="("/>
                  <m:endChr m:val=")"/>
                  <m:sepChr m:val=""/>
                  <m:grow/>
                </m:dPr>
                <m:e>
                  <m:sSub>
                    <m:e>
                      <m:r>
                        <m:t>C</m:t>
                      </m:r>
                    </m:e>
                    <m:sub>
                      <m:r>
                        <m:t>9</m:t>
                      </m:r>
                    </m:sub>
                  </m:sSub>
                </m:e>
              </m:d>
            </m:oMath>
          </w:p>
        </w:tc>
        <w:tc>
          <w:tcPr/>
          <w:p>
            <w:pPr>
              <w:pStyle w:val="Compact"/>
              <w:jc w:val="right"/>
            </w:pPr>
            <m:oMath>
              <m:r>
                <m:t>19</m:t>
              </m:r>
            </m:oMath>
          </w:p>
        </w:tc>
        <w:tc>
          <w:tcPr/>
          <w:p>
            <w:pPr>
              <w:pStyle w:val="Compact"/>
              <w:jc w:val="right"/>
            </w:pPr>
            <m:oMath>
              <m:r>
                <m:t>16</m:t>
              </m:r>
            </m:oMath>
            <w:r>
              <w:t xml:space="preserve"> </w:t>
            </w:r>
            <w:r>
              <w:t xml:space="preserve">[E]</w:t>
            </w:r>
          </w:p>
        </w:tc>
        <w:tc>
          <w:tcPr/>
          <w:p>
            <w:pPr>
              <w:pStyle w:val="Compact"/>
              <w:jc w:val="left"/>
            </w:pPr>
            <w:r>
              <w:t xml:space="preserve">Recoloring the odd cycle</w:t>
            </w:r>
          </w:p>
        </w:tc>
      </w:tr>
      <w:tr>
        <w:tc>
          <w:tcPr/>
          <w:p>
            <w:pPr>
              <w:pStyle w:val="Compact"/>
              <w:jc w:val="left"/>
            </w:pPr>
            <m:oMath>
              <m:r>
                <m:t>M</m:t>
              </m:r>
              <m:d>
                <m:dPr>
                  <m:begChr m:val="("/>
                  <m:endChr m:val=")"/>
                  <m:sepChr m:val=""/>
                  <m:grow/>
                </m:dPr>
                <m:e>
                  <m:sSub>
                    <m:e>
                      <m:r>
                        <m:t>C</m:t>
                      </m:r>
                    </m:e>
                    <m:sub>
                      <m:r>
                        <m:t>11</m:t>
                      </m:r>
                    </m:sub>
                  </m:sSub>
                </m:e>
              </m:d>
            </m:oMath>
          </w:p>
        </w:tc>
        <w:tc>
          <w:tcPr/>
          <w:p>
            <w:pPr>
              <w:pStyle w:val="Compact"/>
              <w:jc w:val="right"/>
            </w:pPr>
            <m:oMath>
              <m:r>
                <m:t>23</m:t>
              </m:r>
            </m:oMath>
          </w:p>
        </w:tc>
        <w:tc>
          <w:tcPr/>
          <w:p>
            <w:pPr>
              <w:pStyle w:val="Compact"/>
              <w:jc w:val="right"/>
            </w:pPr>
            <m:oMath>
              <m:r>
                <m:t>20</m:t>
              </m:r>
            </m:oMath>
            <w:r>
              <w:t xml:space="preserve"> </w:t>
            </w:r>
            <w:r>
              <w:t xml:space="preserve">[E]</w:t>
            </w:r>
          </w:p>
        </w:tc>
        <w:tc>
          <w:tcPr/>
          <w:p>
            <w:pPr>
              <w:pStyle w:val="Compact"/>
              <w:jc w:val="left"/>
            </w:pPr>
            <w:r>
              <w:t xml:space="preserve">Recoloring the odd cycle</w:t>
            </w:r>
          </w:p>
        </w:tc>
      </w:tr>
    </w:tbl>
    <w:p>
      <w:pPr>
        <w:pStyle w:val="BodyText"/>
      </w:pPr>
      <w:r>
        <w:t xml:space="preserve">The Mycielski values are reported finite checks; the formula</w:t>
      </w:r>
      <w:r>
        <w:t xml:space="preserve"> </w:t>
      </w:r>
      <m:oMath>
        <m:r>
          <m:t>ρ</m:t>
        </m:r>
        <m:d>
          <m:dPr>
            <m:begChr m:val="("/>
            <m:endChr m:val=")"/>
            <m:sepChr m:val=""/>
            <m:grow/>
          </m:dPr>
          <m:e>
            <m:r>
              <m:t>M</m:t>
            </m:r>
            <m:d>
              <m:dPr>
                <m:begChr m:val="("/>
                <m:endChr m:val=")"/>
                <m:sepChr m:val=""/>
                <m:grow/>
              </m:dPr>
              <m:e>
                <m:sSub>
                  <m:e>
                    <m:r>
                      <m:t>C</m:t>
                    </m:r>
                  </m:e>
                  <m:sub>
                    <m:r>
                      <m:t>r</m:t>
                    </m:r>
                  </m:sub>
                </m:sSub>
              </m:e>
            </m:d>
          </m:e>
        </m:d>
        <m:r>
          <m:rPr>
            <m:sty m:val="p"/>
          </m:rPr>
          <m:t>=</m:t>
        </m:r>
        <m:r>
          <m:t>2</m:t>
        </m:r>
        <m:r>
          <m:t>r</m:t>
        </m:r>
        <m:r>
          <m:rPr>
            <m:sty m:val="p"/>
          </m:rPr>
          <m:t>−</m:t>
        </m:r>
        <m:r>
          <m:t>2</m:t>
        </m:r>
      </m:oMath>
      <w:r>
        <w:t xml:space="preserve"> </w:t>
      </w:r>
      <w:r>
        <w:t xml:space="preserve">for odd</w:t>
      </w:r>
      <w:r>
        <w:t xml:space="preserve"> </w:t>
      </w:r>
      <m:oMath>
        <m:r>
          <m:t>r</m:t>
        </m:r>
        <m:r>
          <m:rPr>
            <m:sty m:val="p"/>
          </m:rPr>
          <m:t>≥</m:t>
        </m:r>
        <m:r>
          <m:t>7</m:t>
        </m:r>
      </m:oMath>
      <w:r>
        <w:t xml:space="preserve"> </w:t>
      </w:r>
      <w:r>
        <w:t xml:space="preserve">remains a conjecture. The graphs</w:t>
      </w:r>
      <w:r>
        <w:t xml:space="preserve"> </w:t>
      </w:r>
      <m:oMath>
        <m:r>
          <m:t>M</m:t>
        </m:r>
        <m:d>
          <m:dPr>
            <m:begChr m:val="("/>
            <m:endChr m:val=")"/>
            <m:sepChr m:val=""/>
            <m:grow/>
          </m:dPr>
          <m:e>
            <m:sSub>
              <m:e>
                <m:r>
                  <m:t>C</m:t>
                </m:r>
              </m:e>
              <m:sub>
                <m:r>
                  <m:t>r</m:t>
                </m:r>
              </m:sub>
            </m:sSub>
          </m:e>
        </m:d>
      </m:oMath>
      <w:r>
        <w:t xml:space="preserve"> </w:t>
      </w:r>
      <w:r>
        <w:t xml:space="preserve">are triangle-free and not 3-colorable, but deleting any vertex makes them 3-colorable. No fixed-size window inspecting only the colorability of induced subgraphs detects all incompatibilities.</w:t>
      </w:r>
    </w:p>
    <w:p>
      <w:pPr>
        <w:pStyle w:val="BodyText"/>
      </w:pPr>
      <w:r>
        <w:rPr>
          <w:b/>
          <w:bCs/>
        </w:rPr>
        <w:t xml:space="preserve">Certificate contrast.</w:t>
      </w:r>
      <w:r>
        <w:t xml:space="preserve"> </w:t>
      </w:r>
      <w:r>
        <w:t xml:space="preserve">For</w:t>
      </w:r>
      <w:r>
        <w:t xml:space="preserve"> </w:t>
      </w:r>
      <m:oMath>
        <m:r>
          <m:t>1</m:t>
        </m:r>
        <m:r>
          <m:rPr>
            <m:sty m:val="p"/>
          </m:rPr>
          <m:t>≤</m:t>
        </m:r>
        <m:r>
          <m:t>i</m:t>
        </m:r>
        <m:r>
          <m:rPr>
            <m:sty m:val="p"/>
          </m:rPr>
          <m:t>≤</m:t>
        </m:r>
        <m:r>
          <m:t>r</m:t>
        </m:r>
        <m:r>
          <m:rPr>
            <m:sty m:val="p"/>
          </m:rPr>
          <m:t>−</m:t>
        </m:r>
        <m:r>
          <m:t>2</m:t>
        </m:r>
      </m:oMath>
      <w:r>
        <w:t xml:space="preserve">, the bags</w:t>
      </w:r>
    </w:p>
    <w:p>
      <w:pPr>
        <w:pStyle w:val="BodyText"/>
      </w:pPr>
      <m:oMathPara>
        <m:oMathParaPr>
          <m:jc m:val="center"/>
        </m:oMathParaPr>
        <m:oMath>
          <m:sSub>
            <m:e>
              <m:r>
                <m:t>B</m:t>
              </m:r>
            </m:e>
            <m:sub>
              <m:r>
                <m:t>i</m:t>
              </m:r>
            </m:sub>
          </m:sSub>
          <m:r>
            <m:rPr>
              <m:sty m:val="p"/>
            </m:rPr>
            <m:t>=</m:t>
          </m:r>
          <m:r>
            <m:rPr>
              <m:sty m:val="p"/>
            </m:rPr>
            <m:t>{</m:t>
          </m:r>
          <m:r>
            <m:t>w</m:t>
          </m:r>
          <m:r>
            <m:rPr>
              <m:sty m:val="p"/>
            </m:rPr>
            <m:t>,</m:t>
          </m:r>
          <m:sSub>
            <m:e>
              <m:r>
                <m:t>v</m:t>
              </m:r>
            </m:e>
            <m:sub>
              <m:r>
                <m:t>0</m:t>
              </m:r>
            </m:sub>
          </m:sSub>
          <m:r>
            <m:rPr>
              <m:sty m:val="p"/>
            </m:rPr>
            <m:t>,</m:t>
          </m:r>
          <m:sSub>
            <m:e>
              <m:r>
                <m:t>u</m:t>
              </m:r>
            </m:e>
            <m:sub>
              <m:r>
                <m:t>0</m:t>
              </m:r>
            </m:sub>
          </m:sSub>
          <m:r>
            <m:rPr>
              <m:sty m:val="p"/>
            </m:rPr>
            <m:t>,</m:t>
          </m:r>
          <m:sSub>
            <m:e>
              <m:r>
                <m:t>v</m:t>
              </m:r>
            </m:e>
            <m:sub>
              <m:r>
                <m:t>i</m:t>
              </m:r>
            </m:sub>
          </m:sSub>
          <m:r>
            <m:rPr>
              <m:sty m:val="p"/>
            </m:rPr>
            <m:t>,</m:t>
          </m:r>
          <m:sSub>
            <m:e>
              <m:r>
                <m:t>u</m:t>
              </m:r>
            </m:e>
            <m:sub>
              <m:r>
                <m:t>i</m:t>
              </m:r>
            </m:sub>
          </m:sSub>
          <m:r>
            <m:rPr>
              <m:sty m:val="p"/>
            </m:rPr>
            <m:t>,</m:t>
          </m:r>
          <m:sSub>
            <m:e>
              <m:r>
                <m:t>v</m:t>
              </m:r>
            </m:e>
            <m:sub>
              <m:r>
                <m:t>i</m:t>
              </m:r>
              <m:r>
                <m:rPr>
                  <m:sty m:val="p"/>
                </m:rPr>
                <m:t>+</m:t>
              </m:r>
              <m:r>
                <m:t>1</m:t>
              </m:r>
            </m:sub>
          </m:sSub>
          <m:r>
            <m:rPr>
              <m:sty m:val="p"/>
            </m:rPr>
            <m:t>,</m:t>
          </m:r>
          <m:sSub>
            <m:e>
              <m:r>
                <m:t>u</m:t>
              </m:r>
            </m:e>
            <m:sub>
              <m:r>
                <m:t>i</m:t>
              </m:r>
              <m:r>
                <m:rPr>
                  <m:sty m:val="p"/>
                </m:rPr>
                <m:t>+</m:t>
              </m:r>
              <m:r>
                <m:t>1</m:t>
              </m:r>
            </m:sub>
          </m:sSub>
          <m:r>
            <m:rPr>
              <m:sty m:val="p"/>
            </m:rPr>
            <m:t>}</m:t>
          </m:r>
        </m:oMath>
      </m:oMathPara>
    </w:p>
    <w:p>
      <w:pPr>
        <w:pStyle w:val="FirstParagraph"/>
      </w:pPr>
      <w:r>
        <w:t xml:space="preserve">form a path decomposition of</w:t>
      </w:r>
      <w:r>
        <w:t xml:space="preserve"> </w:t>
      </w:r>
      <m:oMath>
        <m:r>
          <m:t>M</m:t>
        </m:r>
        <m:d>
          <m:dPr>
            <m:begChr m:val="("/>
            <m:endChr m:val=")"/>
            <m:sepChr m:val=""/>
            <m:grow/>
          </m:dPr>
          <m:e>
            <m:sSub>
              <m:e>
                <m:r>
                  <m:t>C</m:t>
                </m:r>
              </m:e>
              <m:sub>
                <m:r>
                  <m:t>r</m:t>
                </m:r>
              </m:sub>
            </m:sSub>
          </m:e>
        </m:d>
      </m:oMath>
      <w:r>
        <w:t xml:space="preserve"> </w:t>
      </w:r>
      <w:r>
        <w:t xml:space="preserve">of width at most 6. With the usual Boolean encoding using three color variables per vertex, resolution elimination compatible with those bags yields refutations of width at most 21 and size polynomial in</w:t>
      </w:r>
      <w:r>
        <w:t xml:space="preserve"> </w:t>
      </w:r>
      <m:oMath>
        <m:r>
          <m:t>r</m:t>
        </m:r>
      </m:oMath>
      <w:r>
        <w:t xml:space="preserve">. Both the construction and its resolution step are explicitly submitted for technical review:</w:t>
      </w:r>
      <w:r>
        <w:t xml:space="preserve"> </w:t>
      </w:r>
      <w:r>
        <w:rPr>
          <w:b/>
          <w:bCs/>
        </w:rPr>
        <w:t xml:space="preserve">a growing determination radius can coexist with a short certificate</w:t>
      </w:r>
      <w:r>
        <w:t xml:space="preserve"> </w:t>
      </w:r>
      <w:r>
        <w:t xml:space="preserve">in this family. This does not imply an asymptotic bound for general 3-coloring.</w:t>
      </w:r>
    </w:p>
    <w:bookmarkEnd w:id="30"/>
    <w:bookmarkStart w:id="31" w:name="Xc77a4dfee77b17e850a1e34648443a2906d1525"/>
    <w:p>
      <w:pPr>
        <w:pStyle w:val="Heading2"/>
      </w:pPr>
      <w:r>
        <w:t xml:space="preserve">8. P versus NP: the cost of preservation and decision [T/A]</w:t>
      </w:r>
    </w:p>
    <w:p>
      <w:pPr>
        <w:pStyle w:val="FirstParagraph"/>
      </w:pPr>
      <w:r>
        <w:t xml:space="preserve">To remove a terminological ambiguity, we call an</w:t>
      </w:r>
      <w:r>
        <w:t xml:space="preserve"> </w:t>
      </w:r>
      <w:r>
        <w:rPr>
          <w:b/>
          <w:bCs/>
        </w:rPr>
        <w:t xml:space="preserve">exact relational procedure</w:t>
      </w:r>
      <w:r>
        <w:t xml:space="preserve"> </w:t>
      </w:r>
      <w:r>
        <w:t xml:space="preserve">an encodable representation and a collection of uniform operations</w:t>
      </w:r>
      <w:r>
        <w:t xml:space="preserve"> </w:t>
      </w:r>
      <m:oMath>
        <m:r>
          <m:t>Π</m:t>
        </m:r>
        <m:r>
          <m:rPr>
            <m:sty m:val="p"/>
          </m:rPr>
          <m:t>=</m:t>
        </m:r>
        <m:d>
          <m:dPr>
            <m:begChr m:val="("/>
            <m:endChr m:val=")"/>
            <m:sepChr m:val=""/>
            <m:grow/>
          </m:dPr>
          <m:e>
            <m:r>
              <m:t>Φ</m:t>
            </m:r>
            <m:r>
              <m:rPr>
                <m:sty m:val="p"/>
              </m:rPr>
              <m:t>,</m:t>
            </m:r>
            <m:r>
              <m:rPr>
                <m:sty m:val="p"/>
              </m:rPr>
              <m:t>Init</m:t>
            </m:r>
            <m:r>
              <m:rPr>
                <m:sty m:val="p"/>
              </m:rPr>
              <m:t>,</m:t>
            </m:r>
            <m:r>
              <m:rPr>
                <m:sty m:val="p"/>
              </m:rPr>
              <m:t>Update</m:t>
            </m:r>
            <m:r>
              <m:rPr>
                <m:sty m:val="p"/>
              </m:rPr>
              <m:t>,</m:t>
            </m:r>
            <m:r>
              <m:rPr>
                <m:sty m:val="p"/>
              </m:rPr>
              <m:t>Read</m:t>
            </m:r>
            <m:r>
              <m:rPr>
                <m:sty m:val="p"/>
              </m:rPr>
              <m:t>,</m:t>
            </m:r>
            <m:r>
              <m:rPr>
                <m:sty m:val="p"/>
              </m:rPr>
              <m:t>Certify</m:t>
            </m:r>
          </m:e>
        </m:d>
      </m:oMath>
      <w:r>
        <w:t xml:space="preserve"> </w:t>
      </w:r>
      <w:r>
        <w:t xml:space="preserve">such that each edge insertion is represented correctly by the update operation and the reading operation correctly decides 3-colorability.</w:t>
      </w:r>
      <w:r>
        <w:t xml:space="preserve"> </w:t>
      </w:r>
      <w:r>
        <w:rPr>
          <w:rStyle w:val="VerbatimChar"/>
        </w:rPr>
        <w:t xml:space="preserve">Certify</w:t>
      </w:r>
      <w:r>
        <w:t xml:space="preserve"> </w:t>
      </w:r>
      <w:r>
        <w:t xml:space="preserve">is optional; when used, its format and verification must be specified. The time, memory, precision, and bit cost of every operation are counted. A</w:t>
      </w:r>
      <w:r>
        <w:t xml:space="preserve"> </w:t>
      </w:r>
      <w:r>
        <w:rPr>
          <w:b/>
          <w:bCs/>
        </w:rPr>
        <w:t xml:space="preserve">polynomial-time</w:t>
      </w:r>
      <w:r>
        <w:t xml:space="preserve"> </w:t>
      </w:r>
      <w:r>
        <w:t xml:space="preserve">procedure requires uniform polynomial bounds for the entire chain. The original graph already has a compact representation and can be updated quickly; this does not provide a known polynomial-time procedure for deciding its general 3-colorability.</w:t>
      </w:r>
    </w:p>
    <w:p>
      <w:pPr>
        <w:pStyle w:val="BodyText"/>
      </w:pPr>
      <w:r>
        <w:t xml:space="preserve">The existence of an entirely polynomial-time decision procedure for 3-coloring would prove</w:t>
      </w:r>
      <w:r>
        <w:t xml:space="preserve"> </w:t>
      </w:r>
      <m:oMath>
        <m:r>
          <m:t>P</m:t>
        </m:r>
        <m:r>
          <m:rPr>
            <m:sty m:val="p"/>
          </m:rPr>
          <m:t>=</m:t>
        </m:r>
        <m:r>
          <m:t>N</m:t>
        </m:r>
        <m:r>
          <m:t>P</m:t>
        </m:r>
      </m:oMath>
      <w:r>
        <w:t xml:space="preserve">. Instead, the program examines</w:t>
      </w:r>
      <w:r>
        <w:t xml:space="preserve"> </w:t>
      </w:r>
      <w:r>
        <w:rPr>
          <w:b/>
          <w:bCs/>
        </w:rPr>
        <w:t xml:space="preserve">families of operators and their limitations</w:t>
      </w:r>
      <w:r>
        <w:t xml:space="preserve">, without identifying any particular engine with the class of all algorithms.</w:t>
      </w:r>
    </w:p>
    <w:p>
      <w:pPr>
        <w:pStyle w:val="BodyText"/>
      </w:pPr>
      <w:r>
        <w:t xml:space="preserve">N1-A records the cost of explicitly enumerating all three-color assignments of a bag of width</w:t>
      </w:r>
      <w:r>
        <w:t xml:space="preserve"> </w:t>
      </w:r>
      <m:oMath>
        <m:r>
          <m:t>w</m:t>
        </m:r>
      </m:oMath>
      <w:r>
        <w:t xml:space="preserve">:</w:t>
      </w:r>
      <w:r>
        <w:t xml:space="preserve"> </w:t>
      </w:r>
      <m:oMath>
        <m:sSup>
          <m:e>
            <m:r>
              <m:t>3</m:t>
            </m:r>
          </m:e>
          <m:sup>
            <m:r>
              <m:t>w</m:t>
            </m:r>
            <m:r>
              <m:rPr>
                <m:sty m:val="p"/>
              </m:rPr>
              <m:t>+</m:t>
            </m:r>
            <m:r>
              <m:t>1</m:t>
            </m:r>
          </m:sup>
        </m:sSup>
      </m:oMath>
      <w:r>
        <w:t xml:space="preserve"> </w:t>
      </w:r>
      <w:r>
        <w:t xml:space="preserve">candidates under that contract. Changing the elimination order does not automatically remove the limitation of this extensional representation.</w:t>
      </w:r>
    </w:p>
    <w:p>
      <w:pPr>
        <w:pStyle w:val="BodyText"/>
      </w:pPr>
      <w:r>
        <w:rPr>
          <w:b/>
          <w:bCs/>
        </w:rPr>
        <w:t xml:space="preserve">N1-B [cited result; review pending].</w:t>
      </w:r>
      <w:r>
        <w:t xml:space="preserve"> </w:t>
      </w:r>
      <w:r>
        <w:t xml:space="preserve">The historical document</w:t>
      </w:r>
      <w:r>
        <w:t xml:space="preserve"> </w:t>
      </w:r>
      <w:r>
        <w:rPr>
          <w:rStyle w:val="VerbatimChar"/>
        </w:rPr>
        <w:t xml:space="preserve">N1_B_CERTIFICADOS_Y_PRIORIDAD_v2_8.md</w:t>
      </w:r>
      <w:r>
        <w:t xml:space="preserve"> </w:t>
      </w:r>
      <w:r>
        <w:t xml:space="preserve">claims that negative runs of the O2c engine can be converted into resolution refutations, with a size bound of the form</w:t>
      </w:r>
      <w:r>
        <w:t xml:space="preserve"> </w:t>
      </w:r>
      <m:oMath>
        <m:f>
          <m:fPr>
            <m:type m:val="bar"/>
          </m:fPr>
          <m:num>
            <m:r>
              <m:t>3</m:t>
            </m:r>
          </m:num>
          <m:den>
            <m:r>
              <m:t>2</m:t>
            </m:r>
          </m:den>
        </m:f>
        <m:r>
          <m:t> </m:t>
        </m:r>
        <m:r>
          <m:rPr>
            <m:nor/>
            <m:sty m:val="p"/>
            <m:scr m:val="monospace"/>
          </m:rPr>
          <m:t>total_candidates</m:t>
        </m:r>
      </m:oMath>
      <w:r>
        <w:t xml:space="preserve">.</w:t>
      </w:r>
      <w:r>
        <w:t xml:space="preserve"> </w:t>
      </w:r>
      <w:r>
        <w:rPr>
          <w:b/>
          <w:bCs/>
        </w:rPr>
        <w:t xml:space="preserve">This request does not fully define the counter</w:t>
      </w:r>
      <w:r>
        <w:rPr>
          <w:b/>
          <w:bCs/>
        </w:rPr>
        <w:t xml:space="preserve"> </w:t>
      </w:r>
      <w:r>
        <w:rPr>
          <w:rStyle w:val="VerbatimChar"/>
          <w:b/>
          <w:bCs/>
        </w:rPr>
        <w:t xml:space="preserve">total_candidates</w:t>
      </w:r>
      <w:r>
        <w:rPr>
          <w:b/>
          <w:bCs/>
        </w:rPr>
        <w:t xml:space="preserve"> </w:t>
      </w:r>
      <w:r>
        <w:rPr>
          <w:b/>
          <w:bCs/>
        </w:rPr>
        <w:t xml:space="preserve">or independently revalidate the coefficient</w:t>
      </w:r>
      <w:r>
        <w:rPr>
          <w:b/>
          <w:bCs/>
        </w:rPr>
        <w:t xml:space="preserve"> </w:t>
      </w:r>
      <m:oMath>
        <m:r>
          <m:t>3</m:t>
        </m:r>
        <m:r>
          <m:rPr>
            <m:sty m:val="p"/>
          </m:rPr>
          <m:t>/</m:t>
        </m:r>
        <m:r>
          <m:t>2</m:t>
        </m:r>
      </m:oMath>
      <w:r>
        <w:t xml:space="preserve">. The engine specification, instance encoding, and simulation argument in the technical source are essential. The claim is not presented as a bound for arbitrary methods.</w:t>
      </w:r>
    </w:p>
    <w:p>
      <w:pPr>
        <w:pStyle w:val="BodyText"/>
      </w:pPr>
      <w:r>
        <w:rPr>
          <w:b/>
          <w:bCs/>
        </w:rPr>
        <w:t xml:space="preserve">Transfer by simulation (conditional scheme).</w:t>
      </w:r>
      <w:r>
        <w:t xml:space="preserve"> </w:t>
      </w:r>
      <w:r>
        <w:t xml:space="preserve">If every negative run of a procedure</w:t>
      </w:r>
      <w:r>
        <w:t xml:space="preserve"> </w:t>
      </w:r>
      <m:oMath>
        <m:r>
          <m:t>Π</m:t>
        </m:r>
      </m:oMath>
      <w:r>
        <w:t xml:space="preserve"> </w:t>
      </w:r>
      <w:r>
        <w:t xml:space="preserve">of running time</w:t>
      </w:r>
      <w:r>
        <w:t xml:space="preserve"> </w:t>
      </w:r>
      <m:oMath>
        <m:r>
          <m:t>T</m:t>
        </m:r>
      </m:oMath>
      <w:r>
        <w:t xml:space="preserve"> </w:t>
      </w:r>
      <w:r>
        <w:t xml:space="preserve">can be uniformly converted into a refutation in a proof system</w:t>
      </w:r>
      <w:r>
        <w:t xml:space="preserve"> </w:t>
      </w:r>
      <m:oMath>
        <m:r>
          <m:t>S</m:t>
        </m:r>
      </m:oMath>
      <w:r>
        <w:t xml:space="preserve"> </w:t>
      </w:r>
      <w:r>
        <w:t xml:space="preserve">of size at most</w:t>
      </w:r>
      <w:r>
        <w:t xml:space="preserve"> </w:t>
      </w:r>
      <m:oMath>
        <m:r>
          <m:t>p</m:t>
        </m:r>
        <m:d>
          <m:dPr>
            <m:begChr m:val="("/>
            <m:endChr m:val=")"/>
            <m:sepChr m:val=""/>
            <m:grow/>
          </m:dPr>
          <m:e>
            <m:r>
              <m:t>T</m:t>
            </m:r>
            <m:r>
              <m:rPr>
                <m:sty m:val="p"/>
              </m:rPr>
              <m:t>+</m:t>
            </m:r>
            <m:d>
              <m:dPr>
                <m:begChr m:val="|"/>
                <m:endChr m:val="|"/>
                <m:sepChr m:val=""/>
                <m:grow/>
              </m:dPr>
              <m:e>
                <m:r>
                  <m:t>G</m:t>
                </m:r>
              </m:e>
            </m:d>
          </m:e>
        </m:d>
      </m:oMath>
      <w:r>
        <w:t xml:space="preserve">, then a superpolynomial lower bound for</w:t>
      </w:r>
      <w:r>
        <w:t xml:space="preserve"> </w:t>
      </w:r>
      <m:oMath>
        <m:r>
          <m:t>S</m:t>
        </m:r>
      </m:oMath>
      <w:r>
        <w:t xml:space="preserve"> </w:t>
      </w:r>
      <w:r>
        <w:t xml:space="preserve">on a particular family transfers to those runs of</w:t>
      </w:r>
      <w:r>
        <w:t xml:space="preserve"> </w:t>
      </w:r>
      <m:oMath>
        <m:r>
          <m:t>Π</m:t>
        </m:r>
      </m:oMath>
      <w:r>
        <w:t xml:space="preserve">, under the same encoding. The decisive step is to</w:t>
      </w:r>
      <w:r>
        <w:t xml:space="preserve"> </w:t>
      </w:r>
      <w:r>
        <w:rPr>
          <w:b/>
          <w:bCs/>
        </w:rPr>
        <w:t xml:space="preserve">prove</w:t>
      </w:r>
      <w:r>
        <w:t xml:space="preserve"> </w:t>
      </w:r>
      <w:r>
        <w:t xml:space="preserve">the simulation for the proposed procedure; similarity between images is insufficient.</w:t>
      </w:r>
    </w:p>
    <w:p>
      <w:pPr>
        <w:pStyle w:val="BodyText"/>
      </w:pPr>
      <w:r>
        <w:t xml:space="preserve">Our proposed testing sequence is</w:t>
      </w:r>
      <w:r>
        <w:t xml:space="preserve"> </w:t>
      </w:r>
      <w:r>
        <w:rPr>
          <w:b/>
          <w:bCs/>
        </w:rPr>
        <w:t xml:space="preserve">represent → compare → incorporate → refine → join → project → detect emptiness → certify</w:t>
      </w:r>
      <w:r>
        <w:t xml:space="preserve">. Each operation must specify the query and continuations it preserves, the provenance information retained, and the cost of execution and reading. Parity with Gaussian elimination, the diamond rule, R4, and triangle-free adversarial families provide distinct test cases. The absence of a known simulation does not prove that an operator escapes all known proof systems.</w:t>
      </w:r>
    </w:p>
    <w:bookmarkEnd w:id="31"/>
    <w:bookmarkStart w:id="32" w:name="Xf9c972df3b72810ba84f4ec777d17b7ec512648"/>
    <w:p>
      <w:pPr>
        <w:pStyle w:val="Heading2"/>
      </w:pPr>
      <w:r>
        <w:t xml:space="preserve">9. ROSI: critical reflection on language and provenance</w:t>
      </w:r>
    </w:p>
    <w:p>
      <w:pPr>
        <w:pStyle w:val="FirstParagraph"/>
      </w:pPr>
      <w:r>
        <w:t xml:space="preserve">ROSI should inspect the relationships among</w:t>
      </w:r>
      <w:r>
        <w:t xml:space="preserve"> </w:t>
      </w:r>
      <w:r>
        <w:rPr>
          <w:b/>
          <w:bCs/>
        </w:rPr>
        <w:t xml:space="preserve">concept, reference, determinant, formalization, evidence, counterexample, and status</w:t>
      </w:r>
      <w:r>
        <w:t xml:space="preserve">. Its task in this review is not to decide a problem by authority or invent further entities; it is to detect unjustified changes of level. An exterior indistinguishability class is not a complete interior unit; an ontological radius is not automatically</w:t>
      </w:r>
      <w:r>
        <w:t xml:space="preserve"> </w:t>
      </w:r>
      <m:oMath>
        <m:r>
          <m:t>ρ</m:t>
        </m:r>
        <m:d>
          <m:dPr>
            <m:begChr m:val="("/>
            <m:endChr m:val=")"/>
            <m:sepChr m:val=""/>
            <m:grow/>
          </m:dPr>
          <m:e>
            <m:r>
              <m:t>G</m:t>
            </m:r>
          </m:e>
        </m:d>
      </m:oMath>
      <w:r>
        <w:t xml:space="preserve">; a compact signature does not guarantee cheap computation; coincident images do not establish self-closure; and geometric closure does not imply a complexity bound.</w:t>
      </w:r>
    </w:p>
    <w:p>
      <w:pPr>
        <w:pStyle w:val="BodyText"/>
      </w:pPr>
      <w:r>
        <w:t xml:space="preserve">Traceability is maintained through MF-97/MF-106 (equivalence and updating), O59/CME (mirrors and groups), R–01 (modular normalization), R4 (tensions and periods), R5 (interior/exterior), R6 (circumstantial novelty), R–04 (indeterminacy, radius, and certificate), E25/E26, N1, and LAB-CONV. The Yang–Mills and Navier–Stokes realizations supply specific analogies concerning insufficient observables (noncommuting products and projections with residual terms). Their physical claims, however, require independent assumptions and proofs and are not premises of the P/NP branch.</w:t>
      </w:r>
    </w:p>
    <w:bookmarkEnd w:id="32"/>
    <w:bookmarkStart w:id="33" w:name="questions-for-independent-review"/>
    <w:p>
      <w:pPr>
        <w:pStyle w:val="Heading2"/>
      </w:pPr>
      <w:r>
        <w:t xml:space="preserve">10. Questions for independent review</w:t>
      </w:r>
    </w:p>
    <w:p>
      <w:pPr>
        <w:pStyle w:val="FirstParagraph"/>
      </w:pPr>
      <w:r>
        <w:t xml:space="preserve">We welcome partial, reasoned responses. Each question can be studied without endorsing the entire program.</w:t>
      </w:r>
    </w:p>
    <w:p>
      <w:pPr>
        <w:pStyle w:val="Compact"/>
        <w:numPr>
          <w:ilvl w:val="0"/>
          <w:numId w:val="1001"/>
        </w:numPr>
      </w:pPr>
      <w:r>
        <w:rPr>
          <w:b/>
          <w:bCs/>
        </w:rPr>
        <w:t xml:space="preserve">Ontology and formalization.</w:t>
      </w:r>
      <w:r>
        <w:t xml:space="preserve"> </w:t>
      </w:r>
      <w:r>
        <w:t xml:space="preserve">Which mathematical structure best expresses a unit with an internal self-reference and a declared relational reach? What nontrivial condition on</w:t>
      </w:r>
      <w:r>
        <w:t xml:space="preserve"> </w:t>
      </w:r>
      <m:oMath>
        <m:sSub>
          <m:e>
            <m:r>
              <m:t>Ψ</m:t>
            </m:r>
          </m:e>
          <m:sub>
            <m:r>
              <m:t>U</m:t>
            </m:r>
          </m:sub>
        </m:sSub>
      </m:oMath>
      <w:r>
        <w:t xml:space="preserve">, internal relations, and their transformations distinguishes it from the identity encoding of states or an exterior observational-equivalence class?</w:t>
      </w:r>
    </w:p>
    <w:p>
      <w:pPr>
        <w:pStyle w:val="Compact"/>
        <w:numPr>
          <w:ilvl w:val="0"/>
          <w:numId w:val="1001"/>
        </w:numPr>
      </w:pPr>
      <w:r>
        <w:rPr>
          <w:b/>
          <w:bCs/>
        </w:rPr>
        <w:t xml:space="preserve">Radius and self-closure.</w:t>
      </w:r>
      <w:r>
        <w:t xml:space="preserve"> </w:t>
      </w:r>
      <w:r>
        <w:t xml:space="preserve">Which testable conditions on internal references, transformations, composition, and observables characterize self-closure in each realization? How can internal continuity be distinguished from the mere determination of an exterior query?</w:t>
      </w:r>
    </w:p>
    <w:p>
      <w:pPr>
        <w:pStyle w:val="Compact"/>
        <w:numPr>
          <w:ilvl w:val="0"/>
          <w:numId w:val="1001"/>
        </w:numPr>
      </w:pPr>
      <w:r>
        <w:rPr>
          <w:b/>
          <w:bCs/>
        </w:rPr>
        <w:t xml:space="preserve">Mirrors.</w:t>
      </w:r>
      <w:r>
        <w:t xml:space="preserve"> </w:t>
      </w:r>
      <w:r>
        <w:t xml:space="preserve">Are the generators, the orbits of</w:t>
      </w:r>
      <w:r>
        <w:t xml:space="preserve"> </w:t>
      </w:r>
      <m:oMath>
        <m:sSub>
          <m:e>
            <m:r>
              <m:t>ρ</m:t>
            </m:r>
          </m:e>
          <m:sub>
            <m:r>
              <m:t>L</m:t>
            </m:r>
          </m:sub>
        </m:sSub>
      </m:oMath>
      <w:r>
        <w:t xml:space="preserve">, the CME-001–003 counts, and the</w:t>
      </w:r>
      <w:r>
        <w:t xml:space="preserve"> </w:t>
      </w:r>
      <m:oMath>
        <m:d>
          <m:dPr>
            <m:begChr m:val="("/>
            <m:endChr m:val=")"/>
            <m:sepChr m:val=""/>
            <m:grow/>
          </m:dPr>
          <m:e>
            <m:r>
              <m:t>2</m:t>
            </m:r>
            <m:r>
              <m:rPr>
                <m:sty m:val="p"/>
              </m:rPr>
              <m:t>,</m:t>
            </m:r>
            <m:r>
              <m:t>3</m:t>
            </m:r>
            <m:r>
              <m:rPr>
                <m:sty m:val="p"/>
              </m:rPr>
              <m:t>,</m:t>
            </m:r>
            <m:r>
              <m:t>k</m:t>
            </m:r>
          </m:e>
        </m:d>
      </m:oMath>
      <w:r>
        <w:t xml:space="preserve"> </w:t>
      </w:r>
      <w:r>
        <w:t xml:space="preserve">classification correct? Which observables distinguish oppositely oriented paths arriving at the same focus?</w:t>
      </w:r>
    </w:p>
    <w:p>
      <w:pPr>
        <w:pStyle w:val="Compact"/>
        <w:numPr>
          <w:ilvl w:val="0"/>
          <w:numId w:val="1001"/>
        </w:numPr>
      </w:pPr>
      <w:r>
        <w:rPr>
          <w:b/>
          <w:bCs/>
        </w:rPr>
        <w:t xml:space="preserve">Normalization.</w:t>
      </w:r>
      <w:r>
        <w:t xml:space="preserve"> </w:t>
      </w:r>
      <w:r>
        <w:t xml:space="preserve">Do the modular projections of R–01 preserve exactly the claimed relations? Under what conditions is injectivity lost even though projection compatibility remains?</w:t>
      </w:r>
    </w:p>
    <w:p>
      <w:pPr>
        <w:pStyle w:val="Compact"/>
        <w:numPr>
          <w:ilvl w:val="0"/>
          <w:numId w:val="1001"/>
        </w:numPr>
      </w:pPr>
      <w:r>
        <w:rPr>
          <w:b/>
          <w:bCs/>
        </w:rPr>
        <w:t xml:space="preserve">R4.</w:t>
      </w:r>
      <w:r>
        <w:t xml:space="preserve"> </w:t>
      </w:r>
      <w:r>
        <w:t xml:space="preserve">Are the characterization by nowhere-zero</w:t>
      </w:r>
      <w:r>
        <w:t xml:space="preserve"> </w:t>
      </w:r>
      <m:oMath>
        <m:sSub>
          <m:e>
            <m:r>
              <m:rPr>
                <m:sty m:val="p"/>
                <m:scr m:val="double-struck"/>
              </m:rPr>
              <m:t>F</m:t>
            </m:r>
          </m:e>
          <m:sub>
            <m:r>
              <m:t>3</m:t>
            </m:r>
          </m:sub>
        </m:sSub>
      </m:oMath>
      <w:r>
        <w:t xml:space="preserve"> </w:t>
      </w:r>
      <w:r>
        <w:t xml:space="preserve">tensions, the distinction between face closure and homological periods, and the 3-colorability formula for</w:t>
      </w:r>
      <w:r>
        <w:t xml:space="preserve"> </w:t>
      </w:r>
      <m:oMath>
        <m:r>
          <m:t>T</m:t>
        </m:r>
        <m:d>
          <m:dPr>
            <m:begChr m:val="("/>
            <m:endChr m:val=")"/>
            <m:sepChr m:val=""/>
            <m:grow/>
          </m:dPr>
          <m:e>
            <m:r>
              <m:t>n</m:t>
            </m:r>
            <m:r>
              <m:rPr>
                <m:sty m:val="p"/>
              </m:rPr>
              <m:t>,</m:t>
            </m:r>
            <m:r>
              <m:t>m</m:t>
            </m:r>
          </m:e>
        </m:d>
      </m:oMath>
      <w:r>
        <w:t xml:space="preserve"> </w:t>
      </w:r>
      <w:r>
        <w:t xml:space="preserve">correct? Are the signs of</w:t>
      </w:r>
      <w:r>
        <w:t xml:space="preserve"> </w:t>
      </w:r>
      <m:oMath>
        <m:sSub>
          <m:e>
            <m:r>
              <m:t>H</m:t>
            </m:r>
          </m:e>
          <m:sub>
            <m:r>
              <m:t>x</m:t>
            </m:r>
          </m:sub>
        </m:sSub>
        <m:r>
          <m:rPr>
            <m:sty m:val="p"/>
          </m:rPr>
          <m:t>,</m:t>
        </m:r>
        <m:sSub>
          <m:e>
            <m:r>
              <m:t>H</m:t>
            </m:r>
          </m:e>
          <m:sub>
            <m:r>
              <m:t>y</m:t>
            </m:r>
          </m:sub>
        </m:sSub>
      </m:oMath>
      <w:r>
        <w:t xml:space="preserve"> </w:t>
      </w:r>
      <w:r>
        <w:t xml:space="preserve">preserved under the stated orientation, and what are the most direct precedents?</w:t>
      </w:r>
    </w:p>
    <w:p>
      <w:pPr>
        <w:pStyle w:val="Compact"/>
        <w:numPr>
          <w:ilvl w:val="0"/>
          <w:numId w:val="1001"/>
        </w:numPr>
      </w:pPr>
      <w:r>
        <w:rPr>
          <w:b/>
          <w:bCs/>
        </w:rPr>
        <w:t xml:space="preserve">Interfaces and recursion.</w:t>
      </w:r>
      <w:r>
        <w:t xml:space="preserve"> </w:t>
      </w:r>
      <w:r>
        <w:t xml:space="preserve">Does R5 correctly identify which information is sufficient for exterior continuations and why it fails for interior modifications? Which provenance-aware representation would permit exact, updatable recursive composition?</w:t>
      </w:r>
    </w:p>
    <w:p>
      <w:pPr>
        <w:pStyle w:val="Compact"/>
        <w:numPr>
          <w:ilvl w:val="0"/>
          <w:numId w:val="1001"/>
        </w:numPr>
      </w:pPr>
      <w:r>
        <w:rPr>
          <w:b/>
          <w:bCs/>
        </w:rPr>
        <w:t xml:space="preserve">Circumstantial novelty.</w:t>
      </w:r>
      <w:r>
        <w:t xml:space="preserve"> </w:t>
      </w:r>
      <w:r>
        <w:t xml:space="preserve">Does the family</w:t>
      </w:r>
      <w:r>
        <w:t xml:space="preserve"> </w:t>
      </w:r>
      <m:oMath>
        <m:sSub>
          <m:e>
            <m:r>
              <m:rPr>
                <m:sty m:val="p"/>
                <m:scr m:val="script"/>
              </m:rPr>
              <m:t>P</m:t>
            </m:r>
          </m:e>
          <m:sub>
            <m:r>
              <m:t>3</m:t>
            </m:r>
          </m:sub>
        </m:sSub>
        <m:d>
          <m:dPr>
            <m:begChr m:val="("/>
            <m:endChr m:val=")"/>
            <m:sepChr m:val=""/>
            <m:grow/>
          </m:dPr>
          <m:e>
            <m:r>
              <m:t>G</m:t>
            </m:r>
          </m:e>
        </m:d>
      </m:oMath>
      <w:r>
        <w:t xml:space="preserve"> </w:t>
      </w:r>
      <w:r>
        <w:t xml:space="preserve">from R6 characterize every admitted future edge insertion? Which symbolic or intensional representations could maintain the same distinctions without enumerating every partition explicitly?</w:t>
      </w:r>
    </w:p>
    <w:p>
      <w:pPr>
        <w:pStyle w:val="Compact"/>
        <w:numPr>
          <w:ilvl w:val="0"/>
          <w:numId w:val="1001"/>
        </w:numPr>
      </w:pPr>
      <w:r>
        <w:rPr>
          <w:b/>
          <w:bCs/>
        </w:rPr>
        <w:t xml:space="preserve">Indeterminacy and radius.</w:t>
      </w:r>
      <w:r>
        <w:t xml:space="preserve"> </w:t>
      </w:r>
      <w:r>
        <w:t xml:space="preserve">Are the R–04 states, the diamond inference, and the</w:t>
      </w:r>
      <w:r>
        <w:t xml:space="preserve"> </w:t>
      </w:r>
      <m:oMath>
        <m:r>
          <m:t>ρ</m:t>
        </m:r>
      </m:oMath>
      <w:r>
        <w:t xml:space="preserve"> </w:t>
      </w:r>
      <w:r>
        <w:t xml:space="preserve">measurements correct? Can</w:t>
      </w:r>
      <w:r>
        <w:t xml:space="preserve"> </w:t>
      </w:r>
      <m:oMath>
        <m:r>
          <m:t>ρ</m:t>
        </m:r>
        <m:d>
          <m:dPr>
            <m:begChr m:val="("/>
            <m:endChr m:val=")"/>
            <m:sepChr m:val=""/>
            <m:grow/>
          </m:dPr>
          <m:e>
            <m:r>
              <m:t>M</m:t>
            </m:r>
            <m:d>
              <m:dPr>
                <m:begChr m:val="("/>
                <m:endChr m:val=")"/>
                <m:sepChr m:val=""/>
                <m:grow/>
              </m:dPr>
              <m:e>
                <m:sSub>
                  <m:e>
                    <m:r>
                      <m:t>C</m:t>
                    </m:r>
                  </m:e>
                  <m:sub>
                    <m:r>
                      <m:t>r</m:t>
                    </m:r>
                  </m:sub>
                </m:sSub>
              </m:e>
            </m:d>
          </m:e>
        </m:d>
        <m:r>
          <m:rPr>
            <m:sty m:val="p"/>
          </m:rPr>
          <m:t>=</m:t>
        </m:r>
        <m:r>
          <m:t>2</m:t>
        </m:r>
        <m:r>
          <m:t>r</m:t>
        </m:r>
        <m:r>
          <m:rPr>
            <m:sty m:val="p"/>
          </m:rPr>
          <m:t>−</m:t>
        </m:r>
        <m:r>
          <m:t>2</m:t>
        </m:r>
      </m:oMath>
      <w:r>
        <w:t xml:space="preserve"> </w:t>
      </w:r>
      <w:r>
        <w:t xml:space="preserve">be proved or refuted for odd</w:t>
      </w:r>
      <w:r>
        <w:t xml:space="preserve"> </w:t>
      </w:r>
      <m:oMath>
        <m:r>
          <m:t>r</m:t>
        </m:r>
        <m:r>
          <m:rPr>
            <m:sty m:val="p"/>
          </m:rPr>
          <m:t>≥</m:t>
        </m:r>
        <m:r>
          <m:t>7</m:t>
        </m:r>
      </m:oMath>
      <w:r>
        <w:t xml:space="preserve">?</w:t>
      </w:r>
    </w:p>
    <w:p>
      <w:pPr>
        <w:pStyle w:val="Compact"/>
        <w:numPr>
          <w:ilvl w:val="0"/>
          <w:numId w:val="1001"/>
        </w:numPr>
      </w:pPr>
      <w:r>
        <w:rPr>
          <w:b/>
          <w:bCs/>
        </w:rPr>
        <w:t xml:space="preserve">Global certificates.</w:t>
      </w:r>
      <w:r>
        <w:t xml:space="preserve"> </w:t>
      </w:r>
      <w:r>
        <w:t xml:space="preserve">Are the path decomposition of width</w:t>
      </w:r>
      <w:r>
        <w:t xml:space="preserve"> </w:t>
      </w:r>
      <m:oMath>
        <m:r>
          <m:rPr>
            <m:sty m:val="p"/>
          </m:rPr>
          <m:t>≤</m:t>
        </m:r>
        <m:r>
          <m:t>6</m:t>
        </m:r>
      </m:oMath>
      <w:r>
        <w:t xml:space="preserve"> </w:t>
      </w:r>
      <w:r>
        <w:t xml:space="preserve">and the resolution refutation of width</w:t>
      </w:r>
      <w:r>
        <w:t xml:space="preserve"> </w:t>
      </w:r>
      <m:oMath>
        <m:r>
          <m:rPr>
            <m:sty m:val="p"/>
          </m:rPr>
          <m:t>≤</m:t>
        </m:r>
        <m:r>
          <m:t>21</m:t>
        </m:r>
      </m:oMath>
      <w:r>
        <w:t xml:space="preserve"> </w:t>
      </w:r>
      <w:r>
        <w:t xml:space="preserve">for</w:t>
      </w:r>
      <w:r>
        <w:t xml:space="preserve"> </w:t>
      </w:r>
      <m:oMath>
        <m:r>
          <m:t>M</m:t>
        </m:r>
        <m:d>
          <m:dPr>
            <m:begChr m:val="("/>
            <m:endChr m:val=")"/>
            <m:sepChr m:val=""/>
            <m:grow/>
          </m:dPr>
          <m:e>
            <m:sSub>
              <m:e>
                <m:r>
                  <m:t>C</m:t>
                </m:r>
              </m:e>
              <m:sub>
                <m:r>
                  <m:t>r</m:t>
                </m:r>
              </m:sub>
            </m:sSub>
          </m:e>
        </m:d>
      </m:oMath>
      <w:r>
        <w:t xml:space="preserve"> </w:t>
      </w:r>
      <w:r>
        <w:t xml:space="preserve">valid under the stated encoding? Is a stronger prior result known?</w:t>
      </w:r>
    </w:p>
    <w:p>
      <w:pPr>
        <w:pStyle w:val="Compact"/>
        <w:numPr>
          <w:ilvl w:val="0"/>
          <w:numId w:val="1001"/>
        </w:numPr>
      </w:pPr>
      <w:r>
        <w:rPr>
          <w:b/>
          <w:bCs/>
        </w:rPr>
        <w:t xml:space="preserve">Limits of specific engines.</w:t>
      </w:r>
      <w:r>
        <w:t xml:space="preserve"> </w:t>
      </w:r>
      <w:r>
        <w:t xml:space="preserve">Does N1-B hold under the original definition of</w:t>
      </w:r>
      <w:r>
        <w:t xml:space="preserve"> </w:t>
      </w:r>
      <w:r>
        <w:rPr>
          <w:rStyle w:val="VerbatimChar"/>
        </w:rPr>
        <w:t xml:space="preserve">total_candidates</w:t>
      </w:r>
      <w:r>
        <w:t xml:space="preserve">, its invariants, and the O2c encoding? Which proof systems polynomially simulate a proposed updating/closure operator?</w:t>
      </w:r>
    </w:p>
    <w:p>
      <w:pPr>
        <w:pStyle w:val="Compact"/>
        <w:numPr>
          <w:ilvl w:val="0"/>
          <w:numId w:val="1001"/>
        </w:numPr>
      </w:pPr>
      <w:r>
        <w:rPr>
          <w:b/>
          <w:bCs/>
        </w:rPr>
        <w:t xml:space="preserve">Complexity.</w:t>
      </w:r>
      <w:r>
        <w:t xml:space="preserve"> </w:t>
      </w:r>
      <w:r>
        <w:t xml:space="preserve">What theorem, bound, or separation for a</w:t>
      </w:r>
      <w:r>
        <w:t xml:space="preserve"> </w:t>
      </w:r>
      <w:r>
        <w:rPr>
          <w:i/>
          <w:iCs/>
        </w:rPr>
        <w:t xml:space="preserve">defined class of procedures</w:t>
      </w:r>
      <w:r>
        <w:t xml:space="preserve"> </w:t>
      </w:r>
      <w:r>
        <w:t xml:space="preserve">would turn reference, novelty, and closure into a new statement about computational resources, without inferring it from the geometry of reflections?</w:t>
      </w:r>
    </w:p>
    <w:p>
      <w:pPr>
        <w:pStyle w:val="Compact"/>
        <w:numPr>
          <w:ilvl w:val="0"/>
          <w:numId w:val="1001"/>
        </w:numPr>
      </w:pPr>
      <w:r>
        <w:rPr>
          <w:b/>
          <w:bCs/>
        </w:rPr>
        <w:t xml:space="preserve">Bibliographic position and ROSI.</w:t>
      </w:r>
      <w:r>
        <w:t xml:space="preserve"> </w:t>
      </w:r>
      <w:r>
        <w:t xml:space="preserve">Which parts of the proposed synthesis are already entirely expressed by automata theory, CSP, cohomology, or proof complexity? Which specific statements merit independent examination as potential new contributions?</w:t>
      </w:r>
    </w:p>
    <w:p>
      <w:pPr>
        <w:pStyle w:val="Compact"/>
        <w:numPr>
          <w:ilvl w:val="0"/>
          <w:numId w:val="1001"/>
        </w:numPr>
      </w:pPr>
      <w:r>
        <w:rPr>
          <w:b/>
          <w:bCs/>
        </w:rPr>
        <w:t xml:space="preserve">T-EXT-01 and reference size.</w:t>
      </w:r>
      <w:r>
        <w:t xml:space="preserve"> </w:t>
      </w:r>
      <w:r>
        <w:t xml:space="preserve">Is the bound of</w:t>
      </w:r>
      <w:r>
        <w:t xml:space="preserve"> </w:t>
      </w:r>
      <m:oMath>
        <m:sSup>
          <m:e>
            <m:r>
              <m:t>2</m:t>
            </m:r>
          </m:e>
          <m:sup>
            <m:r>
              <m:rPr>
                <m:sty m:val="p"/>
              </m:rPr>
              <m:t>⌊</m:t>
            </m:r>
            <m:sSup>
              <m:e>
                <m:r>
                  <m:t>n</m:t>
                </m:r>
              </m:e>
              <m:sup>
                <m:r>
                  <m:t>2</m:t>
                </m:r>
              </m:sup>
            </m:sSup>
            <m:r>
              <m:rPr>
                <m:sty m:val="p"/>
              </m:rPr>
              <m:t>/</m:t>
            </m:r>
            <m:r>
              <m:t>4</m:t>
            </m:r>
            <m:r>
              <m:rPr>
                <m:sty m:val="p"/>
              </m:rPr>
              <m:t>⌋</m:t>
            </m:r>
          </m:sup>
        </m:sSup>
      </m:oMath>
      <w:r>
        <w:t xml:space="preserve"> </w:t>
      </w:r>
      <w:r>
        <w:t xml:space="preserve">distinct signatures and</w:t>
      </w:r>
      <w:r>
        <w:t xml:space="preserve"> </w:t>
      </w:r>
      <m:oMath>
        <m:r>
          <m:rPr>
            <m:sty m:val="p"/>
          </m:rPr>
          <m:t>⌊</m:t>
        </m:r>
        <m:sSup>
          <m:e>
            <m:r>
              <m:t>n</m:t>
            </m:r>
          </m:e>
          <m:sup>
            <m:r>
              <m:t>2</m:t>
            </m:r>
          </m:sup>
        </m:sSup>
        <m:r>
          <m:rPr>
            <m:sty m:val="p"/>
          </m:rPr>
          <m:t>/</m:t>
        </m:r>
        <m:r>
          <m:t>4</m:t>
        </m:r>
        <m:r>
          <m:rPr>
            <m:sty m:val="p"/>
          </m:rPr>
          <m:t>⌋</m:t>
        </m:r>
      </m:oMath>
      <w:r>
        <w:t xml:space="preserve"> </w:t>
      </w:r>
      <w:r>
        <w:t xml:space="preserve">bits correct for the bipartite family with a full interface and continuations</w:t>
      </w:r>
      <w:r>
        <w:t xml:space="preserve"> </w:t>
      </w:r>
      <m:oMath>
        <m:sSub>
          <m:e>
            <m:r>
              <m:t>D</m:t>
            </m:r>
          </m:e>
          <m:sub>
            <m:r>
              <m:t>u</m:t>
            </m:r>
            <m:r>
              <m:t>v</m:t>
            </m:r>
          </m:sub>
        </m:sSub>
      </m:oMath>
      <w:r>
        <w:t xml:space="preserve">? Which previous theorems in contextual equivalence, communication complexity, or boundaried graphs subsume it? What lower bounds survive when only a proper boundary of size</w:t>
      </w:r>
      <w:r>
        <w:t xml:space="preserve"> </w:t>
      </w:r>
      <m:oMath>
        <m:r>
          <m:t>b</m:t>
        </m:r>
        <m:r>
          <m:rPr>
            <m:sty m:val="p"/>
          </m:rPr>
          <m:t>&lt;</m:t>
        </m:r>
        <m:r>
          <m:t>n</m:t>
        </m:r>
      </m:oMath>
      <w:r>
        <w:t xml:space="preserve"> </w:t>
      </w:r>
      <w:r>
        <w:t xml:space="preserve">is accessible?</w:t>
      </w:r>
    </w:p>
    <w:bookmarkEnd w:id="33"/>
    <w:bookmarkStart w:id="34" w:name="X37afb78901ba820dd10a3a5b0bb2f1191159bd2"/>
    <w:p>
      <w:pPr>
        <w:pStyle w:val="Heading2"/>
      </w:pPr>
      <w:r>
        <w:t xml:space="preserve">11. Materials, reproducibility, and source status</w:t>
      </w:r>
    </w:p>
    <w:p>
      <w:pPr>
        <w:pStyle w:val="FirstParagraph"/>
      </w:pPr>
      <w:r>
        <w:rPr>
          <w:b/>
          <w:bCs/>
        </w:rPr>
        <w:t xml:space="preserve">Main document:</w:t>
      </w:r>
      <w:r>
        <w:t xml:space="preserve"> </w:t>
      </w:r>
      <w:r>
        <w:t xml:space="preserve">the present revised request. A one-page executive summary provides a reading guide but</w:t>
      </w:r>
      <w:r>
        <w:t xml:space="preserve"> </w:t>
      </w:r>
      <w:r>
        <w:rPr>
          <w:b/>
          <w:bCs/>
        </w:rPr>
        <w:t xml:space="preserve">does not replace the proofs</w:t>
      </w:r>
      <w:r>
        <w:t xml:space="preserve">. Technical appendices are identified files in the program’s history, not results regenerated merely by copying this manuscript. Existing checks belong to their respective programs and inputs: O59 and CME-001–003; the PNP–CME r3 supplement; R4; R–04; R5; R6; N1; and LAB-CONV. Reproducing a result requires its contract, source code, archived output, and source version.</w:t>
      </w:r>
    </w:p>
    <w:p>
      <w:pPr>
        <w:pStyle w:val="BodyText"/>
      </w:pPr>
      <w:r>
        <w:rPr>
          <w:b/>
          <w:bCs/>
        </w:rPr>
        <w:t xml:space="preserve">Publication status as recorded on October 30:</w:t>
      </w:r>
      <w:r>
        <w:t xml:space="preserve"> </w:t>
      </w:r>
      <w:r>
        <w:t xml:space="preserve">at the time of the Spanish edition, the public repository linked above displayed its October 24 edition and October 27 Yang–Mills supplement; it was not assumed that the October 28–30 supplements had been merged into</w:t>
      </w:r>
      <w:r>
        <w:t xml:space="preserve"> </w:t>
      </w:r>
      <w:r>
        <w:rPr>
          <w:rStyle w:val="VerbatimChar"/>
        </w:rPr>
        <w:t xml:space="preserve">main</w:t>
      </w:r>
      <w:r>
        <w:t xml:space="preserve">. The Spanish publication package therefore contained the request and relevant sources. A GitHub publication of this English edition should identify the commit and use links to files that actually exist in the published tree.</w:t>
      </w:r>
      <w:r>
        <w:t xml:space="preserve"> </w:t>
      </w:r>
      <w:r>
        <w:rPr>
          <w:b/>
          <w:bCs/>
        </w:rPr>
        <w:t xml:space="preserve">This English translation does not itself constitute a GitHub publication.</w:t>
      </w:r>
    </w:p>
    <w:p>
      <w:pPr>
        <w:pStyle w:val="BodyText"/>
      </w:pPr>
      <w:r>
        <w:rPr>
          <w:b/>
          <w:bCs/>
        </w:rPr>
        <w:t xml:space="preserve">T-EXT-01 check for this edition.</w:t>
      </w:r>
      <w:r>
        <w:t xml:space="preserve"> </w:t>
      </w:r>
      <w:r>
        <w:t xml:space="preserve">The files</w:t>
      </w:r>
      <w:r>
        <w:t xml:space="preserve"> </w:t>
      </w:r>
      <w:r>
        <w:rPr>
          <w:rStyle w:val="VerbatimChar"/>
        </w:rPr>
        <w:t xml:space="preserve">verificar_T_EXT_01.py</w:t>
      </w:r>
      <w:r>
        <w:t xml:space="preserve"> </w:t>
      </w:r>
      <w:r>
        <w:t xml:space="preserve">and</w:t>
      </w:r>
      <w:r>
        <w:t xml:space="preserve"> </w:t>
      </w:r>
      <w:r>
        <w:rPr>
          <w:rStyle w:val="VerbatimChar"/>
        </w:rPr>
        <w:t xml:space="preserve">RESULTADOS_T_EXT_01.json</w:t>
      </w:r>
      <w:r>
        <w:t xml:space="preserve"> </w:t>
      </w:r>
      <w:r>
        <w:t xml:space="preserve">accompany the Spanish proof package. They record the 4,672 queries and the distinct signatures for</w:t>
      </w:r>
      <w:r>
        <w:t xml:space="preserve"> </w:t>
      </w:r>
      <m:oMath>
        <m:r>
          <m:t>n</m:t>
        </m:r>
        <m:r>
          <m:rPr>
            <m:sty m:val="p"/>
          </m:rPr>
          <m:t>=</m:t>
        </m:r>
        <m:r>
          <m:t>4</m:t>
        </m:r>
        <m:r>
          <m:rPr>
            <m:sty m:val="p"/>
          </m:rPr>
          <m:t>,</m:t>
        </m:r>
        <m:r>
          <m:t>6</m:t>
        </m:r>
      </m:oMath>
      <w:r>
        <w:t xml:space="preserve">.</w:t>
      </w:r>
    </w:p>
    <w:p>
      <w:pPr>
        <w:pStyle w:val="BodyText"/>
      </w:pPr>
      <w:r>
        <w:rPr>
          <w:b/>
          <w:bCs/>
        </w:rPr>
        <w:t xml:space="preserve">Additional check from the Spanish review.</w:t>
      </w:r>
      <w:r>
        <w:t xml:space="preserve"> </w:t>
      </w:r>
      <w:r>
        <w:t xml:space="preserve">The orientation of R4 was verified directly with</w:t>
      </w:r>
      <w:r>
        <w:t xml:space="preserve"> </w:t>
      </w:r>
      <m:oMath>
        <m:r>
          <m:t>c</m:t>
        </m:r>
        <m:d>
          <m:dPr>
            <m:begChr m:val="("/>
            <m:endChr m:val=")"/>
            <m:sepChr m:val=""/>
            <m:grow/>
          </m:dPr>
          <m:e>
            <m:r>
              <m:t>i</m:t>
            </m:r>
            <m:r>
              <m:rPr>
                <m:sty m:val="p"/>
              </m:rPr>
              <m:t>,</m:t>
            </m:r>
            <m:r>
              <m:t>j</m:t>
            </m:r>
          </m:e>
        </m:d>
        <m:r>
          <m:rPr>
            <m:sty m:val="p"/>
          </m:rPr>
          <m:t>=</m:t>
        </m:r>
        <m:r>
          <m:t>i</m:t>
        </m:r>
        <m:r>
          <m:rPr>
            <m:sty m:val="p"/>
          </m:rPr>
          <m:t>−</m:t>
        </m:r>
        <m:r>
          <m:t>j</m:t>
        </m:r>
      </m:oMath>
      <w:r>
        <w:t xml:space="preserve"> </w:t>
      </w:r>
      <w:r>
        <w:t xml:space="preserve">on the covering. The verifier</w:t>
      </w:r>
      <w:r>
        <w:t xml:space="preserve"> </w:t>
      </w:r>
      <w:r>
        <w:rPr>
          <w:rStyle w:val="VerbatimChar"/>
        </w:rPr>
        <w:t xml:space="preserve">verificar_fase_holonomia.py</w:t>
      </w:r>
      <w:r>
        <w:t xml:space="preserve"> </w:t>
      </w:r>
      <w:r>
        <w:t xml:space="preserve">was rerun and its JSON matched the archived October 29 result byte for byte. Other proofs retain their original historical status and contracts. This translation does not assert that all historical verifiers have been independently rerun again.</w:t>
      </w:r>
    </w:p>
    <w:p>
      <w:pPr>
        <w:pStyle w:val="BodyText"/>
      </w:pPr>
      <w:r>
        <w:rPr>
          <w:b/>
          <w:bCs/>
        </w:rPr>
        <w:t xml:space="preserve">How to respond.</w:t>
      </w:r>
      <w:r>
        <w:t xml:space="preserve"> </w:t>
      </w:r>
      <w:r>
        <w:t xml:space="preserve">We welcome responses in English or Spanish through a repository issue or in the invitation thread. Identifying an assumption, presenting a counterexample, proving an identity, checking a script, locating relevant literature, or explaining a limitation for a class of algorithms are independent and verifiable contributions. There is no deadline.</w:t>
      </w:r>
    </w:p>
    <w:bookmarkEnd w:id="34"/>
    <w:bookmarkStart w:id="35" w:name="references-and-provenance"/>
    <w:p>
      <w:pPr>
        <w:pStyle w:val="Heading2"/>
      </w:pPr>
      <w:r>
        <w:t xml:space="preserve">12. References and provenance</w:t>
      </w:r>
    </w:p>
    <w:p>
      <w:pPr>
        <w:pStyle w:val="FirstParagraph"/>
      </w:pPr>
      <w:r>
        <w:rPr>
          <w:b/>
          <w:bCs/>
        </w:rPr>
        <w:t xml:space="preserve">Program sources.</w:t>
      </w:r>
      <w:r>
        <w:t xml:space="preserve"> </w:t>
      </w:r>
      <w:r>
        <w:rPr>
          <w:i/>
          <w:iCs/>
        </w:rPr>
        <w:t xml:space="preserve">The Self-Referential Unit and Its Relational Radius</w:t>
      </w:r>
      <w:r>
        <w:t xml:space="preserve"> </w:t>
      </w:r>
      <w:r>
        <w:t xml:space="preserve">(October 30, 2026); MF-97/MF-106; R–01 (October 23); O59 and CME-001–003; E25/E26; PNP–CME r3 supplement (October 28); R4</w:t>
      </w:r>
      <w:r>
        <w:t xml:space="preserve"> </w:t>
      </w:r>
      <w:r>
        <w:rPr>
          <w:i/>
          <w:iCs/>
        </w:rPr>
        <w:t xml:space="preserve">Orientation, Phase Difference, and the Condition for Global Closure</w:t>
      </w:r>
      <w:r>
        <w:t xml:space="preserve"> </w:t>
      </w:r>
      <w:r>
        <w:t xml:space="preserve">(October 29); R5</w:t>
      </w:r>
      <w:r>
        <w:t xml:space="preserve"> </w:t>
      </w:r>
      <w:r>
        <w:rPr>
          <w:i/>
          <w:iCs/>
        </w:rPr>
        <w:t xml:space="preserve">Same Exterior Reference, Different Interiors</w:t>
      </w:r>
      <w:r>
        <w:t xml:space="preserve"> </w:t>
      </w:r>
      <w:r>
        <w:t xml:space="preserve">(October 29); R6</w:t>
      </w:r>
      <w:r>
        <w:t xml:space="preserve"> </w:t>
      </w:r>
      <w:r>
        <w:rPr>
          <w:i/>
          <w:iCs/>
        </w:rPr>
        <w:t xml:space="preserve">The Circumstantial Determinant</w:t>
      </w:r>
      <w:r>
        <w:t xml:space="preserve"> </w:t>
      </w:r>
      <w:r>
        <w:t xml:space="preserve">(October 29); T-EXT-01</w:t>
      </w:r>
      <w:r>
        <w:t xml:space="preserve"> </w:t>
      </w:r>
      <w:r>
        <w:rPr>
          <w:i/>
          <w:iCs/>
        </w:rPr>
        <w:t xml:space="preserve">Contextual Information Lower Bound with a Full Interface</w:t>
      </w:r>
      <w:r>
        <w:t xml:space="preserve"> </w:t>
      </w:r>
      <w:r>
        <w:t xml:space="preserve">(October 30, this edition); R–04</w:t>
      </w:r>
      <w:r>
        <w:t xml:space="preserve"> </w:t>
      </w:r>
      <w:r>
        <w:rPr>
          <w:i/>
          <w:iCs/>
        </w:rPr>
        <w:t xml:space="preserve">Point of Indeterminacy, Closure, and Counterexamples in 3-Coloring</w:t>
      </w:r>
      <w:r>
        <w:t xml:space="preserve"> </w:t>
      </w:r>
      <w:r>
        <w:t xml:space="preserve">(October 29); N1-A/N1-B; LAB-CONV; and ROSI.</w:t>
      </w:r>
    </w:p>
    <w:p>
      <w:pPr>
        <w:pStyle w:val="BodyText"/>
      </w:pPr>
      <w:r>
        <w:rPr>
          <w:b/>
          <w:bCs/>
        </w:rPr>
        <w:t xml:space="preserve">Comparative literature.</w:t>
      </w:r>
      <w:r>
        <w:t xml:space="preserve"> </w:t>
      </w:r>
      <w:r>
        <w:t xml:space="preserve">Coxeter (1934), reflection groups; Świerczkowski (1959), tetrahedral chains; Nerode (1958), continuation equivalence; Mycielski (1955), chromatic graphs; Hell and Nešetřil (1990),</w:t>
      </w:r>
      <w:r>
        <w:t xml:space="preserve"> </w:t>
      </w:r>
      <m:oMath>
        <m:r>
          <m:t>H</m:t>
        </m:r>
      </m:oMath>
      <w:r>
        <w:t xml:space="preserve">-coloring; Maffray and Preissmann (1996), triangle-free 3-coloring; Bulatov (2017) and Zhuk (2020), the CSP dichotomy; Beame, Culberson, Mitchell, and Moore (2005), resolution complexity of random graph coloring; Ben-Sasson and Wigderson (2001), proof length and width; Lauria and Nordström (2017), barriers for algebraic methods.</w:t>
      </w:r>
    </w:p>
    <w:bookmarkEnd w:id="35"/>
    <w:bookmarkEnd w:id="36"/>
    <w:sectPr>
      <w:headerReference r:id="rId9" w:type="default"/>
      <w:footerReference r:id="rId10" w:type="default"/>
      <w:pgMar w:bottom="1008" w:footer="533" w:header="518" w:left="1224" w:right="1224" w:top="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w:hAnsi="Noto Sans"/>
        <w:color w:val="626C73"/>
        <w:sz w:val="16"/>
      </w:rPr>
      <w:t xml:space="preserve">30 OCT 2026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RELATIONAL GEOMETRY PROGRAM  /  INDEPENDENT REVIEW REQUEST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C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71" w:lineRule="auto"/>
    </w:pPr>
    <w:rPr>
      <w:rFonts w:ascii="Aptos" w:hAnsi="Aptos"/>
      <w:color w:val="292F36"/>
      <w:sz w:val="20"/>
    </w:rPr>
  </w:style>
  <w:style w:styleId="BodyText" w:type="paragraph">
    <w:name w:val="Body Text"/>
    <w:basedOn w:val="Normal"/>
    <w:link w:val="BodyTextChar"/>
    <w:qFormat/>
    <w:pPr>
      <w:spacing w:after="86" w:before="180" w:line="271" w:lineRule="auto"/>
    </w:pPr>
    <w:rPr>
      <w:rFonts w:ascii="Noto Serif" w:hAnsi="Noto Serif"/>
      <w:color w:val="292F36"/>
      <w:sz w:val="18"/>
    </w:rPr>
  </w:style>
  <w:style w:customStyle="1" w:styleId="FirstParagraph" w:type="paragraph">
    <w:name w:val="First Paragraph"/>
    <w:basedOn w:val="BodyText"/>
    <w:next w:val="BodyText"/>
    <w:qFormat/>
    <w:pPr>
      <w:spacing w:after="86" w:line="271" w:lineRule="auto"/>
    </w:pPr>
    <w:rPr>
      <w:rFonts w:ascii="Noto Serif" w:hAnsi="Noto Serif"/>
      <w:color w:val="292F36"/>
      <w:sz w:val="18"/>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280"/>
      <w:outlineLvl w:val="0"/>
    </w:pPr>
    <w:rPr>
      <w:rFonts w:ascii="Noto Sans" w:asciiTheme="majorHAnsi" w:cstheme="majorBidi" w:eastAsiaTheme="majorEastAsia" w:hAnsi="Noto Sans" w:hAnsiTheme="majorHAnsi"/>
      <w:b/>
      <w:bCs/>
      <w:color w:val="1D394B"/>
      <w:sz w:val="34"/>
      <w:szCs w:val="32"/>
    </w:rPr>
  </w:style>
  <w:style w:styleId="Heading2" w:type="paragraph">
    <w:name w:val="Heading 2"/>
    <w:basedOn w:val="Normal"/>
    <w:next w:val="BodyText"/>
    <w:uiPriority w:val="9"/>
    <w:unhideWhenUsed/>
    <w:qFormat/>
    <w:pPr>
      <w:keepNext/>
      <w:keepLines/>
      <w:spacing w:after="80" w:before="200"/>
      <w:outlineLvl w:val="1"/>
    </w:pPr>
    <w:rPr>
      <w:rFonts w:ascii="Noto Sans" w:asciiTheme="majorHAnsi" w:cstheme="majorBidi" w:eastAsiaTheme="majorEastAsia" w:hAnsi="Noto Sans" w:hAnsiTheme="majorHAnsi"/>
      <w:b/>
      <w:bCs/>
      <w:color w:val="1D394B"/>
      <w:sz w:val="22"/>
      <w:szCs w:val="28"/>
    </w:rPr>
  </w:style>
  <w:style w:styleId="Heading3" w:type="paragraph">
    <w:name w:val="Heading 3"/>
    <w:basedOn w:val="Normal"/>
    <w:next w:val="BodyText"/>
    <w:uiPriority w:val="9"/>
    <w:unhideWhenUsed/>
    <w:qFormat/>
    <w:pPr>
      <w:keepNext/>
      <w:keepLines/>
      <w:spacing w:after="60" w:before="160"/>
      <w:outlineLvl w:val="2"/>
    </w:pPr>
    <w:rPr>
      <w:rFonts w:ascii="Noto Sans" w:asciiTheme="majorHAnsi" w:cstheme="majorBidi" w:eastAsiaTheme="majorEastAsia" w:hAnsi="Noto Sans" w:hAnsiTheme="majorHAnsi"/>
      <w:b/>
      <w:bCs/>
      <w:color w:val="1D394B"/>
      <w:sz w:val="19"/>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0" Type="http://schemas.openxmlformats.org/officeDocument/2006/relationships/hyperlink" Target="https://github.com/EndlessMonkeyProyect/programa-geometria-relacional"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github.com/EndlessMonkeyProyect/programa-geometria-relacion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2026-10-30T20:40:02Z</dcterms:created>
  <dcterms:modified xsi:type="dcterms:W3CDTF">2026-10-30T20:40:02Z</dcterms:modified>
</cp:coreProperties>
</file>

<file path=docProps/custom.xml><?xml version="1.0" encoding="utf-8"?>
<Properties xmlns="http://schemas.openxmlformats.org/officeDocument/2006/custom-properties" xmlns:vt="http://schemas.openxmlformats.org/officeDocument/2006/docPropsVTypes"/>
</file>