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olicitud-de-revisión-independiente"/>
    <w:p>
      <w:pPr>
        <w:pStyle w:val="Heading1"/>
      </w:pPr>
      <w:r>
        <w:t xml:space="preserve">Solicitud de revisión independiente</w:t>
      </w:r>
    </w:p>
    <w:p>
      <w:pPr>
        <w:pStyle w:val="FirstParagraph"/>
      </w:pPr>
      <w:r>
        <w:rPr>
          <w:b/>
          <w:bCs/>
        </w:rPr>
        <w:t xml:space="preserve">El cubo de espejos, la unidad autorreferenciada y P frente a NP</w:t>
      </w:r>
      <w:r>
        <w:br/>
      </w:r>
      <w:r>
        <w:t xml:space="preserve">Programa de Geometría Relacional · Le Matt Ansatz Di Ego · 30 de octubre de 2026</w:t>
      </w:r>
    </w:p>
    <w:bookmarkStart w:id="20" w:name="qué-proponemos-examinar"/>
    <w:p>
      <w:pPr>
        <w:pStyle w:val="Heading2"/>
      </w:pPr>
      <w:r>
        <w:t xml:space="preserve">Qué proponemos examinar</w:t>
      </w:r>
    </w:p>
    <w:p>
      <w:pPr>
        <w:pStyle w:val="FirstParagraph"/>
      </w:pPr>
      <w:r>
        <w:t xml:space="preserve">Partimos de una</w:t>
      </w:r>
      <w:r>
        <w:t xml:space="preserve"> </w:t>
      </w:r>
      <w:r>
        <w:rPr>
          <w:b/>
          <w:bCs/>
        </w:rPr>
        <w:t xml:space="preserve">unidad entendida como espacio autorreferenciado definido por un radio relacional</w:t>
      </w:r>
      <w:r>
        <w:t xml:space="preserve">; la incertidumbre es la indefinición de su naturaleza respecto de una referencia y una consulta declaradas. La caja de espejos, las esferas, los circuitos y la aritmética modular aportan realizaciones delimitadas. La rama de 3-coloración pregunta qué distinciones debe conservar una representación al incorporar relaciones y cuánto cuesta actualizarla, consultarla y certificar sus respuestas.</w:t>
      </w:r>
    </w:p>
    <w:p>
      <w:pPr>
        <w:pStyle w:val="BodyText"/>
      </w:pPr>
      <w:r>
        <w:rPr>
          <w:b/>
          <w:bCs/>
        </w:rPr>
        <w:t xml:space="preserve">No equiparamos la metáfora geométrica con un algoritmo.</w:t>
      </w:r>
      <w:r>
        <w:t xml:space="preserve"> </w:t>
      </w:r>
      <w:r>
        <w:t xml:space="preserve">Los resultados formales se juzgan por sus hipótesis y demostraciones; la ontología proporciona su genealogía y sus preguntas.</w:t>
      </w:r>
    </w:p>
    <w:bookmarkEnd w:id="20"/>
    <w:bookmarkStart w:id="21" w:name="núcleo-evaluable"/>
    <w:p>
      <w:pPr>
        <w:pStyle w:val="Heading2"/>
      </w:pPr>
      <w:r>
        <w:t xml:space="preserve">Núcleo evaluable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[C/T]</w:t>
      </w:r>
      <w:r>
        <w:t xml:space="preserve"> </w:t>
      </w:r>
      <w:r>
        <w:t xml:space="preserve">MF-97/MF-106: equivalencia por continuaciones y condición de actualización de firmas (descenso al cociente; parentesco con Myhill–Nerode).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[T/E]</w:t>
      </w:r>
      <w:r>
        <w:t xml:space="preserve"> </w:t>
      </w:r>
      <w:r>
        <w:t xml:space="preserve">R5/R6: firma exterior, modificaciones interiores y novedad circunstancial.</w:t>
      </w:r>
      <w:r>
        <w:t xml:space="preserve"> </w:t>
      </w:r>
      <w:r>
        <w:rPr>
          <w:b/>
          <w:bCs/>
        </w:rPr>
        <w:t xml:space="preserve">T-EXT-01 [T]:</w:t>
      </w:r>
      <w:r>
        <w:t xml:space="preserve"> </w:t>
      </w:r>
      <w:r>
        <w:t xml:space="preserve">con interfaz total,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⌊</m:t>
            </m:r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4</m:t>
            </m:r>
            <m:r>
              <m:rPr>
                <m:sty m:val="p"/>
              </m:rPr>
              <m:t>⌋</m:t>
            </m:r>
          </m:sup>
        </m:sSup>
      </m:oMath>
      <w:r>
        <w:t xml:space="preserve"> </w:t>
      </w:r>
      <w:r>
        <w:t xml:space="preserve">grafos bipartitos exigen firmas distintas ante consultas con dos vértices nuevos; cota de</w:t>
      </w:r>
      <w:r>
        <w:t xml:space="preserve"> </w:t>
      </w:r>
      <m:oMath>
        <m:r>
          <m:rPr>
            <m:sty m:val="p"/>
          </m:rPr>
          <m:t>⌊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  <m:r>
          <m:rPr>
            <m:sty m:val="p"/>
          </m:rPr>
          <m:t>⌋</m:t>
        </m:r>
      </m:oMath>
      <w:r>
        <w:t xml:space="preserve"> </w:t>
      </w:r>
      <w:r>
        <w:t xml:space="preserve">bits, sin implicaciones superpolinómicas.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[T/E]</w:t>
      </w:r>
      <w:r>
        <w:t xml:space="preserve"> </w:t>
      </w:r>
      <w:r>
        <w:t xml:space="preserve">R4: tensiones no nulas en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F</m:t>
            </m:r>
          </m:e>
          <m:sub>
            <m:r>
              <m:t>3</m:t>
            </m:r>
          </m:sub>
        </m:sSub>
      </m:oMath>
      <w:r>
        <w:t xml:space="preserve">; la coherencia de caras no garantiza el cierre global. En el toro triangular</w:t>
      </w:r>
      <w:r>
        <w:t xml:space="preserve"> </w:t>
      </w:r>
      <m:oMath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m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H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3</m:t>
        </m:r>
        <m:r>
          <m:rPr>
            <m:sty m:val="p"/>
          </m:rPr>
          <m:t>)</m:t>
        </m:r>
      </m:oMath>
      <w:r>
        <w:t xml:space="preserve">, con la orientación fijada.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[T/E]</w:t>
      </w:r>
      <w:r>
        <w:t xml:space="preserve"> </w:t>
      </w:r>
      <w:r>
        <w:t xml:space="preserve">R–04: clausura local por diamantes, ruedas impares y grafos de Mycielski; distinción entre radio de determinación, tamaño del certificado y costo de búsqueda.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[A]</w:t>
      </w:r>
      <w:r>
        <w:t xml:space="preserve"> </w:t>
      </w:r>
      <w:r>
        <w:t xml:space="preserve">N1-B y la relación de las operaciones de cierre con sistemas de prueba: la constante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del motor O2c requiere auditoría técnica específica.</w:t>
      </w:r>
    </w:p>
    <w:bookmarkEnd w:id="21"/>
    <w:bookmarkStart w:id="22" w:name="tres-preguntas-prioritarias"/>
    <w:p>
      <w:pPr>
        <w:pStyle w:val="Heading2"/>
      </w:pPr>
      <w:r>
        <w:t xml:space="preserve">Tres preguntas prioritarias</w:t>
      </w:r>
    </w:p>
    <w:p>
      <w:pPr>
        <w:pStyle w:val="FirstParagraph"/>
      </w:pPr>
      <w:r>
        <w:rPr>
          <w:b/>
          <w:bCs/>
        </w:rPr>
        <w:t xml:space="preserve">P3 — Equivalencia contextual.</w:t>
      </w:r>
      <w:r>
        <w:t xml:space="preserve"> </w:t>
      </w:r>
      <w:r>
        <w:t xml:space="preserve">¿Cómo formalizar una referencia interna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distinta de la firma exterior?</w:t>
      </w:r>
    </w:p>
    <w:p>
      <w:pPr>
        <w:pStyle w:val="BodyText"/>
      </w:pPr>
      <w:r>
        <w:rPr>
          <w:b/>
          <w:bCs/>
        </w:rPr>
        <w:t xml:space="preserve">P9 — Certificación global.</w:t>
      </w:r>
      <w:r>
        <w:t xml:space="preserve"> </w:t>
      </w:r>
      <w:r>
        <w:t xml:space="preserve">¿Son correctas las cotas de ancho 6 y 21 para</w:t>
      </w:r>
      <w:r>
        <w:t xml:space="preserve"> </w:t>
      </w:r>
      <m:oMath>
        <m:r>
          <m:t>M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?</w:t>
      </w:r>
    </w:p>
    <w:p>
      <w:pPr>
        <w:pStyle w:val="BodyText"/>
      </w:pPr>
      <w:r>
        <w:rPr>
          <w:b/>
          <w:bCs/>
        </w:rPr>
        <w:t xml:space="preserve">P11 — Complejidad.</w:t>
      </w:r>
      <w:r>
        <w:t xml:space="preserve"> </w:t>
      </w:r>
      <w:r>
        <w:t xml:space="preserve">¿Qué simulación conecta una clase definida de procedimientos con cotas de recursos?</w:t>
      </w:r>
    </w:p>
    <w:p>
      <w:pPr>
        <w:pStyle w:val="BodyText"/>
      </w:pPr>
      <w:r>
        <w:rPr>
          <w:b/>
          <w:bCs/>
        </w:rPr>
        <w:t xml:space="preserve">P13 — T-EXT-01.</w:t>
      </w:r>
      <w:r>
        <w:t xml:space="preserve"> </w:t>
      </w:r>
      <w:r>
        <w:t xml:space="preserve">Revisar prueba, antecedentes y alcance para fronteras parciales.</w:t>
      </w:r>
    </w:p>
    <w:bookmarkEnd w:id="22"/>
    <w:bookmarkStart w:id="23" w:name="cómo-colaborar"/>
    <w:p>
      <w:pPr>
        <w:pStyle w:val="Heading2"/>
      </w:pPr>
      <w:r>
        <w:t xml:space="preserve">Cómo colaborar</w:t>
      </w:r>
    </w:p>
    <w:p>
      <w:pPr>
        <w:pStyle w:val="FirstParagraph"/>
      </w:pPr>
      <w:r>
        <w:t xml:space="preserve">Aceptamos la revisión de una sola prueba, hipótesis, codificación o referencia. El documento integral incluye trece preguntas y anexos reproducibles.</w:t>
      </w:r>
    </w:p>
    <w:p>
      <w:pPr>
        <w:pStyle w:val="BodyText"/>
      </w:pPr>
      <w:r>
        <w:rPr>
          <w:b/>
          <w:bCs/>
        </w:rPr>
        <w:t xml:space="preserve">Repositorio del programa:</w:t>
      </w:r>
      <w:r>
        <w:t xml:space="preserve"> </w:t>
      </w:r>
      <w:r>
        <w:t xml:space="preserve">https://github.com/EndlessMonkeyProyect/programa-geometria-relacional</w:t>
      </w:r>
    </w:p>
    <w:bookmarkEnd w:id="23"/>
    <w:bookmarkEnd w:id="24"/>
    <w:sectPr>
      <w:headerReference r:id="rId9" w:type="default"/>
      <w:footerReference r:id="rId10" w:type="default"/>
      <w:pgMar w:bottom="1008" w:footer="533" w:header="518" w:left="1224" w:right="1224" w:top="112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/>
        <w:color w:val="626C73"/>
        <w:sz w:val="16"/>
      </w:rPr>
      <w:t xml:space="preserve">30 OCT 2026  ·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color w:val="677078"/>
        <w:sz w:val="14"/>
      </w:rPr>
      <w:t>PROGRAMA DE GEOMETRÍA RELACIONAL  /  SOLICITUD DE REVISIÓN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C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71" w:lineRule="auto"/>
    </w:pPr>
    <w:rPr>
      <w:rFonts w:ascii="Aptos" w:hAnsi="Aptos"/>
      <w:color w:val="292F36"/>
      <w:sz w:val="20"/>
    </w:rPr>
  </w:style>
  <w:style w:styleId="BodyText" w:type="paragraph">
    <w:name w:val="Body Text"/>
    <w:basedOn w:val="Normal"/>
    <w:link w:val="BodyTextChar"/>
    <w:qFormat/>
    <w:pPr>
      <w:spacing w:after="86" w:before="180" w:line="271" w:lineRule="auto"/>
    </w:pPr>
    <w:rPr>
      <w:rFonts w:ascii="Noto Serif" w:hAnsi="Noto Serif"/>
      <w:color w:val="292F36"/>
      <w:sz w:val="18"/>
    </w:rPr>
  </w:style>
  <w:style w:customStyle="1" w:styleId="FirstParagraph" w:type="paragraph">
    <w:name w:val="First Paragraph"/>
    <w:basedOn w:val="BodyText"/>
    <w:next w:val="BodyText"/>
    <w:qFormat/>
    <w:pPr>
      <w:spacing w:after="86" w:line="271" w:lineRule="auto"/>
    </w:pPr>
    <w:rPr>
      <w:rFonts w:ascii="Noto Serif" w:hAnsi="Noto Serif"/>
      <w:color w:val="292F36"/>
      <w:sz w:val="18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280"/>
      <w:outlineLvl w:val="0"/>
    </w:pPr>
    <w:rPr>
      <w:rFonts w:ascii="Noto Sans" w:asciiTheme="majorHAnsi" w:cstheme="majorBidi" w:eastAsiaTheme="majorEastAsia" w:hAnsi="Noto Sans" w:hAnsiTheme="majorHAnsi"/>
      <w:b/>
      <w:bCs/>
      <w:color w:val="1D394B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/>
      <w:outlineLvl w:val="1"/>
    </w:pPr>
    <w:rPr>
      <w:rFonts w:ascii="Noto Sans" w:asciiTheme="majorHAnsi" w:cstheme="majorBidi" w:eastAsiaTheme="majorEastAsia" w:hAnsi="Noto Sans" w:hAnsiTheme="majorHAnsi"/>
      <w:b/>
      <w:bCs/>
      <w:color w:val="1D394B"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60"/>
      <w:outlineLvl w:val="2"/>
    </w:pPr>
    <w:rPr>
      <w:rFonts w:ascii="Noto Sans" w:asciiTheme="majorHAnsi" w:cstheme="majorBidi" w:eastAsiaTheme="majorEastAsia" w:hAnsi="Noto Sans" w:hAnsiTheme="majorHAnsi"/>
      <w:b/>
      <w:bCs/>
      <w:color w:val="1D394B"/>
      <w:sz w:val="19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2026-10-30T18:56:50Z</dcterms:created>
  <dcterms:modified xsi:type="dcterms:W3CDTF">2026-10-30T18:56:50Z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