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99a7e689aac8f7ef88de3d3cd63444e18d5d79"/>
    <w:p>
      <w:pPr>
        <w:pStyle w:val="Heading1"/>
      </w:pPr>
      <w:r>
        <w:t xml:space="preserve">El cubo de espejos, la unidad autorreferenciada y P frente a NP</w:t>
      </w:r>
    </w:p>
    <w:p>
      <w:pPr>
        <w:pStyle w:val="FirstParagraph"/>
      </w:pPr>
      <w:r>
        <w:rPr>
          <w:b/>
          <w:bCs/>
        </w:rPr>
        <w:t xml:space="preserve">Solicitud de revisión independiente · Programa de Geometría Relacional</w:t>
      </w:r>
      <w:r>
        <w:br/>
      </w:r>
      <w:r>
        <w:rPr>
          <w:b/>
          <w:bCs/>
        </w:rPr>
        <w:t xml:space="preserve">Le Matt Ansatz Di Ego · 30 de octubre de 2026 · edición ampliada con T-EXT-01</w:t>
      </w:r>
      <w:r>
        <w:br/>
      </w:r>
      <w:r>
        <w:rPr>
          <w:b/>
          <w:bCs/>
        </w:rPr>
        <w:t xml:space="preserve">Repositorio:</w:t>
      </w:r>
      <w:r>
        <w:t xml:space="preserve"> </w:t>
      </w:r>
      <w:hyperlink r:id="rId20">
        <w:r>
          <w:rPr>
            <w:rStyle w:val="Hyperlink"/>
          </w:rPr>
          <w:t xml:space="preserve">https://github.com/EndlessMonkeyProyect/programa-geometria-relacional</w:t>
        </w:r>
      </w:hyperlink>
    </w:p>
    <w:bookmarkStart w:id="21" w:name="la-solicitud-en-breve"/>
    <w:p>
      <w:pPr>
        <w:pStyle w:val="Heading2"/>
      </w:pPr>
      <w:r>
        <w:t xml:space="preserve">La solicitud en breve</w:t>
      </w:r>
    </w:p>
    <w:p>
      <w:pPr>
        <w:pStyle w:val="FirstParagraph"/>
      </w:pPr>
      <w:r>
        <w:t xml:space="preserve">Pedimos revisar el</w:t>
      </w:r>
      <w:r>
        <w:t xml:space="preserve"> </w:t>
      </w:r>
      <w:r>
        <w:rPr>
          <w:b/>
          <w:bCs/>
        </w:rPr>
        <w:t xml:space="preserve">recorrido construido</w:t>
      </w:r>
      <w:r>
        <w:t xml:space="preserve">, desde su determinante ontológico hasta las realizaciones lógico-matemáticas y el problema del costo en 3-coloración. Su punto de partida es una unidad entendida como</w:t>
      </w:r>
      <w:r>
        <w:t xml:space="preserve"> </w:t>
      </w:r>
      <w:r>
        <w:rPr>
          <w:b/>
          <w:bCs/>
        </w:rPr>
        <w:t xml:space="preserve">espacio autorreferenciado, definido por el radio de las relaciones que la sostienen</w:t>
      </w:r>
      <w:r>
        <w:t xml:space="preserve">. La incertidumbre expresa la indefinición de su naturaleza respecto de una referencia y una consulta; no es un objeto que se agregue a la unidad.</w:t>
      </w:r>
    </w:p>
    <w:p>
      <w:pPr>
        <w:pStyle w:val="BodyText"/>
      </w:pPr>
      <w:r>
        <w:t xml:space="preserve">La caja de espejos permite examinar reflexión, foco, interior/exterior, normalización y cambios de referencia. Los laboratorios de esferas y circuitos, la aritmética modular de R–01 y los desarrollos R4, R5, R6, T-EXT-01 y R–04 realizan partes del recorrido bajo contratos distintos. En la rama P frente a NP la pregunta se vuelve comprobable:</w:t>
      </w:r>
      <w:r>
        <w:t xml:space="preserve"> </w:t>
      </w:r>
      <w:r>
        <w:rPr>
          <w:b/>
          <w:bCs/>
        </w:rPr>
        <w:t xml:space="preserve">¿qué distinciones deben preservarse, recuperarse o certificarse cuando cambian las relaciones de una instancia, y cuál es el costo integral de hacerlo?</w:t>
      </w:r>
    </w:p>
    <w:p>
      <w:pPr>
        <w:pStyle w:val="BodyText"/>
      </w:pPr>
      <w:r>
        <w:t xml:space="preserve">No solicitamos que se acepte una correspondencia por su poder explicativo. Pedimos evaluar</w:t>
      </w:r>
      <w:r>
        <w:t xml:space="preserve"> </w:t>
      </w:r>
      <w:r>
        <w:rPr>
          <w:b/>
          <w:bCs/>
        </w:rPr>
        <w:t xml:space="preserve">las definiciones, hipótesis, demostraciones, datos reproducibles, correspondencias y barreras</w:t>
      </w:r>
      <w:r>
        <w:t xml:space="preserve"> </w:t>
      </w:r>
      <w:r>
        <w:t xml:space="preserve">por sus propios criterios. Una revisión que identifique una equivalencia conocida, una hipótesis ausente, una operación mejor definida o un contraejemplo en una sola sección ya es una contribución.</w:t>
      </w:r>
    </w:p>
    <w:p>
      <w:pPr>
        <w:pStyle w:val="BodyText"/>
      </w:pPr>
      <w:r>
        <w:rPr>
          <w:b/>
          <w:bCs/>
        </w:rPr>
        <w:t xml:space="preserve">Resultado incorporado.</w:t>
      </w:r>
      <w:r>
        <w:t xml:space="preserve"> </w:t>
      </w:r>
      <w:r>
        <w:t xml:space="preserve">T-EXT-01 prueba una cota de</w:t>
      </w:r>
      <w:r>
        <w:t xml:space="preserve"> </w:t>
      </w:r>
      <m:oMath>
        <m:r>
          <m:rPr>
            <m:sty m:val="p"/>
          </m:rPr>
          <m:t>⌊</m:t>
        </m:r>
        <m:sSup>
          <m:e>
            <m:r>
              <m:t>n</m:t>
            </m:r>
          </m:e>
          <m:sup>
            <m:r>
              <m:t>2</m:t>
            </m:r>
          </m:sup>
        </m:sSup>
        <m:r>
          <m:rPr>
            <m:sty m:val="p"/>
          </m:rPr>
          <m:t>/</m:t>
        </m:r>
        <m:r>
          <m:t>4</m:t>
        </m:r>
        <m:r>
          <m:rPr>
            <m:sty m:val="p"/>
          </m:rPr>
          <m:t>⌋</m:t>
        </m:r>
      </m:oMath>
      <w:r>
        <w:t xml:space="preserve"> </w:t>
      </w:r>
      <w:r>
        <w:t xml:space="preserve">bits para firmas autosuficientes que responden todas las continuaciones exteriores</w:t>
      </w:r>
      <w:r>
        <w:t xml:space="preserve"> </w:t>
      </w:r>
      <m:oMath>
        <m:sSub>
          <m:e>
            <m:r>
              <m:t>D</m:t>
            </m:r>
          </m:e>
          <m:sub>
            <m:r>
              <m:t>u</m:t>
            </m:r>
            <m:r>
              <m:t>v</m:t>
            </m:r>
          </m:sub>
        </m:sSub>
      </m:oMath>
      <w:r>
        <w:t xml:space="preserve"> </w:t>
      </w:r>
      <w:r>
        <w:t xml:space="preserve">sobre una familia bipartita con interfaz total. Es una cota informacional cuadrática, no un límite de tiempo ni una prueba sobre P frente a NP.</w:t>
      </w:r>
    </w:p>
    <w:p>
      <w:pPr>
        <w:pStyle w:val="BodyText"/>
      </w:pPr>
      <w:r>
        <w:rPr>
          <w:b/>
          <w:bCs/>
        </w:rPr>
        <w:t xml:space="preserve">Convención de alcance.</w:t>
      </w:r>
      <w:r>
        <w:t xml:space="preserve"> </w:t>
      </w:r>
      <w:r>
        <w:t xml:space="preserve">[O] es formulación ontológica; [T] proposición con prueba bajo hipótesis; [C] resultado clásico identificado; [E] verificación finita reportada o adjunta; [I] correspondencia interpretativa; [A] pregunta o conjetura abierta. Una relación entre laboratorios no se considera una implicación matemática hasta declarar un mapa que conserve las operaciones y los observables pertinentes.</w:t>
      </w:r>
    </w:p>
    <w:bookmarkEnd w:id="21"/>
    <w:bookmarkStart w:id="23" w:name="X7a2b58747aadf39ae484661811fb57ca27a460c"/>
    <w:p>
      <w:pPr>
        <w:pStyle w:val="Heading2"/>
      </w:pPr>
      <w:r>
        <w:t xml:space="preserve">1. El hilo: unidad, referencia, radio y naturaleza relacional [O]</w:t>
      </w:r>
    </w:p>
    <w:p>
      <w:pPr>
        <w:pStyle w:val="FirstParagraph"/>
      </w:pPr>
      <w:r>
        <w:t xml:space="preserve">Una unidad</w:t>
      </w:r>
      <w:r>
        <w:t xml:space="preserve"> </w:t>
      </w:r>
      <w:r>
        <w:rPr>
          <w:b/>
          <w:bCs/>
        </w:rPr>
        <w:t xml:space="preserve">no surge necesariamente de un encuentro de imágenes</w:t>
      </w:r>
      <w:r>
        <w:t xml:space="preserve">. Se reconoce como espacio autorreferenciado porque existe una organización de relaciones que define su propio ámbito de comparación. Llamamos</w:t>
      </w:r>
      <w:r>
        <w:t xml:space="preserve"> </w:t>
      </w:r>
      <w:r>
        <w:rPr>
          <w:b/>
          <w:bCs/>
        </w:rPr>
        <w:t xml:space="preserve">radio relacional</w:t>
      </w:r>
      <w:r>
        <w:t xml:space="preserve"> </w:t>
      </w:r>
      <w:r>
        <w:t xml:space="preserve">al alcance de esa organización: qué relaciones participan en la referencia que la reconoce y sostienen su continuidad. Este radio no es obligatoriamente una distancia euclidiana, una superficie material o un valor numérico único. Cada realización debe declarar cómo se determina.</w:t>
      </w:r>
    </w:p>
    <w:p>
      <w:pPr>
        <w:pStyle w:val="BodyText"/>
      </w:pPr>
      <w:r>
        <w:t xml:space="preserve">La</w:t>
      </w:r>
      <w:r>
        <w:t xml:space="preserve"> </w:t>
      </w:r>
      <w:r>
        <w:rPr>
          <w:b/>
          <w:bCs/>
        </w:rPr>
        <w:t xml:space="preserve">incertidumbre contextual</w:t>
      </w:r>
      <w:r>
        <w:t xml:space="preserve"> </w:t>
      </w:r>
      <w:r>
        <w:t xml:space="preserve">no constituye otra entidad. Expresa las distinciones sobre la naturaleza de una unidad que permanecen abiertas desde el marco y la consulta considerados. Una mirada exterior puede reconocer la unidad y, simultáneamente, no determinar su interior; una mirada interior dispone de relaciones que esa firma exterior no contiene.</w:t>
      </w:r>
    </w:p>
    <w:p>
      <w:pPr>
        <w:pStyle w:val="BodyText"/>
      </w:pPr>
      <w:r>
        <w:t xml:space="preserve">Una</w:t>
      </w:r>
      <w:r>
        <w:t xml:space="preserve"> </w:t>
      </w:r>
      <w:r>
        <w:rPr>
          <w:b/>
          <w:bCs/>
        </w:rPr>
        <w:t xml:space="preserve">reflexión</w:t>
      </w:r>
      <w:r>
        <w:t xml:space="preserve"> </w:t>
      </w:r>
      <w:r>
        <w:t xml:space="preserve">establece relaciones entre manifestaciones y referencias. Dos recorridos de sentido opuesto pueden llegar a un mismo foco; compartir la observación de posición no obliga a compartir orientación, procedencia o fase. El foco puede pertenecer al propio sistema. Por tanto, el encuentro es una</w:t>
      </w:r>
      <w:r>
        <w:t xml:space="preserve"> </w:t>
      </w:r>
      <w:r>
        <w:rPr>
          <w:b/>
          <w:bCs/>
        </w:rPr>
        <w:t xml:space="preserve">consulta a la referencia</w:t>
      </w:r>
      <w:r>
        <w:t xml:space="preserve">, no una prueba automática de que haya nacido una unidad ni de que se haya acreditado su cierre en sí.</w:t>
      </w:r>
    </w:p>
    <w:p>
      <w:pPr>
        <w:pStyle w:val="BodyText"/>
      </w:pPr>
      <w:r>
        <w:t xml:space="preserve">La</w:t>
      </w:r>
      <w:r>
        <w:t xml:space="preserve"> </w:t>
      </w:r>
      <w:r>
        <w:rPr>
          <w:b/>
          <w:bCs/>
        </w:rPr>
        <w:t xml:space="preserve">normalización</w:t>
      </w:r>
      <w:r>
        <w:t xml:space="preserve"> </w:t>
      </w:r>
      <w:r>
        <w:t xml:space="preserve">expresa cómo se comparan referencias o escalas diferentes preservando las relaciones declaradas. El</w:t>
      </w:r>
      <w:r>
        <w:t xml:space="preserve"> </w:t>
      </w:r>
      <w:r>
        <w:rPr>
          <w:b/>
          <w:bCs/>
        </w:rPr>
        <w:t xml:space="preserve">cierre en sí</w:t>
      </w:r>
      <w:r>
        <w:t xml:space="preserve"> </w:t>
      </w:r>
      <w:r>
        <w:t xml:space="preserve">nombra la continuidad de una organización autorreferenciada: para someterlo a prueba se deben definir referencia interna, transformaciones admisibles y observables que permanecen compatibles. Una unidad puede a su vez participar en otra unidad mayor sin perder necesariamente su información interior. Así aparece la estructura de</w:t>
      </w:r>
      <w:r>
        <w:t xml:space="preserve"> </w:t>
      </w:r>
      <w:r>
        <w:rPr>
          <w:b/>
          <w:bCs/>
        </w:rPr>
        <w:t xml:space="preserve">unidades de unidades</w:t>
      </w:r>
      <w:r>
        <w:t xml:space="preserve">.</w:t>
      </w:r>
    </w:p>
    <w:p>
      <w:pPr>
        <w:pStyle w:val="BodyText"/>
      </w:pPr>
      <w:r>
        <w:t xml:space="preserve">Esta es la genealogía de lenguaje que proponemos examinar:</w:t>
      </w:r>
    </w:p>
    <w:p>
      <w:pPr>
        <w:pStyle w:val="BodyText"/>
      </w:pPr>
      <w:r>
        <w:rPr>
          <w:b/>
          <w:bCs/>
        </w:rPr>
        <w:t xml:space="preserve">unidad → autorreferencia → radio relacional → incertidumbre relativa → reflexión → normalización → cierre en sí → composición de unidades.</w:t>
      </w:r>
    </w:p>
    <w:p>
      <w:pPr>
        <w:pStyle w:val="BodyText"/>
      </w:pPr>
      <w:r>
        <w:t xml:space="preserve">El orden expresa un hilo de investigación, no un teorema causal de física. La singularidad, entendida en este marco como unidad cuya naturaleza no queda completamente determinada desde una referencia exterior, tampoco se identifica automáticamente con una singularidad de relatividad general.</w:t>
      </w:r>
      <w:r>
        <w:t xml:space="preserve"> </w:t>
      </w:r>
      <w:r>
        <w:rPr>
          <w:b/>
          <w:bCs/>
        </w:rPr>
        <w:t xml:space="preserve">La validez de las proposiciones matemáticas de las secciones siguientes depende de sus definiciones e hipótesis explícitas, no de aceptar esta lectura ontológica.</w:t>
      </w:r>
      <w:r>
        <w:t xml:space="preserve"> </w:t>
      </w:r>
      <w:r>
        <w:t xml:space="preserve">La ontología determina las preguntas y la genealogía del programa; las demostraciones se evalúan en sus propios modelos.</w:t>
      </w:r>
    </w:p>
    <w:bookmarkStart w:id="22" w:name="qué-solicitamos-comprobar-de-esta-capa"/>
    <w:p>
      <w:pPr>
        <w:pStyle w:val="Heading3"/>
      </w:pPr>
      <w:r>
        <w:t xml:space="preserve">Qué solicitamos comprobar de esta capa</w:t>
      </w:r>
    </w:p>
    <w:p>
      <w:pPr>
        <w:pStyle w:val="FirstParagraph"/>
      </w:pPr>
      <w:r>
        <w:t xml:space="preserve">Queremos saber qué nociones existentes (sistemas de transición con interfaz, teoría de cocientes, equivalencia observacional, composición relacional) pueden representar con precisión este lenguaje,</w:t>
      </w:r>
      <w:r>
        <w:t xml:space="preserve"> </w:t>
      </w:r>
      <w:r>
        <w:rPr>
          <w:b/>
          <w:bCs/>
        </w:rPr>
        <w:t xml:space="preserve">sin confundir la unidad con la mera clase de estados que un observador no distingue</w:t>
      </w:r>
      <w:r>
        <w:t xml:space="preserve">. El programa no necesita bautizar otra entidad para una noción ya representada; necesita especificar el vínculo entre su referencia interna y las operaciones que permiten reconocerla.</w:t>
      </w:r>
    </w:p>
    <w:bookmarkEnd w:id="22"/>
    <w:bookmarkEnd w:id="23"/>
    <w:bookmarkStart w:id="24" w:name="Xf935ccf6ab5de1003f755ad246b64c69d024e23"/>
    <w:p>
      <w:pPr>
        <w:pStyle w:val="Heading2"/>
      </w:pPr>
      <w:r>
        <w:t xml:space="preserve">2. La caja de espejos: reflexión, órbitas y cambio de referencia [C/T/I]</w:t>
      </w:r>
    </w:p>
    <w:p>
      <w:pPr>
        <w:pStyle w:val="FirstParagraph"/>
      </w:pPr>
      <w:r>
        <w:t xml:space="preserve">En la sección unidimensional de O59, con dos espejos ideales en</w:t>
      </w:r>
      <w:r>
        <w:t xml:space="preserve"> </w:t>
      </w:r>
      <m:oMath>
        <m:r>
          <m:t>0</m:t>
        </m:r>
      </m:oMath>
      <w:r>
        <w:t xml:space="preserve"> </w:t>
      </w:r>
      <w:r>
        <w:t xml:space="preserve">y</w:t>
      </w:r>
      <w:r>
        <w:t xml:space="preserve"> </w:t>
      </w:r>
      <m:oMath>
        <m:r>
          <m:t>L</m:t>
        </m:r>
        <m:r>
          <m:rPr>
            <m:sty m:val="p"/>
          </m:rPr>
          <m:t>&gt;</m:t>
        </m:r>
        <m:r>
          <m:t>0</m:t>
        </m:r>
      </m:oMath>
      <w:r>
        <w:t xml:space="preserve">, las reflexiones son</w:t>
      </w:r>
    </w:p>
    <w:p>
      <w:pPr>
        <w:pStyle w:val="BodyText"/>
      </w:pPr>
      <m:oMathPara>
        <m:oMathParaPr>
          <m:jc m:val="center"/>
        </m:oMathParaPr>
        <m:oMath>
          <m:sSub>
            <m:e>
              <m:r>
                <m:t>s</m:t>
              </m:r>
            </m:e>
            <m:sub>
              <m:r>
                <m:t>0</m:t>
              </m:r>
            </m:sub>
          </m:sSub>
          <m:d>
            <m:dPr>
              <m:begChr m:val="("/>
              <m:endChr m:val=")"/>
              <m:sepChr m:val=""/>
              <m:grow/>
            </m:dPr>
            <m:e>
              <m:r>
                <m:t>x</m:t>
              </m:r>
            </m:e>
          </m:d>
          <m:r>
            <m:rPr>
              <m:sty m:val="p"/>
            </m:rPr>
            <m:t>=</m:t>
          </m:r>
          <m:r>
            <m:rPr>
              <m:sty m:val="p"/>
            </m:rPr>
            <m:t>−</m:t>
          </m:r>
          <m:r>
            <m:t>x</m:t>
          </m:r>
          <m:r>
            <m:rPr>
              <m:sty m:val="p"/>
            </m:rPr>
            <m:t>,</m:t>
          </m:r>
          <m:r>
            <m:t>  </m:t>
          </m:r>
          <m:sSub>
            <m:e>
              <m:r>
                <m:t>s</m:t>
              </m:r>
            </m:e>
            <m:sub>
              <m:r>
                <m:t>L</m:t>
              </m:r>
            </m:sub>
          </m:sSub>
          <m:d>
            <m:dPr>
              <m:begChr m:val="("/>
              <m:endChr m:val=")"/>
              <m:sepChr m:val=""/>
              <m:grow/>
            </m:dPr>
            <m:e>
              <m:r>
                <m:t>x</m:t>
              </m:r>
            </m:e>
          </m:d>
          <m:r>
            <m:rPr>
              <m:sty m:val="p"/>
            </m:rPr>
            <m:t>=</m:t>
          </m:r>
          <m:r>
            <m:t>2</m:t>
          </m:r>
          <m:r>
            <m:t>L</m:t>
          </m:r>
          <m:r>
            <m:rPr>
              <m:sty m:val="p"/>
            </m:rPr>
            <m:t>−</m:t>
          </m:r>
          <m:r>
            <m:t>x</m:t>
          </m:r>
          <m:r>
            <m:rPr>
              <m:sty m:val="p"/>
            </m:rPr>
            <m:t>.</m:t>
          </m:r>
        </m:oMath>
      </m:oMathPara>
    </w:p>
    <w:p>
      <w:pPr>
        <w:pStyle w:val="FirstParagraph"/>
      </w:pPr>
      <w:r>
        <w:t xml:space="preserve">Generan las transformaciones</w:t>
      </w:r>
      <w:r>
        <w:t xml:space="preserve"> </w:t>
      </w:r>
      <m:oMath>
        <m:r>
          <m:t>x</m:t>
        </m:r>
        <m:r>
          <m:rPr>
            <m:sty m:val="p"/>
          </m:rPr>
          <m:t>↦</m:t>
        </m:r>
        <m:r>
          <m:rPr>
            <m:sty m:val="p"/>
          </m:rPr>
          <m:t>±</m:t>
        </m:r>
        <m:r>
          <m:t>x</m:t>
        </m:r>
        <m:r>
          <m:rPr>
            <m:sty m:val="p"/>
          </m:rPr>
          <m:t>+</m:t>
        </m:r>
        <m:r>
          <m:t>2</m:t>
        </m:r>
        <m:r>
          <m:t>k</m:t>
        </m:r>
        <m:r>
          <m:t>L</m:t>
        </m:r>
      </m:oMath>
      <w:r>
        <w:t xml:space="preserve"> </w:t>
      </w:r>
      <w:r>
        <w:t xml:space="preserve">para</w:t>
      </w:r>
      <w:r>
        <w:t xml:space="preserve"> </w:t>
      </w:r>
      <m:oMath>
        <m:r>
          <m:t>k</m:t>
        </m:r>
        <m:r>
          <m:rPr>
            <m:sty m:val="p"/>
          </m:rPr>
          <m:t>∈</m:t>
        </m:r>
        <m:r>
          <m:rPr>
            <m:sty m:val="p"/>
            <m:scr m:val="double-struck"/>
          </m:rPr>
          <m:t>Z</m:t>
        </m:r>
      </m:oMath>
      <w:r>
        <w:t xml:space="preserve">. La firma</w:t>
      </w:r>
    </w:p>
    <w:p>
      <w:pPr>
        <w:pStyle w:val="BodyText"/>
      </w:pPr>
      <m:oMathPara>
        <m:oMathParaPr>
          <m:jc m:val="center"/>
        </m:oMathParaPr>
        <m:oMath>
          <m:sSub>
            <m:e>
              <m:r>
                <m:t>ρ</m:t>
              </m:r>
            </m:e>
            <m:sub>
              <m:r>
                <m:t>L</m:t>
              </m:r>
            </m:sub>
          </m:sSub>
          <m:d>
            <m:dPr>
              <m:begChr m:val="("/>
              <m:endChr m:val=")"/>
              <m:sepChr m:val=""/>
              <m:grow/>
            </m:dPr>
            <m:e>
              <m:r>
                <m:t>x</m:t>
              </m:r>
            </m:e>
          </m:d>
          <m:r>
            <m:rPr>
              <m:sty m:val="p"/>
            </m:rPr>
            <m:t>=</m:t>
          </m:r>
          <m:r>
            <m:rPr>
              <m:sty m:val="p"/>
            </m:rPr>
            <m:t>dist</m:t>
          </m:r>
          <m:d>
            <m:dPr>
              <m:begChr m:val="("/>
              <m:endChr m:val=")"/>
              <m:sepChr m:val=""/>
              <m:grow/>
            </m:dPr>
            <m:e>
              <m:r>
                <m:t>x</m:t>
              </m:r>
              <m:r>
                <m:rPr>
                  <m:sty m:val="p"/>
                </m:rPr>
                <m:t>,</m:t>
              </m:r>
              <m:r>
                <m:t>2</m:t>
              </m:r>
              <m:r>
                <m:t>L</m:t>
              </m:r>
              <m:r>
                <m:rPr>
                  <m:sty m:val="p"/>
                  <m:scr m:val="double-struck"/>
                </m:rPr>
                <m:t>Z</m:t>
              </m:r>
            </m:e>
          </m:d>
        </m:oMath>
      </m:oMathPara>
    </w:p>
    <w:p>
      <w:pPr>
        <w:pStyle w:val="FirstParagraph"/>
      </w:pPr>
      <w:r>
        <w:t xml:space="preserve">caracteriza exactamente las órbitas del grupo declarado:</w:t>
      </w:r>
      <w:r>
        <w:t xml:space="preserve"> </w:t>
      </w:r>
      <m:oMath>
        <m:sSub>
          <m:e>
            <m:r>
              <m:t>ρ</m:t>
            </m:r>
          </m:e>
          <m:sub>
            <m:r>
              <m:t>L</m:t>
            </m:r>
          </m:sub>
        </m:sSub>
        <m:d>
          <m:dPr>
            <m:begChr m:val="("/>
            <m:endChr m:val=")"/>
            <m:sepChr m:val=""/>
            <m:grow/>
          </m:dPr>
          <m:e>
            <m:r>
              <m:t>x</m:t>
            </m:r>
          </m:e>
        </m:d>
        <m:r>
          <m:rPr>
            <m:sty m:val="p"/>
          </m:rPr>
          <m:t>=</m:t>
        </m:r>
        <m:sSub>
          <m:e>
            <m:r>
              <m:t>ρ</m:t>
            </m:r>
          </m:e>
          <m:sub>
            <m:r>
              <m:t>L</m:t>
            </m:r>
          </m:sub>
        </m:sSub>
        <m:d>
          <m:dPr>
            <m:begChr m:val="("/>
            <m:endChr m:val=")"/>
            <m:sepChr m:val=""/>
            <m:grow/>
          </m:dPr>
          <m:e>
            <m:r>
              <m:t>y</m:t>
            </m:r>
          </m:e>
        </m:d>
      </m:oMath>
      <w:r>
        <w:t xml:space="preserve"> </w:t>
      </w:r>
      <w:r>
        <w:t xml:space="preserve">si y solo si</w:t>
      </w:r>
      <w:r>
        <w:t xml:space="preserve"> </w:t>
      </w:r>
      <m:oMath>
        <m:r>
          <m:t>x</m:t>
        </m:r>
        <m:r>
          <m:rPr>
            <m:sty m:val="p"/>
          </m:rPr>
          <m:t>,</m:t>
        </m:r>
        <m:r>
          <m:t>y</m:t>
        </m:r>
      </m:oMath>
      <w:r>
        <w:t xml:space="preserve"> </w:t>
      </w:r>
      <w:r>
        <w:t xml:space="preserve">pertenecen a la misma órbita. Es una</w:t>
      </w:r>
      <w:r>
        <w:t xml:space="preserve"> </w:t>
      </w:r>
      <w:r>
        <w:rPr>
          <w:b/>
          <w:bCs/>
        </w:rPr>
        <w:t xml:space="preserve">firma de órbita</w:t>
      </w:r>
      <w:r>
        <w:t xml:space="preserve"> </w:t>
      </w:r>
      <w:r>
        <w:t xml:space="preserve">para una pregunta geométrica específica, no toda la naturaleza interior de una unidad.</w:t>
      </w:r>
    </w:p>
    <w:p>
      <w:pPr>
        <w:pStyle w:val="BodyText"/>
      </w:pPr>
      <w:r>
        <w:rPr>
          <w:b/>
          <w:bCs/>
        </w:rPr>
        <w:t xml:space="preserve">Falsador de actualización de referencia.</w:t>
      </w:r>
      <w:r>
        <w:t xml:space="preserve"> </w:t>
      </w:r>
      <w:r>
        <w:t xml:space="preserve">Para</w:t>
      </w:r>
      <w:r>
        <w:t xml:space="preserve"> </w:t>
      </w:r>
      <m:oMath>
        <m:r>
          <m:t>L</m:t>
        </m:r>
        <m:r>
          <m:rPr>
            <m:sty m:val="p"/>
          </m:rPr>
          <m:t>=</m:t>
        </m:r>
        <m:r>
          <m:t>1</m:t>
        </m:r>
      </m:oMath>
      <w:r>
        <w:t xml:space="preserve">,</w:t>
      </w:r>
      <w:r>
        <w:t xml:space="preserve"> </w:t>
      </w:r>
      <m:oMath>
        <m:r>
          <m:t>x</m:t>
        </m:r>
        <m:r>
          <m:rPr>
            <m:sty m:val="p"/>
          </m:rPr>
          <m:t>=</m:t>
        </m:r>
        <m:r>
          <m:t>1</m:t>
        </m:r>
        <m:r>
          <m:rPr>
            <m:sty m:val="p"/>
          </m:rPr>
          <m:t>/</m:t>
        </m:r>
        <m:r>
          <m:t>4</m:t>
        </m:r>
      </m:oMath>
      <w:r>
        <w:t xml:space="preserve"> </w:t>
      </w:r>
      <w:r>
        <w:t xml:space="preserve">e</w:t>
      </w:r>
      <w:r>
        <w:t xml:space="preserve"> </w:t>
      </w:r>
      <m:oMath>
        <m:r>
          <m:t>y</m:t>
        </m:r>
        <m:r>
          <m:rPr>
            <m:sty m:val="p"/>
          </m:rPr>
          <m:t>=</m:t>
        </m:r>
        <m:r>
          <m:t>9</m:t>
        </m:r>
        <m:r>
          <m:rPr>
            <m:sty m:val="p"/>
          </m:rPr>
          <m:t>/</m:t>
        </m:r>
        <m:r>
          <m:t>4</m:t>
        </m:r>
      </m:oMath>
      <w:r>
        <w:t xml:space="preserve"> </w:t>
      </w:r>
      <w:r>
        <w:t xml:space="preserve">comparten firma</w:t>
      </w:r>
      <w:r>
        <w:t xml:space="preserve"> </w:t>
      </w:r>
      <m:oMath>
        <m:r>
          <m:t>1</m:t>
        </m:r>
        <m:r>
          <m:rPr>
            <m:sty m:val="p"/>
          </m:rPr>
          <m:t>/</m:t>
        </m:r>
        <m:r>
          <m:t>4</m:t>
        </m:r>
      </m:oMath>
      <w:r>
        <w:t xml:space="preserve">. Cuando el espejo se desplaza a</w:t>
      </w:r>
      <w:r>
        <w:t xml:space="preserve"> </w:t>
      </w:r>
      <m:oMath>
        <m:r>
          <m:t>L</m:t>
        </m:r>
        <m:r>
          <m:rPr>
            <m:sty m:val="p"/>
          </m:rPr>
          <m:t>=</m:t>
        </m:r>
        <m:r>
          <m:t>2</m:t>
        </m:r>
      </m:oMath>
      <w:r>
        <w:t xml:space="preserve">, las firmas son</w:t>
      </w:r>
      <w:r>
        <w:t xml:space="preserve"> </w:t>
      </w:r>
      <m:oMath>
        <m:r>
          <m:t>1</m:t>
        </m:r>
        <m:r>
          <m:rPr>
            <m:sty m:val="p"/>
          </m:rPr>
          <m:t>/</m:t>
        </m:r>
        <m:r>
          <m:t>4</m:t>
        </m:r>
      </m:oMath>
      <w:r>
        <w:t xml:space="preserve"> </w:t>
      </w:r>
      <w:r>
        <w:t xml:space="preserve">y</w:t>
      </w:r>
      <w:r>
        <w:t xml:space="preserve"> </w:t>
      </w:r>
      <m:oMath>
        <m:r>
          <m:t>7</m:t>
        </m:r>
        <m:r>
          <m:rPr>
            <m:sty m:val="p"/>
          </m:rPr>
          <m:t>/</m:t>
        </m:r>
        <m:r>
          <m:t>4</m:t>
        </m:r>
      </m:oMath>
      <w:r>
        <w:t xml:space="preserve">. La información guardada por la firma antigua no determina la nueva. Dos estados que una referencia reunía pueden exigir respuestas diferentes ante un cambio admisible del escenario.</w:t>
      </w:r>
    </w:p>
    <w:p>
      <w:pPr>
        <w:pStyle w:val="BodyText"/>
      </w:pPr>
      <w:r>
        <w:t xml:space="preserve">Los laboratorios CME distinguen objetos que no deben mezclarse: el grupo completo de simetrías del tetraedro regular</w:t>
      </w:r>
      <w:r>
        <w:t xml:space="preserve"> </w:t>
      </w:r>
      <m:oMath>
        <m:sSub>
          <m:e>
            <m:r>
              <m:t>S</m:t>
            </m:r>
          </m:e>
          <m:sub>
            <m:r>
              <m:t>4</m:t>
            </m:r>
          </m:sub>
        </m:sSub>
      </m:oMath>
      <w:r>
        <w:t xml:space="preserve"> </w:t>
      </w:r>
      <w:r>
        <w:t xml:space="preserve">tiene 24 elementos (sus rotaciones forman</w:t>
      </w:r>
      <w:r>
        <w:t xml:space="preserve"> </w:t>
      </w:r>
      <m:oMath>
        <m:sSub>
          <m:e>
            <m:r>
              <m:t>A</m:t>
            </m:r>
          </m:e>
          <m:sub>
            <m:r>
              <m:t>4</m:t>
            </m:r>
          </m:sub>
        </m:sSub>
      </m:oMath>
      <w:r>
        <w:t xml:space="preserve">, de orden 12); el grupo hiperoctaédrico</w:t>
      </w:r>
      <w:r>
        <w:t xml:space="preserve"> </w:t>
      </w:r>
      <m:oMath>
        <m:sSub>
          <m:e>
            <m:r>
              <m:t>B</m:t>
            </m:r>
          </m:e>
          <m:sub>
            <m:r>
              <m:t>3</m:t>
            </m:r>
          </m:sub>
        </m:sSub>
      </m:oMath>
      <w:r>
        <w:t xml:space="preserve"> </w:t>
      </w:r>
      <w:r>
        <w:t xml:space="preserve">tiene 48; otro contrato, el producto libre de cuatro involuciones de CME-001, acumula</w:t>
      </w:r>
      <w:r>
        <w:t xml:space="preserve"> </w:t>
      </w:r>
      <m:oMath>
        <m:r>
          <m:t>2</m:t>
        </m:r>
        <m:r>
          <m:rPr>
            <m:sty m:val="p"/>
          </m:rPr>
          <m:t>⋅</m:t>
        </m:r>
        <m:sSup>
          <m:e>
            <m:r>
              <m:t>3</m:t>
            </m:r>
          </m:e>
          <m:sup>
            <m:r>
              <m:rPr>
                <m:sty m:val="p"/>
              </m:rPr>
              <m:t>ℓ</m:t>
            </m:r>
          </m:sup>
        </m:sSup>
        <m:r>
          <m:rPr>
            <m:sty m:val="p"/>
          </m:rPr>
          <m:t>−</m:t>
        </m:r>
        <m:r>
          <m:t>1</m:t>
        </m:r>
      </m:oMath>
      <w:r>
        <w:t xml:space="preserve"> </w:t>
      </w:r>
      <w:r>
        <w:t xml:space="preserve">palabras reducidas hasta longitud</w:t>
      </w:r>
      <w:r>
        <w:t xml:space="preserve"> </w:t>
      </w:r>
      <m:oMath>
        <m:r>
          <m:rPr>
            <m:sty m:val="p"/>
          </m:rPr>
          <m:t>ℓ</m:t>
        </m:r>
      </m:oMath>
      <w:r>
        <w:t xml:space="preserve">. Para el grupo triangular de Coxeter</w:t>
      </w:r>
      <w:r>
        <w:t xml:space="preserve"> </w:t>
      </w:r>
      <m:oMath>
        <m:d>
          <m:dPr>
            <m:begChr m:val="("/>
            <m:endChr m:val=")"/>
            <m:sepChr m:val=""/>
            <m:grow/>
          </m:dPr>
          <m:e>
            <m:r>
              <m:t>2</m:t>
            </m:r>
            <m:r>
              <m:rPr>
                <m:sty m:val="p"/>
              </m:rPr>
              <m:t>,</m:t>
            </m:r>
            <m:r>
              <m:t>3</m:t>
            </m:r>
            <m:r>
              <m:rPr>
                <m:sty m:val="p"/>
              </m:rPr>
              <m:t>,</m:t>
            </m:r>
            <m:r>
              <m:t>k</m:t>
            </m:r>
          </m:e>
        </m:d>
      </m:oMath>
      <w:r>
        <w:t xml:space="preserve">, el régimen es finito para</w:t>
      </w:r>
      <w:r>
        <w:t xml:space="preserve"> </w:t>
      </w:r>
      <m:oMath>
        <m:r>
          <m:t>k</m:t>
        </m:r>
        <m:r>
          <m:rPr>
            <m:sty m:val="p"/>
          </m:rPr>
          <m:t>=</m:t>
        </m:r>
        <m:r>
          <m:t>2</m:t>
        </m:r>
        <m:r>
          <m:rPr>
            <m:sty m:val="p"/>
          </m:rPr>
          <m:t>,</m:t>
        </m:r>
        <m:r>
          <m:t>3</m:t>
        </m:r>
        <m:r>
          <m:rPr>
            <m:sty m:val="p"/>
          </m:rPr>
          <m:t>,</m:t>
        </m:r>
        <m:r>
          <m:t>4</m:t>
        </m:r>
        <m:r>
          <m:rPr>
            <m:sty m:val="p"/>
          </m:rPr>
          <m:t>,</m:t>
        </m:r>
        <m:r>
          <m:t>5</m:t>
        </m:r>
      </m:oMath>
      <w:r>
        <w:t xml:space="preserve">, afín para</w:t>
      </w:r>
      <w:r>
        <w:t xml:space="preserve"> </w:t>
      </w:r>
      <m:oMath>
        <m:r>
          <m:t>k</m:t>
        </m:r>
        <m:r>
          <m:rPr>
            <m:sty m:val="p"/>
          </m:rPr>
          <m:t>=</m:t>
        </m:r>
        <m:r>
          <m:t>6</m:t>
        </m:r>
      </m:oMath>
      <w:r>
        <w:t xml:space="preserve"> </w:t>
      </w:r>
      <w:r>
        <w:t xml:space="preserve">e hiperbólico para</w:t>
      </w:r>
      <w:r>
        <w:t xml:space="preserve"> </w:t>
      </w:r>
      <m:oMath>
        <m:r>
          <m:t>k</m:t>
        </m:r>
        <m:r>
          <m:rPr>
            <m:sty m:val="p"/>
          </m:rPr>
          <m:t>≥</m:t>
        </m:r>
        <m:r>
          <m:t>7</m:t>
        </m:r>
      </m:oMath>
      <w:r>
        <w:t xml:space="preserve">. Las esferas iniciales de crecimiento de</w:t>
      </w:r>
      <w:r>
        <w:t xml:space="preserve"> </w:t>
      </w:r>
      <m:oMath>
        <m:d>
          <m:dPr>
            <m:begChr m:val="("/>
            <m:endChr m:val=")"/>
            <m:sepChr m:val=""/>
            <m:grow/>
          </m:dPr>
          <m:e>
            <m:r>
              <m:t>2</m:t>
            </m:r>
            <m:r>
              <m:rPr>
                <m:sty m:val="p"/>
              </m:rPr>
              <m:t>,</m:t>
            </m:r>
            <m:r>
              <m:t>3</m:t>
            </m:r>
            <m:r>
              <m:rPr>
                <m:sty m:val="p"/>
              </m:rPr>
              <m:t>,</m:t>
            </m:r>
            <m:r>
              <m:t>6</m:t>
            </m:r>
          </m:e>
        </m:d>
      </m:oMath>
      <w:r>
        <w:t xml:space="preserve"> </w:t>
      </w:r>
      <w:r>
        <w:t xml:space="preserve">y</w:t>
      </w:r>
      <w:r>
        <w:t xml:space="preserve"> </w:t>
      </w:r>
      <m:oMath>
        <m:d>
          <m:dPr>
            <m:begChr m:val="("/>
            <m:endChr m:val=")"/>
            <m:sepChr m:val=""/>
            <m:grow/>
          </m:dPr>
          <m:e>
            <m:r>
              <m:t>2</m:t>
            </m:r>
            <m:r>
              <m:rPr>
                <m:sty m:val="p"/>
              </m:rPr>
              <m:t>,</m:t>
            </m:r>
            <m:r>
              <m:t>3</m:t>
            </m:r>
            <m:r>
              <m:rPr>
                <m:sty m:val="p"/>
              </m:rPr>
              <m:t>,</m:t>
            </m:r>
            <m:r>
              <m:t>7</m:t>
            </m:r>
          </m:e>
        </m:d>
      </m:oMath>
      <w:r>
        <w:t xml:space="preserve"> </w:t>
      </w:r>
      <w:r>
        <w:t xml:space="preserve">coinciden hasta una profundidad finita y luego se separan, aun cuando los órdenes de una de sus relaciones por pares difieren (6 frente a 7).</w:t>
      </w:r>
    </w:p>
    <w:p>
      <w:pPr>
        <w:pStyle w:val="BodyText"/>
      </w:pPr>
      <w:r>
        <w:rPr>
          <w:b/>
          <w:bCs/>
        </w:rPr>
        <w:t xml:space="preserve">Lectura del programa.</w:t>
      </w:r>
      <w:r>
        <w:t xml:space="preserve"> </w:t>
      </w:r>
      <w:r>
        <w:t xml:space="preserve">Cerrar, repetir o crecer sin cota en un grupo son propiedades de ese grupo y de sus generadores; no se convierten por analogía en una cota sobre un algoritmo de 3-coloración. El interés es determinar qué objeto matemático</w:t>
      </w:r>
      <w:r>
        <w:t xml:space="preserve"> </w:t>
      </w:r>
      <w:r>
        <w:rPr>
          <w:i/>
          <w:iCs/>
        </w:rPr>
        <w:t xml:space="preserve">sí</w:t>
      </w:r>
      <w:r>
        <w:t xml:space="preserve"> </w:t>
      </w:r>
      <w:r>
        <w:t xml:space="preserve">conserva esa distinción entre relaciones locales y comportamiento global.</w:t>
      </w:r>
    </w:p>
    <w:bookmarkEnd w:id="24"/>
    <w:bookmarkStart w:id="25" w:name="X00d7e4df2b60d28ac56f320248c58584573ff76"/>
    <w:p>
      <w:pPr>
        <w:pStyle w:val="Heading2"/>
      </w:pPr>
      <w:r>
        <w:t xml:space="preserve">3. Esferas, C₄ y normalización común: otras realizaciones [O/T/I]</w:t>
      </w:r>
    </w:p>
    <w:p>
      <w:pPr>
        <w:pStyle w:val="FirstParagraph"/>
      </w:pPr>
      <w:r>
        <w:t xml:space="preserve">En el laboratorio de esferas, la posición de centros, sus contactos y la elección de relaciones determinan estructuras distintas. Tres centros no alineados determinan un plano; cuatro centros de esferas iguales mutuamente tangentes forman un tetraedro regular; cuatro esferas coplanares con contactos solo periféricos constituyen un circuito diferente. La selección de enlaces es parte del contrato, no una consecuencia de dibujar cuatro objetos.</w:t>
      </w:r>
    </w:p>
    <w:p>
      <w:pPr>
        <w:pStyle w:val="BodyText"/>
      </w:pPr>
      <w:r>
        <w:t xml:space="preserve">En el modelo escalar de un circuito</w:t>
      </w:r>
      <w:r>
        <w:t xml:space="preserve"> </w:t>
      </w:r>
      <m:oMath>
        <m:sSub>
          <m:e>
            <m:r>
              <m:t>C</m:t>
            </m:r>
          </m:e>
          <m:sub>
            <m:r>
              <m:t>4</m:t>
            </m:r>
          </m:sub>
        </m:sSub>
      </m:oMath>
      <w:r>
        <w:t xml:space="preserve"> </w:t>
      </w:r>
      <w:r>
        <w:t xml:space="preserve">con condición</w:t>
      </w:r>
      <w:r>
        <w:t xml:space="preserve"> </w:t>
      </w:r>
      <m:oMath>
        <m:sSub>
          <m:e>
            <m:r>
              <m:t>s</m:t>
            </m:r>
          </m:e>
          <m:sub>
            <m:r>
              <m:t>i</m:t>
            </m:r>
          </m:sub>
        </m:sSub>
        <m:r>
          <m:rPr>
            <m:sty m:val="p"/>
          </m:rPr>
          <m:t>+</m:t>
        </m:r>
        <m:sSub>
          <m:e>
            <m:r>
              <m:t>s</m:t>
            </m:r>
          </m:e>
          <m:sub>
            <m:r>
              <m:t>j</m:t>
            </m:r>
          </m:sub>
        </m:sSub>
        <m:r>
          <m:rPr>
            <m:sty m:val="p"/>
          </m:rPr>
          <m:t>=</m:t>
        </m:r>
        <m:r>
          <m:t>0</m:t>
        </m:r>
      </m:oMath>
      <w:r>
        <w:t xml:space="preserve"> </w:t>
      </w:r>
      <w:r>
        <w:t xml:space="preserve">sobre cada enlace, existe el modo</w:t>
      </w:r>
      <w:r>
        <w:t xml:space="preserve"> </w:t>
      </w:r>
      <m:oMath>
        <m:d>
          <m:dPr>
            <m:begChr m:val="("/>
            <m:endChr m:val=")"/>
            <m:sepChr m:val=""/>
            <m:grow/>
          </m:dPr>
          <m:e>
            <m:r>
              <m:t>a</m:t>
            </m:r>
            <m:r>
              <m:rPr>
                <m:sty m:val="p"/>
              </m:rPr>
              <m:t>,</m:t>
            </m:r>
            <m:r>
              <m:rPr>
                <m:sty m:val="p"/>
              </m:rPr>
              <m:t>−</m:t>
            </m:r>
            <m:r>
              <m:t>a</m:t>
            </m:r>
            <m:r>
              <m:rPr>
                <m:sty m:val="p"/>
              </m:rPr>
              <m:t>,</m:t>
            </m:r>
            <m:r>
              <m:t>a</m:t>
            </m:r>
            <m:r>
              <m:rPr>
                <m:sty m:val="p"/>
              </m:rPr>
              <m:t>,</m:t>
            </m:r>
            <m:r>
              <m:rPr>
                <m:sty m:val="p"/>
              </m:rPr>
              <m:t>−</m:t>
            </m:r>
            <m:r>
              <m:t>a</m:t>
            </m:r>
          </m:e>
        </m:d>
      </m:oMath>
      <w:r>
        <w:t xml:space="preserve">. Si se exige esa misma condición sobre las seis aristas de</w:t>
      </w:r>
      <w:r>
        <w:t xml:space="preserve"> </w:t>
      </w:r>
      <m:oMath>
        <m:sSub>
          <m:e>
            <m:r>
              <m:t>K</m:t>
            </m:r>
          </m:e>
          <m:sub>
            <m:r>
              <m:t>4</m:t>
            </m:r>
          </m:sub>
        </m:sSub>
      </m:oMath>
      <w:r>
        <w:t xml:space="preserve">, el modo no nulo desaparece. Es una diferencia algebraica exacta entre las</w:t>
      </w:r>
      <w:r>
        <w:t xml:space="preserve"> </w:t>
      </w:r>
      <w:r>
        <w:rPr>
          <w:b/>
          <w:bCs/>
        </w:rPr>
        <w:t xml:space="preserve">reglas de relación</w:t>
      </w:r>
      <w:r>
        <w:t xml:space="preserve"> </w:t>
      </w:r>
      <w:r>
        <w:t xml:space="preserve">declaradas, no una ley óptica general.</w:t>
      </w:r>
    </w:p>
    <w:p>
      <w:pPr>
        <w:pStyle w:val="BodyText"/>
      </w:pPr>
      <w:r>
        <w:t xml:space="preserve">La rama R–01 añade un control aritmético de continuidad. Para la referencia</w:t>
      </w:r>
      <w:r>
        <w:t xml:space="preserve"> </w:t>
      </w:r>
      <m:oMath>
        <m:sSub>
          <m:e>
            <m:r>
              <m:t>Φ</m:t>
            </m:r>
          </m:e>
          <m:sub>
            <m:r>
              <m:t>N</m:t>
            </m:r>
          </m:sub>
        </m:sSub>
        <m:d>
          <m:dPr>
            <m:begChr m:val="("/>
            <m:endChr m:val=")"/>
            <m:sepChr m:val=""/>
            <m:grow/>
          </m:dPr>
          <m:e>
            <m:r>
              <m:t>x</m:t>
            </m:r>
          </m:e>
        </m:d>
        <m:r>
          <m:rPr>
            <m:sty m:val="p"/>
          </m:rPr>
          <m:t>=</m:t>
        </m:r>
        <m:r>
          <m:t>x</m:t>
        </m:r>
        <m:r>
          <m:t> </m:t>
        </m:r>
        <m:r>
          <m:rPr>
            <m:sty m:val="p"/>
          </m:rPr>
          <m:t>mod</m:t>
        </m:r>
        <m:r>
          <m:t> </m:t>
        </m:r>
        <m:r>
          <m:t>N</m:t>
        </m:r>
      </m:oMath>
      <w:r>
        <w:t xml:space="preserve"> </w:t>
      </w:r>
      <w:r>
        <w:t xml:space="preserve">y una nueva consulta</w:t>
      </w:r>
      <w:r>
        <w:t xml:space="preserve"> </w:t>
      </w:r>
      <m:oMath>
        <m:sSub>
          <m:e>
            <m:r>
              <m:t>d</m:t>
            </m:r>
          </m:e>
          <m:sub>
            <m:r>
              <m:t>p</m:t>
            </m:r>
          </m:sub>
        </m:sSub>
        <m:d>
          <m:dPr>
            <m:begChr m:val="("/>
            <m:endChr m:val=")"/>
            <m:sepChr m:val=""/>
            <m:grow/>
          </m:dPr>
          <m:e>
            <m:r>
              <m:t>x</m:t>
            </m:r>
          </m:e>
        </m:d>
        <m:r>
          <m:rPr>
            <m:sty m:val="p"/>
          </m:rPr>
          <m:t>=</m:t>
        </m:r>
        <m:r>
          <m:t>x</m:t>
        </m:r>
        <m:r>
          <m:t> </m:t>
        </m:r>
        <m:r>
          <m:rPr>
            <m:sty m:val="p"/>
          </m:rPr>
          <m:t>mod</m:t>
        </m:r>
        <m:r>
          <m:t> </m:t>
        </m:r>
        <m:r>
          <m:t>p</m:t>
        </m:r>
      </m:oMath>
      <w:r>
        <w:t xml:space="preserve">, con</w:t>
      </w:r>
      <w:r>
        <w:t xml:space="preserve"> </w:t>
      </w:r>
      <m:oMath>
        <m:r>
          <m:t>p</m:t>
        </m:r>
      </m:oMath>
      <w:r>
        <w:t xml:space="preserve"> </w:t>
      </w:r>
      <w:r>
        <w:t xml:space="preserve">primo y</w:t>
      </w:r>
      <w:r>
        <w:t xml:space="preserve"> </w:t>
      </w:r>
      <m:oMath>
        <m:r>
          <m:rPr>
            <m:sty m:val="p"/>
          </m:rPr>
          <m:t>gcd</m:t>
        </m:r>
        <m:d>
          <m:dPr>
            <m:begChr m:val="("/>
            <m:endChr m:val=")"/>
            <m:sepChr m:val=""/>
            <m:grow/>
          </m:dPr>
          <m:e>
            <m:r>
              <m:t>N</m:t>
            </m:r>
            <m:r>
              <m:rPr>
                <m:sty m:val="p"/>
              </m:rPr>
              <m:t>,</m:t>
            </m:r>
            <m:r>
              <m:t>p</m:t>
            </m:r>
          </m:e>
        </m:d>
        <m:r>
          <m:rPr>
            <m:sty m:val="p"/>
          </m:rPr>
          <m:t>=</m:t>
        </m:r>
        <m:r>
          <m:t>1</m:t>
        </m:r>
      </m:oMath>
      <w:r>
        <w:t xml:space="preserve">, la referencia común es</w:t>
      </w:r>
    </w:p>
    <w:p>
      <w:pPr>
        <w:pStyle w:val="BodyText"/>
      </w:pPr>
      <m:oMathPara>
        <m:oMathParaPr>
          <m:jc m:val="center"/>
        </m:oMathParaPr>
        <m:oMath>
          <m:r>
            <m:t>L</m:t>
          </m:r>
          <m:r>
            <m:rPr>
              <m:sty m:val="p"/>
            </m:rPr>
            <m:t>=</m:t>
          </m:r>
          <m:r>
            <m:rPr>
              <m:sty m:val="p"/>
            </m:rPr>
            <m:t>mcm</m:t>
          </m:r>
          <m:d>
            <m:dPr>
              <m:begChr m:val="("/>
              <m:endChr m:val=")"/>
              <m:sepChr m:val=""/>
              <m:grow/>
            </m:dPr>
            <m:e>
              <m:r>
                <m:t>N</m:t>
              </m:r>
              <m:r>
                <m:rPr>
                  <m:sty m:val="p"/>
                </m:rPr>
                <m:t>,</m:t>
              </m:r>
              <m:r>
                <m:t>p</m:t>
              </m:r>
            </m:e>
          </m:d>
          <m:r>
            <m:rPr>
              <m:sty m:val="p"/>
            </m:rPr>
            <m:t>=</m:t>
          </m:r>
          <m:r>
            <m:t>N</m:t>
          </m:r>
          <m:r>
            <m:t>p</m:t>
          </m:r>
          <m:r>
            <m:rPr>
              <m:sty m:val="p"/>
            </m:rPr>
            <m:t>.</m:t>
          </m:r>
        </m:oMath>
      </m:oMathPara>
    </w:p>
    <w:p>
      <w:pPr>
        <w:pStyle w:val="FirstParagraph"/>
      </w:pPr>
      <w:r>
        <w:t xml:space="preserve">Por el teorema chino del resto, bajo</w:t>
      </w:r>
      <w:r>
        <w:t xml:space="preserve"> </w:t>
      </w:r>
      <m:oMath>
        <m:r>
          <m:rPr>
            <m:sty m:val="p"/>
          </m:rPr>
          <m:t>gcd</m:t>
        </m:r>
        <m:d>
          <m:dPr>
            <m:begChr m:val="("/>
            <m:endChr m:val=")"/>
            <m:sepChr m:val=""/>
            <m:grow/>
          </m:dPr>
          <m:e>
            <m:r>
              <m:t>N</m:t>
            </m:r>
            <m:r>
              <m:rPr>
                <m:sty m:val="p"/>
              </m:rPr>
              <m:t>,</m:t>
            </m:r>
            <m:r>
              <m:t>p</m:t>
            </m:r>
          </m:e>
        </m:d>
        <m:r>
          <m:rPr>
            <m:sty m:val="p"/>
          </m:rPr>
          <m:t>=</m:t>
        </m:r>
        <m:r>
          <m:t>1</m:t>
        </m:r>
      </m:oMath>
      <w:r>
        <w:t xml:space="preserve"> </w:t>
      </w:r>
      <w:r>
        <w:t xml:space="preserve">existe un isomorfismo de grupos de residuos:</w:t>
      </w:r>
    </w:p>
    <w:p>
      <w:pPr>
        <w:pStyle w:val="BodyText"/>
      </w:pPr>
      <m:oMathPara>
        <m:oMathParaPr>
          <m:jc m:val="center"/>
        </m:oMathParaPr>
        <m:oMath>
          <m:r>
            <m:rPr>
              <m:sty m:val="p"/>
              <m:scr m:val="double-struck"/>
            </m:rPr>
            <m:t>Z</m:t>
          </m:r>
          <m:r>
            <m:rPr>
              <m:sty m:val="p"/>
            </m:rPr>
            <m:t>/</m:t>
          </m:r>
          <m:r>
            <m:t>L</m:t>
          </m:r>
          <m:r>
            <m:rPr>
              <m:sty m:val="p"/>
              <m:scr m:val="double-struck"/>
            </m:rPr>
            <m:t>Z</m:t>
          </m:r>
          <m:r>
            <m:rPr>
              <m:sty m:val="p"/>
            </m:rPr>
            <m:t>≅</m:t>
          </m:r>
          <m:r>
            <m:rPr>
              <m:sty m:val="p"/>
              <m:scr m:val="double-struck"/>
            </m:rPr>
            <m:t>Z</m:t>
          </m:r>
          <m:r>
            <m:rPr>
              <m:sty m:val="p"/>
            </m:rPr>
            <m:t>/</m:t>
          </m:r>
          <m:r>
            <m:t>N</m:t>
          </m:r>
          <m:r>
            <m:rPr>
              <m:sty m:val="p"/>
              <m:scr m:val="double-struck"/>
            </m:rPr>
            <m:t>Z</m:t>
          </m:r>
          <m:r>
            <m:rPr>
              <m:sty m:val="p"/>
            </m:rPr>
            <m:t>×</m:t>
          </m:r>
          <m:r>
            <m:rPr>
              <m:sty m:val="p"/>
              <m:scr m:val="double-struck"/>
            </m:rPr>
            <m:t>Z</m:t>
          </m:r>
          <m:r>
            <m:rPr>
              <m:sty m:val="p"/>
            </m:rPr>
            <m:t>/</m:t>
          </m:r>
          <m:r>
            <m:t>p</m:t>
          </m:r>
          <m:r>
            <m:rPr>
              <m:sty m:val="p"/>
              <m:scr m:val="double-struck"/>
            </m:rPr>
            <m:t>Z</m:t>
          </m:r>
          <m:r>
            <m:rPr>
              <m:sty m:val="p"/>
            </m:rPr>
            <m:t>.</m:t>
          </m:r>
        </m:oMath>
      </m:oMathPara>
    </w:p>
    <w:p>
      <w:pPr>
        <w:pStyle w:val="FirstParagraph"/>
      </w:pPr>
      <w:r>
        <w:t xml:space="preserve">Cada clase módulo</w:t>
      </w:r>
      <w:r>
        <w:t xml:space="preserve"> </w:t>
      </w:r>
      <m:oMath>
        <m:r>
          <m:t>N</m:t>
        </m:r>
      </m:oMath>
      <w:r>
        <w:t xml:space="preserve"> </w:t>
      </w:r>
      <w:r>
        <w:t xml:space="preserve">se refina en</w:t>
      </w:r>
      <w:r>
        <w:t xml:space="preserve"> </w:t>
      </w:r>
      <m:oMath>
        <m:r>
          <m:t>p</m:t>
        </m:r>
      </m:oMath>
      <w:r>
        <w:t xml:space="preserve"> </w:t>
      </w:r>
      <w:r>
        <w:t xml:space="preserve">clases módulo</w:t>
      </w:r>
      <w:r>
        <w:t xml:space="preserve"> </w:t>
      </w:r>
      <m:oMath>
        <m:r>
          <m:t>L</m:t>
        </m:r>
      </m:oMath>
      <w:r>
        <w:t xml:space="preserve"> </w:t>
      </w:r>
      <w:r>
        <w:t xml:space="preserve">y conserva su proyección a la referencia anterior. La</w:t>
      </w:r>
      <w:r>
        <w:t xml:space="preserve"> </w:t>
      </w:r>
      <w:r>
        <w:rPr>
          <w:b/>
          <w:bCs/>
        </w:rPr>
        <w:t xml:space="preserve">identidad de fases normalizadas</w:t>
      </w:r>
      <w:r>
        <w:t xml:space="preserve">, distinta de la proyección de residuos, es:</w:t>
      </w:r>
    </w:p>
    <w:p>
      <w:pPr>
        <w:pStyle w:val="BodyText"/>
      </w:pPr>
      <m:oMathPara>
        <m:oMathParaPr>
          <m:jc m:val="center"/>
        </m:oMathParaPr>
        <m:oMath>
          <m:f>
            <m:fPr>
              <m:type m:val="bar"/>
            </m:fPr>
            <m:num>
              <m:r>
                <m:t>j</m:t>
              </m:r>
            </m:num>
            <m:den>
              <m:r>
                <m:t>N</m:t>
              </m:r>
            </m:den>
          </m:f>
          <m:r>
            <m:rPr>
              <m:sty m:val="p"/>
            </m:rPr>
            <m:t>=</m:t>
          </m:r>
          <m:f>
            <m:fPr>
              <m:type m:val="bar"/>
            </m:fPr>
            <m:num>
              <m:r>
                <m:t>p</m:t>
              </m:r>
              <m:r>
                <m:t>j</m:t>
              </m:r>
            </m:num>
            <m:den>
              <m:r>
                <m:t>L</m:t>
              </m:r>
            </m:den>
          </m:f>
          <m:r>
            <m:rPr>
              <m:sty m:val="p"/>
            </m:rPr>
            <m:t>.</m:t>
          </m:r>
        </m:oMath>
      </m:oMathPara>
    </w:p>
    <w:p>
      <w:pPr>
        <w:pStyle w:val="FirstParagraph"/>
      </w:pPr>
      <w:r>
        <w:t xml:space="preserve">La igualdad anterior compara posiciones de una malla normalizada;</w:t>
      </w:r>
      <w:r>
        <w:t xml:space="preserve"> </w:t>
      </w:r>
      <w:r>
        <w:rPr>
          <w:b/>
          <w:bCs/>
        </w:rPr>
        <w:t xml:space="preserve">no convierte la aplicación</w:t>
      </w:r>
      <w:r>
        <w:rPr>
          <w:b/>
          <w:bCs/>
        </w:rPr>
        <w:t xml:space="preserve"> </w:t>
      </w:r>
      <m:oMath>
        <m:r>
          <m:t>j</m:t>
        </m:r>
        <m:r>
          <m:rPr>
            <m:sty m:val="p"/>
          </m:rPr>
          <m:t>↦</m:t>
        </m:r>
        <m:r>
          <m:t>p</m:t>
        </m:r>
        <m:r>
          <m:t>j</m:t>
        </m:r>
      </m:oMath>
      <w:r>
        <w:rPr>
          <w:b/>
          <w:bCs/>
        </w:rPr>
        <w:t xml:space="preserve"> </w:t>
      </w:r>
      <w:r>
        <w:rPr>
          <w:b/>
          <w:bCs/>
        </w:rPr>
        <w:t xml:space="preserve">en una sección de la proyección natural de residuos</w:t>
      </w:r>
      <w:r>
        <w:t xml:space="preserve">. Las actualizaciones afines compatibles pueden conmutar con las proyecciones aunque no sean inyectivas: por ejemplo, la multiplicación por</w:t>
      </w:r>
      <w:r>
        <w:t xml:space="preserve"> </w:t>
      </w:r>
      <m:oMath>
        <m:r>
          <m:t>0</m:t>
        </m:r>
      </m:oMath>
      <w:r>
        <w:t xml:space="preserve"> </w:t>
      </w:r>
      <w:r>
        <w:t xml:space="preserve">colapsa diferencias.</w:t>
      </w:r>
      <w:r>
        <w:t xml:space="preserve"> </w:t>
      </w:r>
      <w:r>
        <w:rPr>
          <w:b/>
          <w:bCs/>
        </w:rPr>
        <w:t xml:space="preserve">Compatibilidad entre referencias no equivale a conservación íntegra de todas las distinciones</w:t>
      </w:r>
      <w:r>
        <w:t xml:space="preserve">.</w:t>
      </w:r>
    </w:p>
    <w:p>
      <w:pPr>
        <w:pStyle w:val="BodyText"/>
      </w:pPr>
      <w:r>
        <w:t xml:space="preserve">Estos modelos responden a una pregunta común sobre relación, referencia y continuidad. Para afirmar un puente físico o un mismo mecanismo matemático universal será necesario definir qué operaciones se preservan entre los modelos.</w:t>
      </w:r>
    </w:p>
    <w:bookmarkEnd w:id="25"/>
    <w:bookmarkStart w:id="26" w:name="X3a2c36a8018bac3bf55e3f1e2ca1954b4b4137d"/>
    <w:p>
      <w:pPr>
        <w:pStyle w:val="Heading2"/>
      </w:pPr>
      <w:r>
        <w:t xml:space="preserve">4. Contrato lógico-matemático: referencia, consulta y continuación [C/T]</w:t>
      </w:r>
    </w:p>
    <w:p>
      <w:pPr>
        <w:pStyle w:val="FirstParagraph"/>
      </w:pPr>
      <w:r>
        <w:t xml:space="preserve">Para una realización declaramos</w:t>
      </w:r>
    </w:p>
    <w:p>
      <w:pPr>
        <w:pStyle w:val="BodyText"/>
      </w:pPr>
      <m:oMathPara>
        <m:oMathParaPr>
          <m:jc m:val="center"/>
        </m:oMathParaPr>
        <m:oMath>
          <m:r>
            <m:rPr>
              <m:sty m:val="p"/>
              <m:scr m:val="fraktur"/>
            </m:rPr>
            <m:t>R</m:t>
          </m:r>
          <m:r>
            <m:rPr>
              <m:sty m:val="p"/>
            </m:rPr>
            <m:t>=</m:t>
          </m:r>
          <m:d>
            <m:dPr>
              <m:begChr m:val="("/>
              <m:endChr m:val=")"/>
              <m:sepChr m:val=""/>
              <m:grow/>
            </m:dPr>
            <m:e>
              <m:r>
                <m:t>X</m:t>
              </m:r>
              <m:r>
                <m:rPr>
                  <m:sty m:val="p"/>
                </m:rPr>
                <m:t>,</m:t>
              </m:r>
              <m:r>
                <m:t>Q</m:t>
              </m:r>
              <m:r>
                <m:rPr>
                  <m:sty m:val="p"/>
                </m:rPr>
                <m:t>,</m:t>
              </m:r>
              <m:r>
                <m:rPr>
                  <m:sty m:val="p"/>
                  <m:scr m:val="script"/>
                </m:rPr>
                <m:t>C</m:t>
              </m:r>
              <m:r>
                <m:rPr>
                  <m:sty m:val="p"/>
                </m:rPr>
                <m:t>,</m:t>
              </m:r>
              <m:r>
                <m:t>Φ</m:t>
              </m:r>
              <m:r>
                <m:rPr>
                  <m:sty m:val="p"/>
                </m:rPr>
                <m:t>,</m:t>
              </m:r>
              <m:r>
                <m:rPr>
                  <m:sty m:val="p"/>
                  <m:scr m:val="script"/>
                </m:rPr>
                <m:t>A</m:t>
              </m:r>
              <m:r>
                <m:rPr>
                  <m:sty m:val="p"/>
                </m:rPr>
                <m:t>,</m:t>
              </m:r>
              <m:r>
                <m:t>κ</m:t>
              </m:r>
            </m:e>
          </m:d>
          <m:r>
            <m:rPr>
              <m:sty m:val="p"/>
            </m:rPr>
            <m:t>,</m:t>
          </m:r>
        </m:oMath>
      </m:oMathPara>
    </w:p>
    <w:p>
      <w:pPr>
        <w:pStyle w:val="FirstParagraph"/>
      </w:pPr>
      <w:r>
        <w:t xml:space="preserve">donde</w:t>
      </w:r>
      <w:r>
        <w:t xml:space="preserve"> </w:t>
      </w:r>
      <m:oMath>
        <m:r>
          <m:t>X</m:t>
        </m:r>
      </m:oMath>
      <w:r>
        <w:t xml:space="preserve"> </w:t>
      </w:r>
      <w:r>
        <w:t xml:space="preserve">son estados,</w:t>
      </w:r>
      <w:r>
        <w:t xml:space="preserve"> </w:t>
      </w:r>
      <m:oMath>
        <m:r>
          <m:t>Q</m:t>
        </m:r>
        <m:r>
          <m:rPr>
            <m:sty m:val="p"/>
          </m:rPr>
          <m:t>:</m:t>
        </m:r>
        <m:r>
          <m:t>X</m:t>
        </m:r>
        <m:r>
          <m:rPr>
            <m:sty m:val="p"/>
          </m:rPr>
          <m:t>→</m:t>
        </m:r>
        <m:r>
          <m:t>Y</m:t>
        </m:r>
      </m:oMath>
      <w:r>
        <w:t xml:space="preserve"> </w:t>
      </w:r>
      <w:r>
        <w:t xml:space="preserve">la consulta,</w:t>
      </w:r>
      <w:r>
        <w:t xml:space="preserve"> </w:t>
      </w:r>
      <m:oMath>
        <m:r>
          <m:rPr>
            <m:sty m:val="p"/>
            <m:scr m:val="script"/>
          </m:rPr>
          <m:t>C</m:t>
        </m:r>
      </m:oMath>
      <w:r>
        <w:t xml:space="preserve"> </w:t>
      </w:r>
      <w:r>
        <w:t xml:space="preserve">las continuaciones admitidas,</w:t>
      </w:r>
      <w:r>
        <w:t xml:space="preserve"> </w:t>
      </w:r>
      <m:oMath>
        <m:r>
          <m:t>Φ</m:t>
        </m:r>
        <m:r>
          <m:rPr>
            <m:sty m:val="p"/>
          </m:rPr>
          <m:t>:</m:t>
        </m:r>
        <m:r>
          <m:t>X</m:t>
        </m:r>
        <m:r>
          <m:rPr>
            <m:sty m:val="p"/>
          </m:rPr>
          <m:t>→</m:t>
        </m:r>
        <m:r>
          <m:t>S</m:t>
        </m:r>
      </m:oMath>
      <w:r>
        <w:t xml:space="preserve"> </w:t>
      </w:r>
      <w:r>
        <w:t xml:space="preserve">una firma o referencia observable,</w:t>
      </w:r>
      <w:r>
        <w:t xml:space="preserve"> </w:t>
      </w:r>
      <m:oMath>
        <m:r>
          <m:rPr>
            <m:sty m:val="p"/>
            <m:scr m:val="script"/>
          </m:rPr>
          <m:t>A</m:t>
        </m:r>
      </m:oMath>
      <w:r>
        <w:t xml:space="preserve"> </w:t>
      </w:r>
      <w:r>
        <w:t xml:space="preserve">las operaciones efectivas y</w:t>
      </w:r>
      <w:r>
        <w:t xml:space="preserve"> </w:t>
      </w:r>
      <m:oMath>
        <m:r>
          <m:t>κ</m:t>
        </m:r>
      </m:oMath>
      <w:r>
        <w:t xml:space="preserve"> </w:t>
      </w:r>
      <w:r>
        <w:t xml:space="preserve">el costo de codificar, construir, actualizar, almacenar, consultar y certificar. Una unidad autorreferenciada puede requerir además referencia</w:t>
      </w:r>
      <w:r>
        <w:t xml:space="preserve"> </w:t>
      </w:r>
      <w:r>
        <w:rPr>
          <w:b/>
          <w:bCs/>
        </w:rPr>
        <w:t xml:space="preserve">interna</w:t>
      </w:r>
      <w:r>
        <w:t xml:space="preserve"> </w:t>
      </w:r>
      <m:oMath>
        <m:sSub>
          <m:e>
            <m:r>
              <m:t>Ψ</m:t>
            </m:r>
          </m:e>
          <m:sub>
            <m:r>
              <m:t>U</m:t>
            </m:r>
          </m:sub>
        </m:sSub>
      </m:oMath>
      <w:r>
        <w:t xml:space="preserve">, relaciones</w:t>
      </w:r>
      <w:r>
        <w:t xml:space="preserve"> </w:t>
      </w:r>
      <m:oMath>
        <m:sSub>
          <m:e>
            <m:r>
              <m:t>R</m:t>
            </m:r>
          </m:e>
          <m:sub>
            <m:r>
              <m:t>U</m:t>
            </m:r>
          </m:sub>
        </m:sSub>
      </m:oMath>
      <w:r>
        <w:t xml:space="preserve"> </w:t>
      </w:r>
      <w:r>
        <w:t xml:space="preserve">y transformaciones</w:t>
      </w:r>
      <w:r>
        <w:t xml:space="preserve"> </w:t>
      </w:r>
      <m:oMath>
        <m:sSub>
          <m:e>
            <m:r>
              <m:t>T</m:t>
            </m:r>
          </m:e>
          <m:sub>
            <m:r>
              <m:t>U</m:t>
            </m:r>
          </m:sub>
        </m:sSub>
      </m:oMath>
      <w:r>
        <w:t xml:space="preserve">:</w:t>
      </w:r>
      <w:r>
        <w:t xml:space="preserve"> </w:t>
      </w:r>
      <m:oMath>
        <m:r>
          <m:t>Φ</m:t>
        </m:r>
      </m:oMath>
      <w:r>
        <w:t xml:space="preserve"> </w:t>
      </w:r>
      <w:r>
        <w:t xml:space="preserve">no debe sustituir silenciosamente esa información interna.</w:t>
      </w:r>
    </w:p>
    <w:p>
      <w:pPr>
        <w:pStyle w:val="BodyText"/>
      </w:pPr>
      <w:r>
        <w:rPr>
          <w:b/>
          <w:bCs/>
        </w:rPr>
        <w:t xml:space="preserve">Equivalencia por continuaciones (MF-106).</w:t>
      </w:r>
      <w:r>
        <w:t xml:space="preserve"> </w:t>
      </w:r>
      <w:r>
        <w:t xml:space="preserve">Dados los operadores</w:t>
      </w:r>
      <w:r>
        <w:t xml:space="preserve"> </w:t>
      </w:r>
      <m:oMath>
        <m:sSub>
          <m:e>
            <m:r>
              <m:t>T</m:t>
            </m:r>
          </m:e>
          <m:sub>
            <m:r>
              <m:t>c</m:t>
            </m:r>
          </m:sub>
        </m:sSub>
      </m:oMath>
      <w:r>
        <w:t xml:space="preserve"> </w:t>
      </w:r>
      <w:r>
        <w:t xml:space="preserve">correspondientes a las continuaciones, definimos</w:t>
      </w:r>
    </w:p>
    <w:p>
      <w:pPr>
        <w:pStyle w:val="BodyText"/>
      </w:pPr>
      <m:oMathPara>
        <m:oMathParaPr>
          <m:jc m:val="center"/>
        </m:oMathParaPr>
        <m:oMath>
          <m:r>
            <m:t>x</m:t>
          </m:r>
          <m:sSub>
            <m:e>
              <m:r>
                <m:rPr>
                  <m:sty m:val="p"/>
                </m:rPr>
                <m:t>≡</m:t>
              </m:r>
            </m:e>
            <m:sub>
              <m:r>
                <m:t>Q</m:t>
              </m:r>
              <m:r>
                <m:rPr>
                  <m:sty m:val="p"/>
                </m:rPr>
                <m:t>,</m:t>
              </m:r>
              <m:r>
                <m:rPr>
                  <m:sty m:val="p"/>
                  <m:scr m:val="script"/>
                </m:rPr>
                <m:t>C</m:t>
              </m:r>
            </m:sub>
          </m:sSub>
          <m:r>
            <m:t>y</m:t>
          </m:r>
          <m:r>
            <m:t> </m:t>
          </m:r>
          <m:r>
            <m:rPr>
              <m:sty m:val="p"/>
            </m:rPr>
            <m:t>⇔</m:t>
          </m:r>
          <m:r>
            <m:t> </m:t>
          </m:r>
          <m:r>
            <m:t>Q</m:t>
          </m:r>
          <m:d>
            <m:dPr>
              <m:begChr m:val="("/>
              <m:endChr m:val=")"/>
              <m:sepChr m:val=""/>
              <m:grow/>
            </m:dPr>
            <m:e>
              <m:sSub>
                <m:e>
                  <m:r>
                    <m:t>T</m:t>
                  </m:r>
                </m:e>
                <m:sub>
                  <m:r>
                    <m:t>c</m:t>
                  </m:r>
                </m:sub>
              </m:sSub>
              <m:r>
                <m:t>x</m:t>
              </m:r>
            </m:e>
          </m:d>
          <m:r>
            <m:rPr>
              <m:sty m:val="p"/>
            </m:rPr>
            <m:t>=</m:t>
          </m:r>
          <m:r>
            <m:t>Q</m:t>
          </m:r>
          <m:d>
            <m:dPr>
              <m:begChr m:val="("/>
              <m:endChr m:val=")"/>
              <m:sepChr m:val=""/>
              <m:grow/>
            </m:dPr>
            <m:e>
              <m:sSub>
                <m:e>
                  <m:r>
                    <m:t>T</m:t>
                  </m:r>
                </m:e>
                <m:sub>
                  <m:r>
                    <m:t>c</m:t>
                  </m:r>
                </m:sub>
              </m:sSub>
              <m:r>
                <m:t>y</m:t>
              </m:r>
            </m:e>
          </m:d>
          <m:r>
            <m:t> </m:t>
          </m:r>
          <m:r>
            <m:rPr>
              <m:sty m:val="p"/>
            </m:rPr>
            <m:t>∀</m:t>
          </m:r>
          <m:r>
            <m:t>c</m:t>
          </m:r>
          <m:r>
            <m:rPr>
              <m:sty m:val="p"/>
            </m:rPr>
            <m:t>∈</m:t>
          </m:r>
          <m:r>
            <m:rPr>
              <m:sty m:val="p"/>
              <m:scr m:val="script"/>
            </m:rPr>
            <m:t>C</m:t>
          </m:r>
          <m:r>
            <m:rPr>
              <m:sty m:val="p"/>
            </m:rPr>
            <m:t>.</m:t>
          </m:r>
        </m:oMath>
      </m:oMathPara>
    </w:p>
    <w:p>
      <w:pPr>
        <w:pStyle w:val="FirstParagraph"/>
      </w:pPr>
      <w:r>
        <w:t xml:space="preserve">Si</w:t>
      </w:r>
      <w:r>
        <w:t xml:space="preserve"> </w:t>
      </w:r>
      <m:oMath>
        <m:r>
          <m:rPr>
            <m:sty m:val="p"/>
            <m:scr m:val="script"/>
          </m:rPr>
          <m:t>C</m:t>
        </m:r>
      </m:oMath>
      <w:r>
        <w:t xml:space="preserve"> </w:t>
      </w:r>
      <w:r>
        <w:t xml:space="preserve">contiene la identidad y es cerrada bajo composición,</w:t>
      </w:r>
      <w:r>
        <w:t xml:space="preserve"> </w:t>
      </w:r>
      <m:oMath>
        <m:r>
          <m:t>Q</m:t>
        </m:r>
      </m:oMath>
      <w:r>
        <w:t xml:space="preserve"> </w:t>
      </w:r>
      <w:r>
        <w:t xml:space="preserve">y las continuaciones descienden al cociente</w:t>
      </w:r>
      <w:r>
        <w:t xml:space="preserve"> </w:t>
      </w:r>
      <m:oMath>
        <m:r>
          <m:t>X</m:t>
        </m:r>
        <m:r>
          <m:rPr>
            <m:sty m:val="p"/>
          </m:rPr>
          <m:t>/</m:t>
        </m:r>
        <m:r>
          <m:t>​</m:t>
        </m:r>
        <m:sSub>
          <m:e>
            <m:r>
              <m:rPr>
                <m:sty m:val="p"/>
              </m:rPr>
              <m:t>≡</m:t>
            </m:r>
          </m:e>
          <m:sub>
            <m:r>
              <m:t>Q</m:t>
            </m:r>
            <m:r>
              <m:rPr>
                <m:sty m:val="p"/>
              </m:rPr>
              <m:t>,</m:t>
            </m:r>
            <m:r>
              <m:rPr>
                <m:sty m:val="p"/>
                <m:scr m:val="script"/>
              </m:rPr>
              <m:t>C</m:t>
            </m:r>
          </m:sub>
        </m:sSub>
      </m:oMath>
      <w:r>
        <w:t xml:space="preserve">. Es un resultado conocido de equivalencia observacional, emparentado con Myhill–Nerode. Caracteriza exactamente las distinciones que toda representación suficiente para ese contrato debe conservar.</w:t>
      </w:r>
    </w:p>
    <w:p>
      <w:pPr>
        <w:pStyle w:val="BodyText"/>
      </w:pPr>
      <w:r>
        <w:rPr>
          <w:b/>
          <w:bCs/>
        </w:rPr>
        <w:t xml:space="preserve">Criterio de actualización (MF-97).</w:t>
      </w:r>
      <w:r>
        <w:t xml:space="preserve"> </w:t>
      </w:r>
      <w:r>
        <w:t xml:space="preserve">Para una transformación</w:t>
      </w:r>
      <w:r>
        <w:t xml:space="preserve"> </w:t>
      </w:r>
      <m:oMath>
        <m:r>
          <m:t>F</m:t>
        </m:r>
        <m:r>
          <m:rPr>
            <m:sty m:val="p"/>
          </m:rPr>
          <m:t>:</m:t>
        </m:r>
        <m:r>
          <m:t>X</m:t>
        </m:r>
        <m:r>
          <m:rPr>
            <m:sty m:val="p"/>
          </m:rPr>
          <m:t>→</m:t>
        </m:r>
        <m:r>
          <m:t>X</m:t>
        </m:r>
      </m:oMath>
      <w:r>
        <w:t xml:space="preserve"> </w:t>
      </w:r>
      <w:r>
        <w:t xml:space="preserve">existe una operación sobre firmas</w:t>
      </w:r>
      <w:r>
        <w:t xml:space="preserve"> </w:t>
      </w:r>
      <m:oMath>
        <m:r>
          <m:t>f</m:t>
        </m:r>
      </m:oMath>
      <w:r>
        <w:t xml:space="preserve"> </w:t>
      </w:r>
      <w:r>
        <w:t xml:space="preserve">con</w:t>
      </w:r>
      <w:r>
        <w:t xml:space="preserve"> </w:t>
      </w:r>
      <m:oMath>
        <m:r>
          <m:t>f</m:t>
        </m:r>
        <m:r>
          <m:rPr>
            <m:sty m:val="p"/>
          </m:rPr>
          <m:t>∘</m:t>
        </m:r>
        <m:r>
          <m:t>Φ</m:t>
        </m:r>
        <m:r>
          <m:rPr>
            <m:sty m:val="p"/>
          </m:rPr>
          <m:t>=</m:t>
        </m:r>
        <m:r>
          <m:t>Φ</m:t>
        </m:r>
        <m:r>
          <m:rPr>
            <m:sty m:val="p"/>
          </m:rPr>
          <m:t>∘</m:t>
        </m:r>
        <m:r>
          <m:t>F</m:t>
        </m:r>
      </m:oMath>
      <w:r>
        <w:t xml:space="preserve"> </w:t>
      </w:r>
      <w:r>
        <w:t xml:space="preserve">si y solo si</w:t>
      </w:r>
    </w:p>
    <w:p>
      <w:pPr>
        <w:pStyle w:val="BodyText"/>
      </w:pPr>
      <m:oMathPara>
        <m:oMathParaPr>
          <m:jc m:val="center"/>
        </m:oMathParaPr>
        <m:oMath>
          <m:r>
            <m:t>Φ</m:t>
          </m:r>
          <m:d>
            <m:dPr>
              <m:begChr m:val="("/>
              <m:endChr m:val=")"/>
              <m:sepChr m:val=""/>
              <m:grow/>
            </m:dPr>
            <m:e>
              <m:r>
                <m:t>x</m:t>
              </m:r>
            </m:e>
          </m:d>
          <m:r>
            <m:rPr>
              <m:sty m:val="p"/>
            </m:rPr>
            <m:t>=</m:t>
          </m:r>
          <m:r>
            <m:t>Φ</m:t>
          </m:r>
          <m:d>
            <m:dPr>
              <m:begChr m:val="("/>
              <m:endChr m:val=")"/>
              <m:sepChr m:val=""/>
              <m:grow/>
            </m:dPr>
            <m:e>
              <m:r>
                <m:t>y</m:t>
              </m:r>
            </m:e>
          </m:d>
          <m:r>
            <m:rPr>
              <m:sty m:val="p"/>
            </m:rPr>
            <m:t>⇒</m:t>
          </m:r>
          <m:r>
            <m:t>Φ</m:t>
          </m:r>
          <m:d>
            <m:dPr>
              <m:begChr m:val="("/>
              <m:endChr m:val=")"/>
              <m:sepChr m:val=""/>
              <m:grow/>
            </m:dPr>
            <m:e>
              <m:r>
                <m:t>F</m:t>
              </m:r>
              <m:r>
                <m:t>x</m:t>
              </m:r>
            </m:e>
          </m:d>
          <m:r>
            <m:rPr>
              <m:sty m:val="p"/>
            </m:rPr>
            <m:t>=</m:t>
          </m:r>
          <m:r>
            <m:t>Φ</m:t>
          </m:r>
          <m:d>
            <m:dPr>
              <m:begChr m:val="("/>
              <m:endChr m:val=")"/>
              <m:sepChr m:val=""/>
              <m:grow/>
            </m:dPr>
            <m:e>
              <m:r>
                <m:t>F</m:t>
              </m:r>
              <m:r>
                <m:t>y</m:t>
              </m:r>
            </m:e>
          </m:d>
          <m:r>
            <m:rPr>
              <m:sty m:val="p"/>
            </m:rPr>
            <m:t>.</m:t>
          </m:r>
        </m:oMath>
      </m:oMathPara>
    </w:p>
    <w:p>
      <w:pPr>
        <w:pStyle w:val="FirstParagraph"/>
      </w:pPr>
      <w:r>
        <w:t xml:space="preserve">La prueba define</w:t>
      </w:r>
      <w:r>
        <w:t xml:space="preserve"> </w:t>
      </w:r>
      <m:oMath>
        <m:r>
          <m:t>f</m:t>
        </m:r>
        <m:d>
          <m:dPr>
            <m:begChr m:val="("/>
            <m:endChr m:val=")"/>
            <m:sepChr m:val=""/>
            <m:grow/>
          </m:dPr>
          <m:e>
            <m:r>
              <m:t>Φ</m:t>
            </m:r>
            <m:d>
              <m:dPr>
                <m:begChr m:val="("/>
                <m:endChr m:val=")"/>
                <m:sepChr m:val=""/>
                <m:grow/>
              </m:dPr>
              <m:e>
                <m:r>
                  <m:t>x</m:t>
                </m:r>
              </m:e>
            </m:d>
          </m:e>
        </m:d>
        <m:r>
          <m:rPr>
            <m:sty m:val="p"/>
          </m:rPr>
          <m:t>=</m:t>
        </m:r>
        <m:r>
          <m:t>Φ</m:t>
        </m:r>
        <m:d>
          <m:dPr>
            <m:begChr m:val="("/>
            <m:endChr m:val=")"/>
            <m:sepChr m:val=""/>
            <m:grow/>
          </m:dPr>
          <m:e>
            <m:r>
              <m:t>F</m:t>
            </m:r>
            <m:r>
              <m:t>x</m:t>
            </m:r>
          </m:e>
        </m:d>
      </m:oMath>
      <w:r>
        <w:t xml:space="preserve">; la implicación garantiza que no depende del representante. Para leer una respuesta hace falta además</w:t>
      </w:r>
      <w:r>
        <w:t xml:space="preserve"> </w:t>
      </w:r>
      <m:oMath>
        <m:r>
          <m:t>Q</m:t>
        </m:r>
        <m:r>
          <m:rPr>
            <m:sty m:val="p"/>
          </m:rPr>
          <m:t>=</m:t>
        </m:r>
        <m:r>
          <m:t>d</m:t>
        </m:r>
        <m:r>
          <m:rPr>
            <m:sty m:val="p"/>
          </m:rPr>
          <m:t>∘</m:t>
        </m:r>
        <m:r>
          <m:t>Φ</m:t>
        </m:r>
      </m:oMath>
      <w:r>
        <w:t xml:space="preserve">.</w:t>
      </w:r>
      <w:r>
        <w:t xml:space="preserve"> </w:t>
      </w:r>
      <w:r>
        <w:rPr>
          <w:b/>
          <w:bCs/>
        </w:rPr>
        <w:t xml:space="preserve">La existencia de</w:t>
      </w:r>
      <w:r>
        <w:rPr>
          <w:b/>
          <w:bCs/>
        </w:rPr>
        <w:t xml:space="preserve"> </w:t>
      </w:r>
      <m:oMath>
        <m:r>
          <m:t>f</m:t>
        </m:r>
      </m:oMath>
      <w:r>
        <w:rPr>
          <w:b/>
          <w:bCs/>
        </w:rPr>
        <w:t xml:space="preserve"> </w:t>
      </w:r>
      <w:r>
        <w:rPr>
          <w:b/>
          <w:bCs/>
        </w:rPr>
        <w:t xml:space="preserve">y</w:t>
      </w:r>
      <w:r>
        <w:rPr>
          <w:b/>
          <w:bCs/>
        </w:rPr>
        <w:t xml:space="preserve"> </w:t>
      </w:r>
      <m:oMath>
        <m:r>
          <m:t>d</m:t>
        </m:r>
      </m:oMath>
      <w:r>
        <w:rPr>
          <w:b/>
          <w:bCs/>
        </w:rPr>
        <w:t xml:space="preserve"> </w:t>
      </w:r>
      <w:r>
        <w:rPr>
          <w:b/>
          <w:bCs/>
        </w:rPr>
        <w:t xml:space="preserve">no demuestra que puedan construirse o ejecutarse eficientemente.</w:t>
      </w:r>
    </w:p>
    <w:p>
      <w:pPr>
        <w:pStyle w:val="BodyText"/>
      </w:pPr>
      <w:r>
        <w:rPr>
          <w:b/>
          <w:bCs/>
        </w:rPr>
        <w:t xml:space="preserve">Referencia interna y cierre en sí: contrato candidato [A/T bajo condiciones].</w:t>
      </w:r>
      <w:r>
        <w:t xml:space="preserve"> </w:t>
      </w:r>
      <w:r>
        <w:t xml:space="preserve">Para evitar que la firma exterior</w:t>
      </w:r>
      <w:r>
        <w:t xml:space="preserve"> </w:t>
      </w:r>
      <m:oMath>
        <m:r>
          <m:t>Φ</m:t>
        </m:r>
      </m:oMath>
      <w:r>
        <w:t xml:space="preserve"> </w:t>
      </w:r>
      <w:r>
        <w:t xml:space="preserve">se confunda con la unidad, proponemos examinar una referencia interna</w:t>
      </w:r>
      <w:r>
        <w:t xml:space="preserve"> </w:t>
      </w:r>
      <m:oMath>
        <m:sSub>
          <m:e>
            <m:r>
              <m:t>Ψ</m:t>
            </m:r>
          </m:e>
          <m:sub>
            <m:r>
              <m:t>U</m:t>
            </m:r>
          </m:sub>
        </m:sSub>
        <m:r>
          <m:rPr>
            <m:sty m:val="p"/>
          </m:rPr>
          <m:t>:</m:t>
        </m:r>
        <m:sSub>
          <m:e>
            <m:r>
              <m:t>X</m:t>
            </m:r>
          </m:e>
          <m:sub>
            <m:r>
              <m:t>U</m:t>
            </m:r>
          </m:sub>
        </m:sSub>
        <m:r>
          <m:rPr>
            <m:sty m:val="p"/>
          </m:rPr>
          <m:t>→</m:t>
        </m:r>
        <m:sSub>
          <m:e>
            <m:r>
              <m:t>S</m:t>
            </m:r>
          </m:e>
          <m:sub>
            <m:r>
              <m:t>U</m:t>
            </m:r>
          </m:sub>
        </m:sSub>
      </m:oMath>
      <w:r>
        <w:t xml:space="preserve"> </w:t>
      </w:r>
      <w:r>
        <w:t xml:space="preserve">y un conjunto declarado de transformaciones internas</w:t>
      </w:r>
      <w:r>
        <w:t xml:space="preserve"> </w:t>
      </w:r>
      <m:oMath>
        <m:sSub>
          <m:e>
            <m:r>
              <m:rPr>
                <m:sty m:val="p"/>
                <m:scr m:val="script"/>
              </m:rPr>
              <m:t>T</m:t>
            </m:r>
          </m:e>
          <m:sub>
            <m:r>
              <m:t>U</m:t>
            </m:r>
          </m:sub>
        </m:sSub>
      </m:oMath>
      <w:r>
        <w:t xml:space="preserve">. Para cada</w:t>
      </w:r>
      <w:r>
        <w:t xml:space="preserve"> </w:t>
      </w:r>
      <m:oMath>
        <m:r>
          <m:t>T</m:t>
        </m:r>
        <m:r>
          <m:rPr>
            <m:sty m:val="p"/>
          </m:rPr>
          <m:t>∈</m:t>
        </m:r>
        <m:sSub>
          <m:e>
            <m:r>
              <m:rPr>
                <m:sty m:val="p"/>
                <m:scr m:val="script"/>
              </m:rPr>
              <m:t>T</m:t>
            </m:r>
          </m:e>
          <m:sub>
            <m:r>
              <m:t>U</m:t>
            </m:r>
          </m:sub>
        </m:sSub>
      </m:oMath>
      <w:r>
        <w:t xml:space="preserve">, la compatibilidad que debe verificarse es:</w:t>
      </w:r>
    </w:p>
    <w:p>
      <w:pPr>
        <w:pStyle w:val="BodyText"/>
      </w:pPr>
      <m:oMathPara>
        <m:oMathParaPr>
          <m:jc m:val="center"/>
        </m:oMathParaPr>
        <m:oMath>
          <m:sSub>
            <m:e>
              <m:r>
                <m:t>Ψ</m:t>
              </m:r>
            </m:e>
            <m:sub>
              <m:r>
                <m:t>U</m:t>
              </m:r>
            </m:sub>
          </m:sSub>
          <m:d>
            <m:dPr>
              <m:begChr m:val="("/>
              <m:endChr m:val=")"/>
              <m:sepChr m:val=""/>
              <m:grow/>
            </m:dPr>
            <m:e>
              <m:r>
                <m:t>T</m:t>
              </m:r>
              <m:r>
                <m:t>x</m:t>
              </m:r>
            </m:e>
          </m:d>
          <m:r>
            <m:rPr>
              <m:sty m:val="p"/>
            </m:rPr>
            <m:t>=</m:t>
          </m:r>
          <m:sSub>
            <m:e>
              <m:r>
                <m:t>t</m:t>
              </m:r>
            </m:e>
            <m:sub>
              <m:r>
                <m:t>T</m:t>
              </m:r>
            </m:sub>
          </m:sSub>
          <m:d>
            <m:dPr>
              <m:begChr m:val="("/>
              <m:endChr m:val=")"/>
              <m:sepChr m:val=""/>
              <m:grow/>
            </m:dPr>
            <m:e>
              <m:sSub>
                <m:e>
                  <m:r>
                    <m:t>Ψ</m:t>
                  </m:r>
                </m:e>
                <m:sub>
                  <m:r>
                    <m:t>U</m:t>
                  </m:r>
                </m:sub>
              </m:sSub>
              <m:d>
                <m:dPr>
                  <m:begChr m:val="("/>
                  <m:endChr m:val=")"/>
                  <m:sepChr m:val=""/>
                  <m:grow/>
                </m:dPr>
                <m:e>
                  <m:r>
                    <m:t>x</m:t>
                  </m:r>
                </m:e>
              </m:d>
            </m:e>
          </m:d>
          <m:r>
            <m:rPr>
              <m:sty m:val="p"/>
            </m:rPr>
            <m:t>,</m:t>
          </m:r>
          <m:r>
            <m:t>  </m:t>
          </m:r>
          <m:r>
            <m:t>Q</m:t>
          </m:r>
          <m:r>
            <m:rPr>
              <m:sty m:val="p"/>
            </m:rPr>
            <m:t>=</m:t>
          </m:r>
          <m:sSub>
            <m:e>
              <m:r>
                <m:t>d</m:t>
              </m:r>
            </m:e>
            <m:sub>
              <m:r>
                <m:t>Q</m:t>
              </m:r>
            </m:sub>
          </m:sSub>
          <m:r>
            <m:rPr>
              <m:sty m:val="p"/>
            </m:rPr>
            <m:t>∘</m:t>
          </m:r>
          <m:sSub>
            <m:e>
              <m:r>
                <m:t>Ψ</m:t>
              </m:r>
            </m:e>
            <m:sub>
              <m:r>
                <m:t>U</m:t>
              </m:r>
            </m:sub>
          </m:sSub>
          <m:r>
            <m:t> </m:t>
          </m:r>
          <m:d>
            <m:dPr>
              <m:begChr m:val="("/>
              <m:endChr m:val=")"/>
              <m:sepChr m:val=""/>
              <m:grow/>
            </m:dPr>
            <m:e>
              <m:r>
                <m:t>Q</m:t>
              </m:r>
              <m:r>
                <m:rPr>
                  <m:sty m:val="p"/>
                </m:rPr>
                <m:t>∈</m:t>
              </m:r>
              <m:sSub>
                <m:e>
                  <m:r>
                    <m:rPr>
                      <m:sty m:val="p"/>
                      <m:scr m:val="script"/>
                    </m:rPr>
                    <m:t>Q</m:t>
                  </m:r>
                </m:e>
                <m:sub>
                  <m:r>
                    <m:t>U</m:t>
                  </m:r>
                </m:sub>
              </m:sSub>
            </m:e>
          </m:d>
          <m:r>
            <m:rPr>
              <m:sty m:val="p"/>
            </m:rPr>
            <m:t>.</m:t>
          </m:r>
        </m:oMath>
      </m:oMathPara>
    </w:p>
    <w:p>
      <w:pPr>
        <w:pStyle w:val="FirstParagraph"/>
      </w:pPr>
      <w:r>
        <w:t xml:space="preserve">Si las transformaciones se componen, sus actualizaciones también deben hacerlo</w:t>
      </w:r>
      <w:r>
        <w:t xml:space="preserve"> </w:t>
      </w:r>
      <w:r>
        <w:rPr>
          <w:b/>
          <w:bCs/>
        </w:rPr>
        <w:t xml:space="preserve">sobre los estados alcanzables</w:t>
      </w:r>
      <w:r>
        <w:t xml:space="preserve">:</w:t>
      </w:r>
      <w:r>
        <w:t xml:space="preserve"> </w:t>
      </w:r>
      <m:oMath>
        <m:sSub>
          <m:e>
            <m:r>
              <m:t>t</m:t>
            </m:r>
          </m:e>
          <m:sub>
            <m:sSub>
              <m:e>
                <m:r>
                  <m:t>T</m:t>
                </m:r>
              </m:e>
              <m:sub>
                <m:r>
                  <m:t>2</m:t>
                </m:r>
              </m:sub>
            </m:sSub>
            <m:r>
              <m:rPr>
                <m:sty m:val="p"/>
              </m:rPr>
              <m:t>∘</m:t>
            </m:r>
            <m:sSub>
              <m:e>
                <m:r>
                  <m:t>T</m:t>
                </m:r>
              </m:e>
              <m:sub>
                <m:r>
                  <m:t>1</m:t>
                </m:r>
              </m:sub>
            </m:sSub>
          </m:sub>
        </m:sSub>
        <m:r>
          <m:rPr>
            <m:sty m:val="p"/>
          </m:rPr>
          <m:t>=</m:t>
        </m:r>
        <m:sSub>
          <m:e>
            <m:r>
              <m:t>t</m:t>
            </m:r>
          </m:e>
          <m:sub>
            <m:sSub>
              <m:e>
                <m:r>
                  <m:t>T</m:t>
                </m:r>
              </m:e>
              <m:sub>
                <m:r>
                  <m:t>2</m:t>
                </m:r>
              </m:sub>
            </m:sSub>
          </m:sub>
        </m:sSub>
        <m:r>
          <m:rPr>
            <m:sty m:val="p"/>
          </m:rPr>
          <m:t>∘</m:t>
        </m:r>
        <m:sSub>
          <m:e>
            <m:r>
              <m:t>t</m:t>
            </m:r>
          </m:e>
          <m:sub>
            <m:sSub>
              <m:e>
                <m:r>
                  <m:t>T</m:t>
                </m:r>
              </m:e>
              <m:sub>
                <m:r>
                  <m:t>1</m:t>
                </m:r>
              </m:sub>
            </m:sSub>
          </m:sub>
        </m:sSub>
      </m:oMath>
      <w:r>
        <w:t xml:space="preserve">. Deben declararse las relaciones internas</w:t>
      </w:r>
      <w:r>
        <w:t xml:space="preserve"> </w:t>
      </w:r>
      <m:oMath>
        <m:sSub>
          <m:e>
            <m:r>
              <m:t>R</m:t>
            </m:r>
          </m:e>
          <m:sub>
            <m:r>
              <m:t>U</m:t>
            </m:r>
          </m:sub>
        </m:sSub>
      </m:oMath>
      <w:r>
        <w:t xml:space="preserve"> </w:t>
      </w:r>
      <w:r>
        <w:t xml:space="preserve">cuya preservación se exige y las consultas</w:t>
      </w:r>
      <w:r>
        <w:t xml:space="preserve"> </w:t>
      </w:r>
      <m:oMath>
        <m:sSub>
          <m:e>
            <m:r>
              <m:rPr>
                <m:sty m:val="p"/>
                <m:scr m:val="script"/>
              </m:rPr>
              <m:t>Q</m:t>
            </m:r>
          </m:e>
          <m:sub>
            <m:r>
              <m:t>U</m:t>
            </m:r>
          </m:sub>
        </m:sSub>
      </m:oMath>
      <w:r>
        <w:t xml:space="preserve"> </w:t>
      </w:r>
      <w:r>
        <w:t xml:space="preserve">que permiten contrastar el reconocimiento interno con el exterior.</w:t>
      </w:r>
    </w:p>
    <w:p>
      <w:pPr>
        <w:pStyle w:val="BodyText"/>
      </w:pPr>
      <w:r>
        <w:t xml:space="preserve">Estas igualdades son</w:t>
      </w:r>
      <w:r>
        <w:t xml:space="preserve"> </w:t>
      </w:r>
      <w:r>
        <w:rPr>
          <w:b/>
          <w:bCs/>
        </w:rPr>
        <w:t xml:space="preserve">condiciones verificables cuando se han definido sus objetos</w:t>
      </w:r>
      <w:r>
        <w:t xml:space="preserve">, no una definición universal de cierre en sí. Admiten realizaciones triviales (por ejemplo</w:t>
      </w:r>
      <w:r>
        <w:t xml:space="preserve"> </w:t>
      </w:r>
      <m:oMath>
        <m:sSub>
          <m:e>
            <m:r>
              <m:t>Ψ</m:t>
            </m:r>
          </m:e>
          <m:sub>
            <m:r>
              <m:t>U</m:t>
            </m:r>
          </m:sub>
        </m:sSub>
        <m:r>
          <m:rPr>
            <m:sty m:val="p"/>
          </m:rPr>
          <m:t>=</m:t>
        </m:r>
        <m:r>
          <m:rPr>
            <m:sty m:val="p"/>
          </m:rPr>
          <m:t>i</m:t>
        </m:r>
        <m:r>
          <m:rPr>
            <m:sty m:val="p"/>
          </m:rPr>
          <m:t>d</m:t>
        </m:r>
      </m:oMath>
      <w:r>
        <w:t xml:space="preserve">), por lo que no basta su mera existencia para distinguir una unidad autorreferenciada de una codificación de estados. El punto sustantivo de la revisión es identificar una condición no trivial de estabilidad interna y continuidad que siga teniendo sentido cuando cambia una referencia exterior</w:t>
      </w:r>
      <w:r>
        <w:t xml:space="preserve"> </w:t>
      </w:r>
      <m:oMath>
        <m:r>
          <m:t>Φ</m:t>
        </m:r>
      </m:oMath>
      <w:r>
        <w:t xml:space="preserve">.</w:t>
      </w:r>
    </w:p>
    <w:bookmarkEnd w:id="26"/>
    <w:bookmarkStart w:id="28" w:name="X04b458c0c878b05687b7479d9a1500da2132c9d"/>
    <w:p>
      <w:pPr>
        <w:pStyle w:val="Heading2"/>
      </w:pPr>
      <w:r>
        <w:t xml:space="preserve">5. Interior y exterior: lo que una referencia conserva [T/E]</w:t>
      </w:r>
    </w:p>
    <w:p>
      <w:pPr>
        <w:pStyle w:val="FirstParagraph"/>
      </w:pPr>
      <w:r>
        <w:rPr>
          <w:b/>
          <w:bCs/>
        </w:rPr>
        <w:t xml:space="preserve">R5: composición por frontera.</w:t>
      </w:r>
      <w:r>
        <w:t xml:space="preserve"> </w:t>
      </w:r>
      <w:r>
        <w:t xml:space="preserve">Para un grafo</w:t>
      </w:r>
      <w:r>
        <w:t xml:space="preserve"> </w:t>
      </w:r>
      <m:oMath>
        <m:r>
          <m:t>H</m:t>
        </m:r>
      </m:oMath>
      <w:r>
        <w:t xml:space="preserve"> </w:t>
      </w:r>
      <w:r>
        <w:t xml:space="preserve">con frontera etiquetada</w:t>
      </w:r>
      <w:r>
        <w:t xml:space="preserve"> </w:t>
      </w:r>
      <m:oMath>
        <m:r>
          <m:t>B</m:t>
        </m:r>
      </m:oMath>
      <w:r>
        <w:t xml:space="preserve">, definimos</w:t>
      </w:r>
    </w:p>
    <w:p>
      <w:pPr>
        <w:pStyle w:val="BodyText"/>
      </w:pPr>
      <m:oMathPara>
        <m:oMathParaPr>
          <m:jc m:val="center"/>
        </m:oMathParaPr>
        <m:oMath>
          <m:sSub>
            <m:e>
              <m:r>
                <m:t>Γ</m:t>
              </m:r>
            </m:e>
            <m:sub>
              <m:r>
                <m:t>H</m:t>
              </m:r>
            </m:sub>
          </m:sSub>
          <m:d>
            <m:dPr>
              <m:begChr m:val="("/>
              <m:endChr m:val=")"/>
              <m:sepChr m:val=""/>
              <m:grow/>
            </m:dPr>
            <m:e>
              <m:r>
                <m:t>B</m:t>
              </m:r>
            </m:e>
          </m:d>
          <m:r>
            <m:rPr>
              <m:sty m:val="p"/>
            </m:rPr>
            <m:t>=</m:t>
          </m:r>
          <m:r>
            <m:rPr>
              <m:sty m:val="p"/>
            </m:rPr>
            <m:t>{</m:t>
          </m:r>
          <m:r>
            <m:t>c</m:t>
          </m:r>
          <m:sSub>
            <m:e>
              <m:r>
                <m:rPr>
                  <m:sty m:val="p"/>
                </m:rPr>
                <m:t>|</m:t>
              </m:r>
            </m:e>
            <m:sub>
              <m:r>
                <m:t>B</m:t>
              </m:r>
            </m:sub>
          </m:sSub>
          <m:r>
            <m:rPr>
              <m:sty m:val="p"/>
            </m:rPr>
            <m:t>:</m:t>
          </m:r>
          <m:r>
            <m:t>c</m:t>
          </m:r>
          <m:r>
            <m:rPr>
              <m:nor/>
              <m:sty m:val="p"/>
            </m:rPr>
            <m:t> es una 3-coloración válida de </m:t>
          </m:r>
          <m:r>
            <m:t>H</m:t>
          </m:r>
          <m:r>
            <m:rPr>
              <m:sty m:val="p"/>
            </m:rPr>
            <m:t>}</m:t>
          </m:r>
          <m:r>
            <m:rPr>
              <m:sty m:val="p"/>
            </m:rPr>
            <m:t>.</m:t>
          </m:r>
        </m:oMath>
      </m:oMathPara>
    </w:p>
    <w:p>
      <w:pPr>
        <w:pStyle w:val="FirstParagraph"/>
      </w:pPr>
      <w:r>
        <w:t xml:space="preserve">Si dos regiones solo comparten</w:t>
      </w:r>
      <w:r>
        <w:t xml:space="preserve"> </w:t>
      </w:r>
      <m:oMath>
        <m:r>
          <m:t>B</m:t>
        </m:r>
      </m:oMath>
      <w:r>
        <w:t xml:space="preserve">, sus interiores son disjuntos y no existen aristas adicionales entre ellos, la unión es 3-coloreable exactamente cuando sus firmas de frontera se intersectan. Añadir una arista</w:t>
      </w:r>
      <w:r>
        <w:t xml:space="preserve"> </w:t>
      </w:r>
      <m:oMath>
        <m:r>
          <m:t>a</m:t>
        </m:r>
        <m:r>
          <m:t>b</m:t>
        </m:r>
      </m:oMath>
      <w:r>
        <w:t xml:space="preserve"> </w:t>
      </w:r>
      <w:r>
        <w:t xml:space="preserve">con</w:t>
      </w:r>
      <w:r>
        <w:t xml:space="preserve"> </w:t>
      </w:r>
      <m:oMath>
        <m:r>
          <m:t>a</m:t>
        </m:r>
        <m:r>
          <m:rPr>
            <m:sty m:val="p"/>
          </m:rPr>
          <m:t>,</m:t>
        </m:r>
        <m:r>
          <m:t>b</m:t>
        </m:r>
        <m:r>
          <m:rPr>
            <m:sty m:val="p"/>
          </m:rPr>
          <m:t>∈</m:t>
        </m:r>
        <m:r>
          <m:t>B</m:t>
        </m:r>
      </m:oMath>
      <w:r>
        <w:t xml:space="preserve"> </w:t>
      </w:r>
      <w:r>
        <w:t xml:space="preserve">filtra la firma por</w:t>
      </w:r>
      <w:r>
        <w:t xml:space="preserve"> </w:t>
      </w:r>
      <m:oMath>
        <m:r>
          <m:t>c</m:t>
        </m:r>
        <m:d>
          <m:dPr>
            <m:begChr m:val="("/>
            <m:endChr m:val=")"/>
            <m:sepChr m:val=""/>
            <m:grow/>
          </m:dPr>
          <m:e>
            <m:r>
              <m:t>a</m:t>
            </m:r>
          </m:e>
        </m:d>
        <m:r>
          <m:rPr>
            <m:sty m:val="p"/>
          </m:rPr>
          <m:t>≠</m:t>
        </m:r>
        <m:r>
          <m:t>c</m:t>
        </m:r>
        <m:d>
          <m:dPr>
            <m:begChr m:val="("/>
            <m:endChr m:val=")"/>
            <m:sepChr m:val=""/>
            <m:grow/>
          </m:dPr>
          <m:e>
            <m:r>
              <m:t>b</m:t>
            </m:r>
          </m:e>
        </m:d>
      </m:oMath>
      <w:r>
        <w:t xml:space="preserve">.</w:t>
      </w:r>
    </w:p>
    <w:p>
      <w:pPr>
        <w:pStyle w:val="BodyText"/>
      </w:pPr>
      <w:r>
        <w:rPr>
          <w:b/>
          <w:bCs/>
        </w:rPr>
        <w:t xml:space="preserve">Falsador R5-F1 (fuente original).</w:t>
      </w:r>
      <w:r>
        <w:t xml:space="preserve"> </w:t>
      </w:r>
      <w:r>
        <w:t xml:space="preserve">Sobre</w:t>
      </w:r>
      <w:r>
        <w:t xml:space="preserve"> </w:t>
      </w:r>
      <m:oMath>
        <m:r>
          <m:t>V</m:t>
        </m:r>
        <m:r>
          <m:rPr>
            <m:sty m:val="p"/>
          </m:rPr>
          <m:t>=</m:t>
        </m:r>
        <m:r>
          <m:rPr>
            <m:sty m:val="p"/>
          </m:rPr>
          <m:t>{</m:t>
        </m:r>
        <m:r>
          <m:t>0</m:t>
        </m:r>
        <m:r>
          <m:rPr>
            <m:sty m:val="p"/>
          </m:rPr>
          <m:t>,</m:t>
        </m:r>
        <m:r>
          <m:t>1</m:t>
        </m:r>
        <m:r>
          <m:rPr>
            <m:sty m:val="p"/>
          </m:rPr>
          <m:t>,</m:t>
        </m:r>
        <m:r>
          <m:t>2</m:t>
        </m:r>
        <m:r>
          <m:rPr>
            <m:sty m:val="p"/>
          </m:rPr>
          <m:t>,</m:t>
        </m:r>
        <m:r>
          <m:t>3</m:t>
        </m:r>
        <m:r>
          <m:rPr>
            <m:sty m:val="p"/>
          </m:rPr>
          <m:t>}</m:t>
        </m:r>
      </m:oMath>
      <w:r>
        <w:t xml:space="preserve">, frontera</w:t>
      </w:r>
      <w:r>
        <w:t xml:space="preserve"> </w:t>
      </w:r>
      <m:oMath>
        <m:r>
          <m:t>B</m:t>
        </m:r>
        <m:r>
          <m:rPr>
            <m:sty m:val="p"/>
          </m:rPr>
          <m:t>=</m:t>
        </m:r>
        <m:r>
          <m:rPr>
            <m:sty m:val="p"/>
          </m:rPr>
          <m:t>{</m:t>
        </m:r>
        <m:r>
          <m:t>0</m:t>
        </m:r>
        <m:r>
          <m:rPr>
            <m:sty m:val="p"/>
          </m:rPr>
          <m:t>,</m:t>
        </m:r>
        <m:r>
          <m:t>1</m:t>
        </m:r>
        <m:r>
          <m:rPr>
            <m:sty m:val="p"/>
          </m:rPr>
          <m:t>}</m:t>
        </m:r>
      </m:oMath>
      <w:r>
        <w:t xml:space="preserve">, tomemos</w:t>
      </w:r>
      <w:r>
        <w:t xml:space="preserve"> </w:t>
      </w:r>
      <m:oMath>
        <m:sSub>
          <m:e>
            <m:r>
              <m:t>H</m:t>
            </m:r>
          </m:e>
          <m:sub>
            <m:r>
              <m:t>1</m:t>
            </m:r>
          </m:sub>
        </m:sSub>
      </m:oMath>
      <w:r>
        <w:t xml:space="preserve"> </w:t>
      </w:r>
      <w:r>
        <w:t xml:space="preserve">con aristas</w:t>
      </w:r>
      <w:r>
        <w:t xml:space="preserve"> </w:t>
      </w:r>
      <m:oMath>
        <m:r>
          <m:t>01</m:t>
        </m:r>
        <m:r>
          <m:rPr>
            <m:sty m:val="p"/>
          </m:rPr>
          <m:t>,</m:t>
        </m:r>
        <m:r>
          <m:t>02</m:t>
        </m:r>
        <m:r>
          <m:rPr>
            <m:sty m:val="p"/>
          </m:rPr>
          <m:t>,</m:t>
        </m:r>
        <m:r>
          <m:t>12</m:t>
        </m:r>
        <m:r>
          <m:rPr>
            <m:sty m:val="p"/>
          </m:rPr>
          <m:t>,</m:t>
        </m:r>
        <m:r>
          <m:t>03</m:t>
        </m:r>
        <m:r>
          <m:rPr>
            <m:sty m:val="p"/>
          </m:rPr>
          <m:t>,</m:t>
        </m:r>
        <m:r>
          <m:t>13</m:t>
        </m:r>
      </m:oMath>
      <w:r>
        <w:t xml:space="preserve"> </w:t>
      </w:r>
      <w:r>
        <w:t xml:space="preserve">y</w:t>
      </w:r>
      <w:r>
        <w:t xml:space="preserve"> </w:t>
      </w:r>
      <m:oMath>
        <m:sSub>
          <m:e>
            <m:r>
              <m:t>H</m:t>
            </m:r>
          </m:e>
          <m:sub>
            <m:r>
              <m:t>2</m:t>
            </m:r>
          </m:sub>
        </m:sSub>
      </m:oMath>
      <w:r>
        <w:t xml:space="preserve"> </w:t>
      </w:r>
      <w:r>
        <w:t xml:space="preserve">con aristas</w:t>
      </w:r>
      <w:r>
        <w:t xml:space="preserve"> </w:t>
      </w:r>
      <m:oMath>
        <m:r>
          <m:t>01</m:t>
        </m:r>
        <m:r>
          <m:rPr>
            <m:sty m:val="p"/>
          </m:rPr>
          <m:t>,</m:t>
        </m:r>
        <m:r>
          <m:t>02</m:t>
        </m:r>
        <m:r>
          <m:rPr>
            <m:sty m:val="p"/>
          </m:rPr>
          <m:t>,</m:t>
        </m:r>
        <m:r>
          <m:t>12</m:t>
        </m:r>
        <m:r>
          <m:rPr>
            <m:sty m:val="p"/>
          </m:rPr>
          <m:t>,</m:t>
        </m:r>
        <m:r>
          <m:t>03</m:t>
        </m:r>
      </m:oMath>
      <w:r>
        <w:t xml:space="preserve">. Ambas tienen seis asignaciones exteriores (las parejas de colores distintos en</w:t>
      </w:r>
      <w:r>
        <w:t xml:space="preserve"> </w:t>
      </w:r>
      <m:oMath>
        <m:r>
          <m:t>0</m:t>
        </m:r>
        <m:r>
          <m:rPr>
            <m:sty m:val="p"/>
          </m:rPr>
          <m:t>,</m:t>
        </m:r>
        <m:r>
          <m:t>1</m:t>
        </m:r>
      </m:oMath>
      <w:r>
        <w:t xml:space="preserve">). Al incorporar la misma arista interior</w:t>
      </w:r>
      <w:r>
        <w:t xml:space="preserve"> </w:t>
      </w:r>
      <m:oMath>
        <m:r>
          <m:t>23</m:t>
        </m:r>
      </m:oMath>
      <w:r>
        <w:t xml:space="preserve">,</w:t>
      </w:r>
      <w:r>
        <w:t xml:space="preserve"> </w:t>
      </w:r>
      <m:oMath>
        <m:sSub>
          <m:e>
            <m:r>
              <m:t>H</m:t>
            </m:r>
          </m:e>
          <m:sub>
            <m:r>
              <m:t>1</m:t>
            </m:r>
          </m:sub>
        </m:sSub>
      </m:oMath>
      <w:r>
        <w:t xml:space="preserve"> </w:t>
      </w:r>
      <w:r>
        <w:t xml:space="preserve">se vuelve</w:t>
      </w:r>
      <w:r>
        <w:t xml:space="preserve"> </w:t>
      </w:r>
      <m:oMath>
        <m:sSub>
          <m:e>
            <m:r>
              <m:t>K</m:t>
            </m:r>
          </m:e>
          <m:sub>
            <m:r>
              <m:t>4</m:t>
            </m:r>
          </m:sub>
        </m:sSub>
      </m:oMath>
      <w:r>
        <w:t xml:space="preserve"> </w:t>
      </w:r>
      <w:r>
        <w:t xml:space="preserve">y su firma queda vacía;</w:t>
      </w:r>
      <w:r>
        <w:t xml:space="preserve"> </w:t>
      </w:r>
      <m:oMath>
        <m:sSub>
          <m:e>
            <m:r>
              <m:t>H</m:t>
            </m:r>
          </m:e>
          <m:sub>
            <m:r>
              <m:t>2</m:t>
            </m:r>
          </m:sub>
        </m:sSub>
      </m:oMath>
      <w:r>
        <w:t xml:space="preserve"> </w:t>
      </w:r>
      <w:r>
        <w:t xml:space="preserve">conserva seis asignaciones exteriores. La firma exterior era suficiente para</w:t>
      </w:r>
      <w:r>
        <w:t xml:space="preserve"> </w:t>
      </w:r>
      <w:r>
        <w:rPr>
          <w:b/>
          <w:bCs/>
        </w:rPr>
        <w:t xml:space="preserve">continuaciones exteriores</w:t>
      </w:r>
      <w:r>
        <w:t xml:space="preserve"> </w:t>
      </w:r>
      <w:r>
        <w:t xml:space="preserve">y resulta insuficiente para esta modificación</w:t>
      </w:r>
      <w:r>
        <w:t xml:space="preserve"> </w:t>
      </w:r>
      <w:r>
        <w:rPr>
          <w:b/>
          <w:bCs/>
        </w:rPr>
        <w:t xml:space="preserve">interior</w:t>
      </w:r>
      <w:r>
        <w:t xml:space="preserve">. No se pierde una demostración anterior: cambió la familia de continuaciones.</w:t>
      </w:r>
    </w:p>
    <w:p>
      <w:pPr>
        <w:pStyle w:val="BodyText"/>
      </w:pPr>
      <w:r>
        <w:t xml:space="preserve">Una interfaz exacta enriquecida para una modificación anunciada</w:t>
      </w:r>
      <w:r>
        <w:t xml:space="preserve"> </w:t>
      </w:r>
      <m:oMath>
        <m:r>
          <m:t>u</m:t>
        </m:r>
        <m:r>
          <m:t>v</m:t>
        </m:r>
      </m:oMath>
      <w:r>
        <w:t xml:space="preserve"> </w:t>
      </w:r>
      <w:r>
        <w:t xml:space="preserve">es</w:t>
      </w:r>
      <w:r>
        <w:t xml:space="preserve"> </w:t>
      </w:r>
      <m:oMath>
        <m:sSubSup>
          <m:e>
            <m:r>
              <m:t>Σ</m:t>
            </m:r>
          </m:e>
          <m:sub>
            <m:r>
              <m:t>H</m:t>
            </m:r>
          </m:sub>
          <m:sup>
            <m:r>
              <m:t>u</m:t>
            </m:r>
            <m:r>
              <m:rPr>
                <m:sty m:val="p"/>
              </m:rPr>
              <m:t>,</m:t>
            </m:r>
            <m:r>
              <m:t>v</m:t>
            </m:r>
          </m:sup>
        </m:sSubSup>
        <m:d>
          <m:dPr>
            <m:begChr m:val="("/>
            <m:endChr m:val=")"/>
            <m:sepChr m:val=""/>
            <m:grow/>
          </m:dPr>
          <m:e>
            <m:r>
              <m:t>B</m:t>
            </m:r>
          </m:e>
        </m:d>
        <m:r>
          <m:rPr>
            <m:sty m:val="p"/>
          </m:rPr>
          <m:t>=</m:t>
        </m:r>
        <m:r>
          <m:rPr>
            <m:sty m:val="p"/>
          </m:rPr>
          <m:t>{</m:t>
        </m:r>
        <m:d>
          <m:dPr>
            <m:begChr m:val="("/>
            <m:endChr m:val=")"/>
            <m:sepChr m:val=""/>
            <m:grow/>
          </m:dPr>
          <m:e>
            <m:r>
              <m:t>c</m:t>
            </m:r>
            <m:sSub>
              <m:e>
                <m:r>
                  <m:rPr>
                    <m:sty m:val="p"/>
                  </m:rPr>
                  <m:t>|</m:t>
                </m:r>
              </m:e>
              <m:sub>
                <m:r>
                  <m:t>B</m:t>
                </m:r>
              </m:sub>
            </m:sSub>
            <m:r>
              <m:rPr>
                <m:sty m:val="p"/>
              </m:rPr>
              <m:t>,</m:t>
            </m:r>
            <m:r>
              <m:t>c</m:t>
            </m:r>
            <m:d>
              <m:dPr>
                <m:begChr m:val="("/>
                <m:endChr m:val=")"/>
                <m:sepChr m:val=""/>
                <m:grow/>
              </m:dPr>
              <m:e>
                <m:r>
                  <m:t>u</m:t>
                </m:r>
              </m:e>
            </m:d>
            <m:r>
              <m:rPr>
                <m:sty m:val="p"/>
              </m:rPr>
              <m:t>,</m:t>
            </m:r>
            <m:r>
              <m:t>c</m:t>
            </m:r>
            <m:d>
              <m:dPr>
                <m:begChr m:val="("/>
                <m:endChr m:val=")"/>
                <m:sepChr m:val=""/>
                <m:grow/>
              </m:dPr>
              <m:e>
                <m:r>
                  <m:t>v</m:t>
                </m:r>
              </m:e>
            </m:d>
          </m:e>
        </m:d>
        <m:r>
          <m:rPr>
            <m:sty m:val="p"/>
          </m:rPr>
          <m:t>:</m:t>
        </m:r>
        <m:r>
          <m:t>c</m:t>
        </m:r>
        <m:r>
          <m:rPr>
            <m:nor/>
            <m:sty m:val="p"/>
          </m:rPr>
          <m:t> válida</m:t>
        </m:r>
        <m:r>
          <m:rPr>
            <m:sty m:val="p"/>
          </m:rPr>
          <m:t>}</m:t>
        </m:r>
      </m:oMath>
      <w:r>
        <w:t xml:space="preserve">; filtrar</w:t>
      </w:r>
      <w:r>
        <w:t xml:space="preserve"> </w:t>
      </w:r>
      <m:oMath>
        <m:r>
          <m:t>c</m:t>
        </m:r>
        <m:d>
          <m:dPr>
            <m:begChr m:val="("/>
            <m:endChr m:val=")"/>
            <m:sepChr m:val=""/>
            <m:grow/>
          </m:dPr>
          <m:e>
            <m:r>
              <m:t>u</m:t>
            </m:r>
          </m:e>
        </m:d>
        <m:r>
          <m:rPr>
            <m:sty m:val="p"/>
          </m:rPr>
          <m:t>≠</m:t>
        </m:r>
        <m:r>
          <m:t>c</m:t>
        </m:r>
        <m:d>
          <m:dPr>
            <m:begChr m:val="("/>
            <m:endChr m:val=")"/>
            <m:sepChr m:val=""/>
            <m:grow/>
          </m:dPr>
          <m:e>
            <m:r>
              <m:t>v</m:t>
            </m:r>
          </m:e>
        </m:d>
      </m:oMath>
      <w:r>
        <w:t xml:space="preserve"> </w:t>
      </w:r>
      <w:r>
        <w:t xml:space="preserve">y proyectar a</w:t>
      </w:r>
      <w:r>
        <w:t xml:space="preserve"> </w:t>
      </w:r>
      <m:oMath>
        <m:r>
          <m:t>B</m:t>
        </m:r>
      </m:oMath>
      <w:r>
        <w:t xml:space="preserve"> </w:t>
      </w:r>
      <w:r>
        <w:t xml:space="preserve">reconstruye la firma nueva. Eso demuestra suficiencia semántica, sin acreditar todavía tamaño o costo polinómico universal.</w:t>
      </w:r>
    </w:p>
    <w:p>
      <w:pPr>
        <w:pStyle w:val="BodyText"/>
      </w:pPr>
      <w:r>
        <w:rPr>
          <w:b/>
          <w:bCs/>
        </w:rPr>
        <w:t xml:space="preserve">R6: determinante circunstancial.</w:t>
      </w:r>
      <w:r>
        <w:t xml:space="preserve"> </w:t>
      </w:r>
      <w:r>
        <w:t xml:space="preserve">Sea</w:t>
      </w:r>
      <w:r>
        <w:t xml:space="preserve"> </w:t>
      </w:r>
      <m:oMath>
        <m:sSub>
          <m:e>
            <m:r>
              <m:rPr>
                <m:sty m:val="p"/>
                <m:scr m:val="script"/>
              </m:rPr>
              <m:t>P</m:t>
            </m:r>
          </m:e>
          <m:sub>
            <m:r>
              <m:t>3</m:t>
            </m:r>
          </m:sub>
        </m:sSub>
        <m:d>
          <m:dPr>
            <m:begChr m:val="("/>
            <m:endChr m:val=")"/>
            <m:sepChr m:val=""/>
            <m:grow/>
          </m:dPr>
          <m:e>
            <m:r>
              <m:t>G</m:t>
            </m:r>
          </m:e>
        </m:d>
      </m:oMath>
      <w:r>
        <w:t xml:space="preserve"> </w:t>
      </w:r>
      <w:r>
        <w:t xml:space="preserve">la familia de particiones de</w:t>
      </w:r>
      <w:r>
        <w:t xml:space="preserve"> </w:t>
      </w:r>
      <m:oMath>
        <m:r>
          <m:t>V</m:t>
        </m:r>
      </m:oMath>
      <w:r>
        <w:t xml:space="preserve">,</w:t>
      </w:r>
      <w:r>
        <w:t xml:space="preserve"> </w:t>
      </w:r>
      <m:oMath>
        <m:d>
          <m:dPr>
            <m:begChr m:val="|"/>
            <m:endChr m:val="|"/>
            <m:sepChr m:val=""/>
            <m:grow/>
          </m:dPr>
          <m:e>
            <m:r>
              <m:t>V</m:t>
            </m:r>
          </m:e>
        </m:d>
        <m:r>
          <m:rPr>
            <m:sty m:val="p"/>
          </m:rPr>
          <m:t>≥</m:t>
        </m:r>
        <m:r>
          <m:t>3</m:t>
        </m:r>
      </m:oMath>
      <w:r>
        <w:t xml:space="preserve">, en tres clases independientes no vacías, sin nombres de colores. Para grafos sobre el mismo</w:t>
      </w:r>
      <w:r>
        <w:t xml:space="preserve"> </w:t>
      </w:r>
      <m:oMath>
        <m:r>
          <m:t>V</m:t>
        </m:r>
      </m:oMath>
      <w:r>
        <w:t xml:space="preserve">:</w:t>
      </w:r>
    </w:p>
    <w:p>
      <w:pPr>
        <w:pStyle w:val="BodyText"/>
      </w:pPr>
      <m:oMathPara>
        <m:oMathParaPr>
          <m:jc m:val="center"/>
        </m:oMathParaPr>
        <m:oMath>
          <m:sSub>
            <m:e>
              <m:r>
                <m:rPr>
                  <m:sty m:val="p"/>
                  <m:scr m:val="script"/>
                </m:rPr>
                <m:t>P</m:t>
              </m:r>
            </m:e>
            <m:sub>
              <m:r>
                <m:t>3</m:t>
              </m:r>
            </m:sub>
          </m:sSub>
          <m:d>
            <m:dPr>
              <m:begChr m:val="("/>
              <m:endChr m:val=")"/>
              <m:sepChr m:val=""/>
              <m:grow/>
            </m:dPr>
            <m:e>
              <m:r>
                <m:t>G</m:t>
              </m:r>
              <m:r>
                <m:rPr>
                  <m:sty m:val="p"/>
                </m:rPr>
                <m:t>∪</m:t>
              </m:r>
              <m:r>
                <m:t>H</m:t>
              </m:r>
            </m:e>
          </m:d>
          <m:r>
            <m:rPr>
              <m:sty m:val="p"/>
            </m:rPr>
            <m:t>=</m:t>
          </m:r>
          <m:sSub>
            <m:e>
              <m:r>
                <m:rPr>
                  <m:sty m:val="p"/>
                  <m:scr m:val="script"/>
                </m:rPr>
                <m:t>P</m:t>
              </m:r>
            </m:e>
            <m:sub>
              <m:r>
                <m:t>3</m:t>
              </m:r>
            </m:sub>
          </m:sSub>
          <m:d>
            <m:dPr>
              <m:begChr m:val="("/>
              <m:endChr m:val=")"/>
              <m:sepChr m:val=""/>
              <m:grow/>
            </m:dPr>
            <m:e>
              <m:r>
                <m:t>G</m:t>
              </m:r>
            </m:e>
          </m:d>
          <m:r>
            <m:rPr>
              <m:sty m:val="p"/>
            </m:rPr>
            <m:t>∩</m:t>
          </m:r>
          <m:sSub>
            <m:e>
              <m:r>
                <m:rPr>
                  <m:sty m:val="p"/>
                  <m:scr m:val="script"/>
                </m:rPr>
                <m:t>P</m:t>
              </m:r>
            </m:e>
            <m:sub>
              <m:r>
                <m:t>3</m:t>
              </m:r>
            </m:sub>
          </m:sSub>
          <m:d>
            <m:dPr>
              <m:begChr m:val="("/>
              <m:endChr m:val=")"/>
              <m:sepChr m:val=""/>
              <m:grow/>
            </m:dPr>
            <m:e>
              <m:r>
                <m:t>H</m:t>
              </m:r>
            </m:e>
          </m:d>
          <m:r>
            <m:rPr>
              <m:sty m:val="p"/>
            </m:rPr>
            <m:t>,</m:t>
          </m:r>
          <m:r>
            <m:t>  </m:t>
          </m:r>
          <m:sSub>
            <m:e>
              <m:r>
                <m:t>Δ</m:t>
              </m:r>
            </m:e>
            <m:sub>
              <m:r>
                <m:t>G</m:t>
              </m:r>
            </m:sub>
          </m:sSub>
          <m:d>
            <m:dPr>
              <m:begChr m:val="("/>
              <m:endChr m:val=")"/>
              <m:sepChr m:val=""/>
              <m:grow/>
            </m:dPr>
            <m:e>
              <m:r>
                <m:t>e</m:t>
              </m:r>
            </m:e>
          </m:d>
          <m:r>
            <m:rPr>
              <m:sty m:val="p"/>
            </m:rPr>
            <m:t>=</m:t>
          </m:r>
          <m:sSub>
            <m:e>
              <m:r>
                <m:rPr>
                  <m:sty m:val="p"/>
                  <m:scr m:val="script"/>
                </m:rPr>
                <m:t>P</m:t>
              </m:r>
            </m:e>
            <m:sub>
              <m:r>
                <m:t>3</m:t>
              </m:r>
            </m:sub>
          </m:sSub>
          <m:d>
            <m:dPr>
              <m:begChr m:val="("/>
              <m:endChr m:val=")"/>
              <m:sepChr m:val=""/>
              <m:grow/>
            </m:dPr>
            <m:e>
              <m:r>
                <m:t>G</m:t>
              </m:r>
            </m:e>
          </m:d>
          <m:r>
            <m:rPr>
              <m:sty m:val="p"/>
            </m:rPr>
            <m:t>\</m:t>
          </m:r>
          <m:sSub>
            <m:e>
              <m:r>
                <m:rPr>
                  <m:sty m:val="p"/>
                  <m:scr m:val="script"/>
                </m:rPr>
                <m:t>P</m:t>
              </m:r>
            </m:e>
            <m:sub>
              <m:r>
                <m:t>3</m:t>
              </m:r>
            </m:sub>
          </m:sSub>
          <m:d>
            <m:dPr>
              <m:begChr m:val="("/>
              <m:endChr m:val=")"/>
              <m:sepChr m:val=""/>
              <m:grow/>
            </m:dPr>
            <m:e>
              <m:r>
                <m:t>G</m:t>
              </m:r>
              <m:r>
                <m:rPr>
                  <m:sty m:val="p"/>
                </m:rPr>
                <m:t>+</m:t>
              </m:r>
              <m:r>
                <m:t>e</m:t>
              </m:r>
            </m:e>
          </m:d>
          <m:r>
            <m:rPr>
              <m:sty m:val="p"/>
            </m:rPr>
            <m:t>.</m:t>
          </m:r>
        </m:oMath>
      </m:oMathPara>
    </w:p>
    <w:p>
      <w:pPr>
        <w:pStyle w:val="FirstParagraph"/>
      </w:pPr>
      <w:r>
        <w:t xml:space="preserve">La arista</w:t>
      </w:r>
      <w:r>
        <w:t xml:space="preserve"> </w:t>
      </w:r>
      <m:oMath>
        <m:r>
          <m:t>e</m:t>
        </m:r>
      </m:oMath>
      <w:r>
        <w:t xml:space="preserve"> </w:t>
      </w:r>
      <w:r>
        <w:t xml:space="preserve">es redundante en la circunstancia si</w:t>
      </w:r>
      <w:r>
        <w:t xml:space="preserve"> </w:t>
      </w:r>
      <m:oMath>
        <m:sSub>
          <m:e>
            <m:r>
              <m:t>Δ</m:t>
            </m:r>
          </m:e>
          <m:sub>
            <m:r>
              <m:t>G</m:t>
            </m:r>
          </m:sub>
        </m:sSub>
        <m:d>
          <m:dPr>
            <m:begChr m:val="("/>
            <m:endChr m:val=")"/>
            <m:sepChr m:val=""/>
            <m:grow/>
          </m:dPr>
          <m:e>
            <m:r>
              <m:t>e</m:t>
            </m:r>
          </m:e>
        </m:d>
        <m:r>
          <m:rPr>
            <m:sty m:val="p"/>
          </m:rPr>
          <m:t>=</m:t>
        </m:r>
        <m:r>
          <m:rPr>
            <m:sty m:val="p"/>
          </m:rPr>
          <m:t>⌀</m:t>
        </m:r>
      </m:oMath>
      <w:r>
        <w:t xml:space="preserve">. La cardinalidad por sí sola no identifica la familia: en cinco vértices los grafos con una única arista</w:t>
      </w:r>
      <w:r>
        <w:t xml:space="preserve"> </w:t>
      </w:r>
      <m:oMath>
        <m:r>
          <m:t>01</m:t>
        </m:r>
      </m:oMath>
      <w:r>
        <w:t xml:space="preserve"> </w:t>
      </w:r>
      <w:r>
        <w:t xml:space="preserve">y</w:t>
      </w:r>
      <w:r>
        <w:t xml:space="preserve"> </w:t>
      </w:r>
      <m:oMath>
        <m:r>
          <m:t>12</m:t>
        </m:r>
      </m:oMath>
      <w:r>
        <w:t xml:space="preserve"> </w:t>
      </w:r>
      <w:r>
        <w:t xml:space="preserve">tienen 19 particiones cada uno; una nueva arista</w:t>
      </w:r>
      <w:r>
        <w:t xml:space="preserve"> </w:t>
      </w:r>
      <m:oMath>
        <m:r>
          <m:t>01</m:t>
        </m:r>
      </m:oMath>
      <w:r>
        <w:t xml:space="preserve"> </w:t>
      </w:r>
      <w:r>
        <w:t xml:space="preserve">deja 19 en el primero y 14 en el segundo.</w:t>
      </w:r>
    </w:p>
    <w:p>
      <w:pPr>
        <w:pStyle w:val="BodyText"/>
      </w:pPr>
      <w:r>
        <w:rPr>
          <w:b/>
          <w:bCs/>
        </w:rPr>
        <w:t xml:space="preserve">Separador exacto R6-T3.</w:t>
      </w:r>
      <w:r>
        <w:t xml:space="preserve"> </w:t>
      </w:r>
      <w:r>
        <w:t xml:space="preserve">Si dos grafos tienen familias</w:t>
      </w:r>
      <w:r>
        <w:t xml:space="preserve"> </w:t>
      </w:r>
      <m:oMath>
        <m:sSub>
          <m:e>
            <m:r>
              <m:rPr>
                <m:sty m:val="p"/>
                <m:scr m:val="script"/>
              </m:rPr>
              <m:t>P</m:t>
            </m:r>
          </m:e>
          <m:sub>
            <m:r>
              <m:t>3</m:t>
            </m:r>
          </m:sub>
        </m:sSub>
      </m:oMath>
      <w:r>
        <w:t xml:space="preserve"> </w:t>
      </w:r>
      <w:r>
        <w:t xml:space="preserve">diferentes, una partición</w:t>
      </w:r>
      <w:r>
        <w:t xml:space="preserve"> </w:t>
      </w:r>
      <m:oMath>
        <m:r>
          <m:t>P</m:t>
        </m:r>
      </m:oMath>
      <w:r>
        <w:t xml:space="preserve"> </w:t>
      </w:r>
      <w:r>
        <w:t xml:space="preserve">presente en uno y ausente en otro permite construir un grafo completo tripartito</w:t>
      </w:r>
      <w:r>
        <w:t xml:space="preserve"> </w:t>
      </w:r>
      <m:oMath>
        <m:sSub>
          <m:e>
            <m:r>
              <m:t>K</m:t>
            </m:r>
          </m:e>
          <m:sub>
            <m:r>
              <m:t>P</m:t>
            </m:r>
          </m:sub>
        </m:sSub>
      </m:oMath>
      <w:r>
        <w:t xml:space="preserve">, cuya única partición admisible en tres clases es</w:t>
      </w:r>
      <w:r>
        <w:t xml:space="preserve"> </w:t>
      </w:r>
      <m:oMath>
        <m:r>
          <m:t>P</m:t>
        </m:r>
      </m:oMath>
      <w:r>
        <w:t xml:space="preserve">. Incorporarlo distingue la factibilidad de las dos instancias. Por ello dos grafos responden igual ante</w:t>
      </w:r>
      <w:r>
        <w:t xml:space="preserve"> </w:t>
      </w:r>
      <w:r>
        <w:rPr>
          <w:b/>
          <w:bCs/>
        </w:rPr>
        <w:t xml:space="preserve">todas</w:t>
      </w:r>
      <w:r>
        <w:t xml:space="preserve"> </w:t>
      </w:r>
      <w:r>
        <w:t xml:space="preserve">las inserciones futuras entre los vértices fijados si y solo si tienen idénticas familias</w:t>
      </w:r>
      <w:r>
        <w:t xml:space="preserve"> </w:t>
      </w:r>
      <m:oMath>
        <m:sSub>
          <m:e>
            <m:r>
              <m:rPr>
                <m:sty m:val="p"/>
                <m:scr m:val="script"/>
              </m:rPr>
              <m:t>P</m:t>
            </m:r>
          </m:e>
          <m:sub>
            <m:r>
              <m:t>3</m:t>
            </m:r>
          </m:sub>
        </m:sSub>
      </m:oMath>
      <w:r>
        <w:t xml:space="preserve">. Ésta es una caracterización exacta de equivalencia contextual, no un algoritmo que la compute en tiempo polinómico.</w:t>
      </w:r>
    </w:p>
    <w:p>
      <w:pPr>
        <w:pStyle w:val="BodyText"/>
      </w:pPr>
      <w:r>
        <w:t xml:space="preserve">La clave para el hilo es más precisa que «hay más información»:</w:t>
      </w:r>
      <w:r>
        <w:t xml:space="preserve"> </w:t>
      </w:r>
      <w:r>
        <w:rPr>
          <w:b/>
          <w:bCs/>
        </w:rPr>
        <w:t xml:space="preserve">qué continuaciones están admitidas determina cuáles diferencias interiores debe preservar la referencia</w:t>
      </w:r>
      <w:r>
        <w:t xml:space="preserve">. El teorema siguiente convierte esta observación en una cota de información para una familia explícita.</w:t>
      </w:r>
    </w:p>
    <w:bookmarkStart w:id="27" w:name="X3f97841c7e8683ac0c240c98f4ce6245247562a"/>
    <w:p>
      <w:pPr>
        <w:pStyle w:val="Heading3"/>
      </w:pPr>
      <w:r>
        <w:t xml:space="preserve">T-EXT-01: información mínima para continuaciones exteriores [T/E]</w:t>
      </w:r>
    </w:p>
    <w:p>
      <w:pPr>
        <w:pStyle w:val="FirstParagraph"/>
      </w:pPr>
      <w:r>
        <w:rPr>
          <w:b/>
          <w:bCs/>
        </w:rPr>
        <w:t xml:space="preserve">Contrato y alcance.</w:t>
      </w:r>
      <w:r>
        <w:t xml:space="preserve"> </w:t>
      </w:r>
      <w:r>
        <w:t xml:space="preserve">Fijamos</w:t>
      </w:r>
      <w:r>
        <w:t xml:space="preserve"> </w:t>
      </w:r>
      <m:oMath>
        <m:r>
          <m:t>n</m:t>
        </m:r>
        <m:r>
          <m:rPr>
            <m:sty m:val="p"/>
          </m:rPr>
          <m:t>≥</m:t>
        </m:r>
        <m:r>
          <m:t>2</m:t>
        </m:r>
      </m:oMath>
      <w:r>
        <w:t xml:space="preserve"> </w:t>
      </w:r>
      <w:r>
        <w:t xml:space="preserve">vértices etiquetados</w:t>
      </w:r>
      <w:r>
        <w:t xml:space="preserve"> </w:t>
      </w:r>
      <m:oMath>
        <m:r>
          <m:t>V</m:t>
        </m:r>
        <m:r>
          <m:rPr>
            <m:sty m:val="p"/>
          </m:rPr>
          <m:t>=</m:t>
        </m:r>
        <m:r>
          <m:t>A</m:t>
        </m:r>
        <m:r>
          <m:rPr>
            <m:sty m:val="p"/>
          </m:rPr>
          <m:t>⊔</m:t>
        </m:r>
        <m:r>
          <m:t>B</m:t>
        </m:r>
      </m:oMath>
      <w:r>
        <w:t xml:space="preserve">, con</w:t>
      </w:r>
      <w:r>
        <w:t xml:space="preserve"> </w:t>
      </w:r>
      <m:oMath>
        <m:d>
          <m:dPr>
            <m:begChr m:val="|"/>
            <m:endChr m:val="|"/>
            <m:sepChr m:val=""/>
            <m:grow/>
          </m:dPr>
          <m:e>
            <m:r>
              <m:t>A</m:t>
            </m:r>
          </m:e>
        </m:d>
        <m:r>
          <m:rPr>
            <m:sty m:val="p"/>
          </m:rPr>
          <m:t>=</m:t>
        </m:r>
        <m:r>
          <m:rPr>
            <m:sty m:val="p"/>
          </m:rPr>
          <m:t>⌊</m:t>
        </m:r>
        <m:r>
          <m:t>n</m:t>
        </m:r>
        <m:r>
          <m:rPr>
            <m:sty m:val="p"/>
          </m:rPr>
          <m:t>/</m:t>
        </m:r>
        <m:r>
          <m:t>2</m:t>
        </m:r>
        <m:r>
          <m:rPr>
            <m:sty m:val="p"/>
          </m:rPr>
          <m:t>⌋</m:t>
        </m:r>
      </m:oMath>
      <w:r>
        <w:t xml:space="preserve"> </w:t>
      </w:r>
      <w:r>
        <w:t xml:space="preserve">y</w:t>
      </w:r>
      <w:r>
        <w:t xml:space="preserve"> </w:t>
      </w:r>
      <m:oMath>
        <m:d>
          <m:dPr>
            <m:begChr m:val="|"/>
            <m:endChr m:val="|"/>
            <m:sepChr m:val=""/>
            <m:grow/>
          </m:dPr>
          <m:e>
            <m:r>
              <m:t>B</m:t>
            </m:r>
          </m:e>
        </m:d>
        <m:r>
          <m:rPr>
            <m:sty m:val="p"/>
          </m:rPr>
          <m:t>=</m:t>
        </m:r>
        <m:r>
          <m:rPr>
            <m:sty m:val="p"/>
          </m:rPr>
          <m:t>⌈</m:t>
        </m:r>
        <m:r>
          <m:t>n</m:t>
        </m:r>
        <m:r>
          <m:rPr>
            <m:sty m:val="p"/>
          </m:rPr>
          <m:t>/</m:t>
        </m:r>
        <m:r>
          <m:t>2</m:t>
        </m:r>
        <m:r>
          <m:rPr>
            <m:sty m:val="p"/>
          </m:rPr>
          <m:t>⌉</m:t>
        </m:r>
      </m:oMath>
      <w:r>
        <w:t xml:space="preserve">. Nuestra familia es</w:t>
      </w:r>
    </w:p>
    <w:p>
      <w:pPr>
        <w:pStyle w:val="BodyText"/>
      </w:pPr>
      <m:oMathPara>
        <m:oMathParaPr>
          <m:jc m:val="center"/>
        </m:oMathParaPr>
        <m:oMath>
          <m:sSub>
            <m:e>
              <m:r>
                <m:rPr>
                  <m:sty m:val="p"/>
                  <m:scr m:val="script"/>
                </m:rPr>
                <m:t>H</m:t>
              </m:r>
            </m:e>
            <m:sub>
              <m:r>
                <m:t>n</m:t>
              </m:r>
            </m:sub>
          </m:sSub>
          <m:r>
            <m:rPr>
              <m:sty m:val="p"/>
            </m:rPr>
            <m:t>=</m:t>
          </m:r>
          <m:r>
            <m:rPr>
              <m:sty m:val="p"/>
            </m:rPr>
            <m:t>{</m:t>
          </m:r>
          <m:sSub>
            <m:e>
              <m:r>
                <m:t>H</m:t>
              </m:r>
            </m:e>
            <m:sub>
              <m:r>
                <m:t>E</m:t>
              </m:r>
            </m:sub>
          </m:sSub>
          <m:r>
            <m:rPr>
              <m:sty m:val="p"/>
            </m:rPr>
            <m:t>=</m:t>
          </m:r>
          <m:d>
            <m:dPr>
              <m:begChr m:val="("/>
              <m:endChr m:val=")"/>
              <m:sepChr m:val=""/>
              <m:grow/>
            </m:dPr>
            <m:e>
              <m:r>
                <m:t>V</m:t>
              </m:r>
              <m:r>
                <m:rPr>
                  <m:sty m:val="p"/>
                </m:rPr>
                <m:t>,</m:t>
              </m:r>
              <m:r>
                <m:t>E</m:t>
              </m:r>
            </m:e>
          </m:d>
          <m:r>
            <m:rPr>
              <m:sty m:val="p"/>
            </m:rPr>
            <m:t>:</m:t>
          </m:r>
          <m:r>
            <m:t>E</m:t>
          </m:r>
          <m:r>
            <m:rPr>
              <m:sty m:val="p"/>
            </m:rPr>
            <m:t>⊆</m:t>
          </m:r>
          <m:r>
            <m:t>A</m:t>
          </m:r>
          <m:r>
            <m:rPr>
              <m:sty m:val="p"/>
            </m:rPr>
            <m:t>×</m:t>
          </m:r>
          <m:r>
            <m:t>B</m:t>
          </m:r>
          <m:r>
            <m:rPr>
              <m:sty m:val="p"/>
            </m:rPr>
            <m:t>}</m:t>
          </m:r>
          <m:r>
            <m:rPr>
              <m:sty m:val="p"/>
            </m:rPr>
            <m:t>.</m:t>
          </m:r>
        </m:oMath>
      </m:oMathPara>
    </w:p>
    <w:p>
      <w:pPr>
        <w:pStyle w:val="FirstParagraph"/>
      </w:pPr>
      <w:r>
        <w:t xml:space="preserve">Todos estos grafos son bipartitos y admiten 3-coloraciones. En</w:t>
      </w:r>
      <w:r>
        <w:t xml:space="preserve"> </w:t>
      </w:r>
      <w:r>
        <w:rPr>
          <w:b/>
          <w:bCs/>
        </w:rPr>
        <w:t xml:space="preserve">esta</w:t>
      </w:r>
      <w:r>
        <w:t xml:space="preserve"> </w:t>
      </w:r>
      <w:r>
        <w:t xml:space="preserve">prueba, la interfaz exterior contiene</w:t>
      </w:r>
      <w:r>
        <w:t xml:space="preserve"> </w:t>
      </w:r>
      <w:r>
        <w:rPr>
          <w:b/>
          <w:bCs/>
        </w:rPr>
        <w:t xml:space="preserve">todos los vértices de</w:t>
      </w:r>
      <w:r>
        <w:rPr>
          <w:b/>
          <w:bCs/>
        </w:rPr>
        <w:t xml:space="preserve"> </w:t>
      </w:r>
      <m:oMath>
        <m:r>
          <m:t>V</m:t>
        </m:r>
      </m:oMath>
      <w:r>
        <w:t xml:space="preserve">: una continuación puede unir dos vértices nuevos a cualquier par</w:t>
      </w:r>
      <w:r>
        <w:t xml:space="preserve"> </w:t>
      </w:r>
      <m:oMath>
        <m:r>
          <m:t>u</m:t>
        </m:r>
        <m:r>
          <m:rPr>
            <m:sty m:val="p"/>
          </m:rPr>
          <m:t>∈</m:t>
        </m:r>
        <m:r>
          <m:t>A</m:t>
        </m:r>
      </m:oMath>
      <w:r>
        <w:t xml:space="preserve">,</w:t>
      </w:r>
      <w:r>
        <w:t xml:space="preserve"> </w:t>
      </w:r>
      <m:oMath>
        <m:r>
          <m:t>v</m:t>
        </m:r>
        <m:r>
          <m:rPr>
            <m:sty m:val="p"/>
          </m:rPr>
          <m:t>∈</m:t>
        </m:r>
        <m:r>
          <m:t>B</m:t>
        </m:r>
      </m:oMath>
      <w:r>
        <w:t xml:space="preserve">. No se afirma que la misma cota valga para una interfaz propia que solo exponga unos pocos vértices interiores.</w:t>
      </w:r>
    </w:p>
    <w:p>
      <w:pPr>
        <w:pStyle w:val="BodyText"/>
      </w:pPr>
      <w:r>
        <w:t xml:space="preserve">Para cada par</w:t>
      </w:r>
      <w:r>
        <w:t xml:space="preserve"> </w:t>
      </w:r>
      <m:oMath>
        <m:r>
          <m:t>u</m:t>
        </m:r>
        <m:r>
          <m:rPr>
            <m:sty m:val="p"/>
          </m:rPr>
          <m:t>∈</m:t>
        </m:r>
        <m:r>
          <m:t>A</m:t>
        </m:r>
      </m:oMath>
      <w:r>
        <w:t xml:space="preserve">,</w:t>
      </w:r>
      <w:r>
        <w:t xml:space="preserve"> </w:t>
      </w:r>
      <m:oMath>
        <m:r>
          <m:t>v</m:t>
        </m:r>
        <m:r>
          <m:rPr>
            <m:sty m:val="p"/>
          </m:rPr>
          <m:t>∈</m:t>
        </m:r>
        <m:r>
          <m:t>B</m:t>
        </m:r>
      </m:oMath>
      <w:r>
        <w:t xml:space="preserve">, definimos la continuación</w:t>
      </w:r>
      <w:r>
        <w:t xml:space="preserve"> </w:t>
      </w:r>
      <m:oMath>
        <m:sSub>
          <m:e>
            <m:r>
              <m:t>D</m:t>
            </m:r>
          </m:e>
          <m:sub>
            <m:r>
              <m:t>u</m:t>
            </m:r>
            <m:r>
              <m:t>v</m:t>
            </m:r>
          </m:sub>
        </m:sSub>
      </m:oMath>
      <w:r>
        <w:t xml:space="preserve"> </w:t>
      </w:r>
      <w:r>
        <w:t xml:space="preserve">añadiendo dos vértices nuevos</w:t>
      </w:r>
      <w:r>
        <w:t xml:space="preserve"> </w:t>
      </w:r>
      <m:oMath>
        <m:r>
          <m:t>a</m:t>
        </m:r>
        <m:r>
          <m:rPr>
            <m:sty m:val="p"/>
          </m:rPr>
          <m:t>,</m:t>
        </m:r>
        <m:r>
          <m:t>b</m:t>
        </m:r>
      </m:oMath>
      <w:r>
        <w:t xml:space="preserve"> </w:t>
      </w:r>
      <w:r>
        <w:t xml:space="preserve">y exactamente las cinco aristas</w:t>
      </w:r>
    </w:p>
    <w:p>
      <w:pPr>
        <w:pStyle w:val="BodyText"/>
      </w:pPr>
      <m:oMathPara>
        <m:oMathParaPr>
          <m:jc m:val="center"/>
        </m:oMathParaPr>
        <m:oMath>
          <m:sSub>
            <m:e>
              <m:r>
                <m:t>D</m:t>
              </m:r>
            </m:e>
            <m:sub>
              <m:r>
                <m:t>u</m:t>
              </m:r>
              <m:r>
                <m:t>v</m:t>
              </m:r>
            </m:sub>
          </m:sSub>
          <m:r>
            <m:rPr>
              <m:sty m:val="p"/>
            </m:rPr>
            <m:t>=</m:t>
          </m:r>
          <m:r>
            <m:rPr>
              <m:sty m:val="p"/>
            </m:rPr>
            <m:t>{</m:t>
          </m:r>
          <m:r>
            <m:t>a</m:t>
          </m:r>
          <m:r>
            <m:t>b</m:t>
          </m:r>
          <m:r>
            <m:rPr>
              <m:sty m:val="p"/>
            </m:rPr>
            <m:t>,</m:t>
          </m:r>
          <m:r>
            <m:t>a</m:t>
          </m:r>
          <m:r>
            <m:t>u</m:t>
          </m:r>
          <m:r>
            <m:rPr>
              <m:sty m:val="p"/>
            </m:rPr>
            <m:t>,</m:t>
          </m:r>
          <m:r>
            <m:t>a</m:t>
          </m:r>
          <m:r>
            <m:t>v</m:t>
          </m:r>
          <m:r>
            <m:rPr>
              <m:sty m:val="p"/>
            </m:rPr>
            <m:t>,</m:t>
          </m:r>
          <m:r>
            <m:t>b</m:t>
          </m:r>
          <m:r>
            <m:t>u</m:t>
          </m:r>
          <m:r>
            <m:rPr>
              <m:sty m:val="p"/>
            </m:rPr>
            <m:t>,</m:t>
          </m:r>
          <m:r>
            <m:t>b</m:t>
          </m:r>
          <m:r>
            <m:t>v</m:t>
          </m:r>
          <m:r>
            <m:rPr>
              <m:sty m:val="p"/>
            </m:rPr>
            <m:t>}</m:t>
          </m:r>
          <m:r>
            <m:rPr>
              <m:sty m:val="p"/>
            </m:rPr>
            <m:t>.</m:t>
          </m:r>
        </m:oMath>
      </m:oMathPara>
    </w:p>
    <w:p>
      <w:pPr>
        <w:pStyle w:val="FirstParagraph"/>
      </w:pPr>
      <w:r>
        <w:t xml:space="preserve">La consulta</w:t>
      </w:r>
      <w:r>
        <w:t xml:space="preserve"> </w:t>
      </w:r>
      <m:oMath>
        <m:r>
          <m:t>Q</m:t>
        </m:r>
        <m:d>
          <m:dPr>
            <m:begChr m:val="("/>
            <m:endChr m:val=")"/>
            <m:sepChr m:val=""/>
            <m:grow/>
          </m:dPr>
          <m:e>
            <m:sSub>
              <m:e>
                <m:r>
                  <m:t>H</m:t>
                </m:r>
              </m:e>
              <m:sub>
                <m:r>
                  <m:t>E</m:t>
                </m:r>
              </m:sub>
            </m:sSub>
            <m:r>
              <m:rPr>
                <m:sty m:val="p"/>
              </m:rPr>
              <m:t>∪</m:t>
            </m:r>
            <m:sSub>
              <m:e>
                <m:r>
                  <m:t>D</m:t>
                </m:r>
              </m:e>
              <m:sub>
                <m:r>
                  <m:t>u</m:t>
                </m:r>
                <m:r>
                  <m:t>v</m:t>
                </m:r>
              </m:sub>
            </m:sSub>
          </m:e>
        </m:d>
      </m:oMath>
      <w:r>
        <w:t xml:space="preserve"> </w:t>
      </w:r>
      <w:r>
        <w:t xml:space="preserve">pregunta si el grafo aumentado es 3-coloreable. Una</w:t>
      </w:r>
      <w:r>
        <w:t xml:space="preserve"> </w:t>
      </w:r>
      <w:r>
        <w:rPr>
          <w:i/>
          <w:iCs/>
        </w:rPr>
        <w:t xml:space="preserve">firma autosuficiente</w:t>
      </w:r>
      <w:r>
        <w:t xml:space="preserve"> </w:t>
      </w:r>
      <m:oMath>
        <m:r>
          <m:t>Φ</m:t>
        </m:r>
        <m:d>
          <m:dPr>
            <m:begChr m:val="("/>
            <m:endChr m:val=")"/>
            <m:sepChr m:val=""/>
            <m:grow/>
          </m:dPr>
          <m:e>
            <m:sSub>
              <m:e>
                <m:r>
                  <m:t>H</m:t>
                </m:r>
              </m:e>
              <m:sub>
                <m:r>
                  <m:t>E</m:t>
                </m:r>
              </m:sub>
            </m:sSub>
          </m:e>
        </m:d>
      </m:oMath>
      <w:r>
        <w:t xml:space="preserve"> </w:t>
      </w:r>
      <w:r>
        <w:t xml:space="preserve">debe responder esa consulta para</w:t>
      </w:r>
      <w:r>
        <w:t xml:space="preserve"> </w:t>
      </w:r>
      <w:r>
        <w:rPr>
          <w:b/>
          <w:bCs/>
        </w:rPr>
        <w:t xml:space="preserve">todos</w:t>
      </w:r>
      <w:r>
        <w:t xml:space="preserve"> </w:t>
      </w:r>
      <w:r>
        <w:t xml:space="preserve">los pares mediante funciones de lectura</w:t>
      </w:r>
      <w:r>
        <w:t xml:space="preserve"> </w:t>
      </w:r>
      <m:oMath>
        <m:sSub>
          <m:e>
            <m:r>
              <m:t>d</m:t>
            </m:r>
          </m:e>
          <m:sub>
            <m:r>
              <m:t>u</m:t>
            </m:r>
            <m:r>
              <m:t>v</m:t>
            </m:r>
          </m:sub>
        </m:sSub>
      </m:oMath>
      <w:r>
        <w:t xml:space="preserve">, sin acceso adicional al grafo original que no esté contado en la representación:</w:t>
      </w:r>
    </w:p>
    <w:p>
      <w:pPr>
        <w:pStyle w:val="BodyText"/>
      </w:pPr>
      <m:oMathPara>
        <m:oMathParaPr>
          <m:jc m:val="center"/>
        </m:oMathParaPr>
        <m:oMath>
          <m:r>
            <m:t>Q</m:t>
          </m:r>
          <m:d>
            <m:dPr>
              <m:begChr m:val="("/>
              <m:endChr m:val=")"/>
              <m:sepChr m:val=""/>
              <m:grow/>
            </m:dPr>
            <m:e>
              <m:sSub>
                <m:e>
                  <m:r>
                    <m:t>H</m:t>
                  </m:r>
                </m:e>
                <m:sub>
                  <m:r>
                    <m:t>E</m:t>
                  </m:r>
                </m:sub>
              </m:sSub>
              <m:r>
                <m:rPr>
                  <m:sty m:val="p"/>
                </m:rPr>
                <m:t>∪</m:t>
              </m:r>
              <m:sSub>
                <m:e>
                  <m:r>
                    <m:t>D</m:t>
                  </m:r>
                </m:e>
                <m:sub>
                  <m:r>
                    <m:t>u</m:t>
                  </m:r>
                  <m:r>
                    <m:t>v</m:t>
                  </m:r>
                </m:sub>
              </m:sSub>
            </m:e>
          </m:d>
          <m:r>
            <m:rPr>
              <m:sty m:val="p"/>
            </m:rPr>
            <m:t>=</m:t>
          </m:r>
          <m:sSub>
            <m:e>
              <m:r>
                <m:t>d</m:t>
              </m:r>
            </m:e>
            <m:sub>
              <m:r>
                <m:t>u</m:t>
              </m:r>
              <m:r>
                <m:t>v</m:t>
              </m:r>
            </m:sub>
          </m:sSub>
          <m:d>
            <m:dPr>
              <m:begChr m:val="("/>
              <m:endChr m:val=")"/>
              <m:sepChr m:val=""/>
              <m:grow/>
            </m:dPr>
            <m:e>
              <m:r>
                <m:t>Φ</m:t>
              </m:r>
              <m:d>
                <m:dPr>
                  <m:begChr m:val="("/>
                  <m:endChr m:val=")"/>
                  <m:sepChr m:val=""/>
                  <m:grow/>
                </m:dPr>
                <m:e>
                  <m:sSub>
                    <m:e>
                      <m:r>
                        <m:t>H</m:t>
                      </m:r>
                    </m:e>
                    <m:sub>
                      <m:r>
                        <m:t>E</m:t>
                      </m:r>
                    </m:sub>
                  </m:sSub>
                </m:e>
              </m:d>
            </m:e>
          </m:d>
          <m:r>
            <m:rPr>
              <m:sty m:val="p"/>
            </m:rPr>
            <m:t>.</m:t>
          </m:r>
        </m:oMath>
      </m:oMathPara>
    </w:p>
    <w:p>
      <w:pPr>
        <w:pStyle w:val="FirstParagraph"/>
        <w:keepNext/>
        <w:keepLines/>
      </w:pPr>
      <w:r>
        <w:rPr>
          <w:b/>
          <w:bCs/>
        </w:rPr>
        <w:t xml:space="preserve">Teorema T-EXT-01 (cota exacta de estados contextuales).</w:t>
      </w:r>
      <w:r>
        <w:t xml:space="preserve"> </w:t>
      </w:r>
      <w:r>
        <w:t xml:space="preserve">Bajo este contrato, toda firma autosuficiente distingue al menos</w:t>
      </w:r>
    </w:p>
    <w:p>
      <w:pPr>
        <w:pStyle w:val="BodyText"/>
      </w:pPr>
      <m:oMathPara>
        <m:oMathParaPr>
          <m:jc m:val="center"/>
        </m:oMathParaPr>
        <m:oMath>
          <m:borderBox>
            <m:e>
              <m:sSup>
                <m:e>
                  <m:r>
                    <m:t>2</m:t>
                  </m:r>
                </m:e>
                <m:sup>
                  <m:d>
                    <m:dPr>
                      <m:begChr m:val="|"/>
                      <m:endChr m:val="|"/>
                      <m:sepChr m:val=""/>
                      <m:grow/>
                    </m:dPr>
                    <m:e>
                      <m:r>
                        <m:t>A</m:t>
                      </m:r>
                    </m:e>
                  </m:d>
                  <m:d>
                    <m:dPr>
                      <m:begChr m:val="|"/>
                      <m:endChr m:val="|"/>
                      <m:sepChr m:val=""/>
                      <m:grow/>
                    </m:dPr>
                    <m:e>
                      <m:r>
                        <m:t>B</m:t>
                      </m:r>
                    </m:e>
                  </m:d>
                </m:sup>
              </m:sSup>
              <m:r>
                <m:rPr>
                  <m:sty m:val="p"/>
                </m:rPr>
                <m:t>=</m:t>
              </m:r>
              <m:sSup>
                <m:e>
                  <m:r>
                    <m:t>2</m:t>
                  </m:r>
                </m:e>
                <m:sup>
                  <m:r>
                    <m:rPr>
                      <m:sty m:val="p"/>
                    </m:rPr>
                    <m:t>⌊</m:t>
                  </m:r>
                  <m:sSup>
                    <m:e>
                      <m:r>
                        <m:t>n</m:t>
                      </m:r>
                    </m:e>
                    <m:sup>
                      <m:r>
                        <m:t>2</m:t>
                      </m:r>
                    </m:sup>
                  </m:sSup>
                  <m:r>
                    <m:rPr>
                      <m:sty m:val="p"/>
                    </m:rPr>
                    <m:t>/</m:t>
                  </m:r>
                  <m:r>
                    <m:t>4</m:t>
                  </m:r>
                  <m:r>
                    <m:rPr>
                      <m:sty m:val="p"/>
                    </m:rPr>
                    <m:t>⌋</m:t>
                  </m:r>
                </m:sup>
              </m:sSup>
            </m:e>
          </m:borderBox>
        </m:oMath>
      </m:oMathPara>
    </w:p>
    <w:p>
      <w:pPr>
        <w:pStyle w:val="FirstParagraph"/>
      </w:pPr>
      <w:r>
        <w:t xml:space="preserve">estados. En una codificación binaria de longitud fija esto exige al menos</w:t>
      </w:r>
      <w:r>
        <w:t xml:space="preserve"> </w:t>
      </w:r>
      <m:oMath>
        <m:r>
          <m:rPr>
            <m:sty m:val="p"/>
          </m:rPr>
          <m:t>⌊</m:t>
        </m:r>
        <m:sSup>
          <m:e>
            <m:r>
              <m:t>n</m:t>
            </m:r>
          </m:e>
          <m:sup>
            <m:r>
              <m:t>2</m:t>
            </m:r>
          </m:sup>
        </m:sSup>
        <m:r>
          <m:rPr>
            <m:sty m:val="p"/>
          </m:rPr>
          <m:t>/</m:t>
        </m:r>
        <m:r>
          <m:t>4</m:t>
        </m:r>
        <m:r>
          <m:rPr>
            <m:sty m:val="p"/>
          </m:rPr>
          <m:t>⌋</m:t>
        </m:r>
      </m:oMath>
      <w:r>
        <w:t xml:space="preserve"> </w:t>
      </w:r>
      <w:r>
        <w:t xml:space="preserve">bits. Para esta familia, la cota en bits es ajustada: registrar la matriz de adyacencia de los pares</w:t>
      </w:r>
      <w:r>
        <w:t xml:space="preserve"> </w:t>
      </w:r>
      <m:oMath>
        <m:r>
          <m:t>A</m:t>
        </m:r>
        <m:r>
          <m:rPr>
            <m:sty m:val="p"/>
          </m:rPr>
          <m:t>×</m:t>
        </m:r>
        <m:r>
          <m:t>B</m:t>
        </m:r>
      </m:oMath>
      <w:r>
        <w:t xml:space="preserve"> </w:t>
      </w:r>
      <w:r>
        <w:t xml:space="preserve">emplea exactamente esa cantidad, sin que ello garantice lectura eficiente para todas las familias de continuaciones posibles.</w:t>
      </w:r>
    </w:p>
    <w:p>
      <w:pPr>
        <w:pStyle w:val="BodyText"/>
      </w:pPr>
      <w:r>
        <w:rPr>
          <w:b/>
          <w:bCs/>
        </w:rPr>
        <w:t xml:space="preserve">Demostración.</w:t>
      </w:r>
      <w:r>
        <w:t xml:space="preserve"> </w:t>
      </w:r>
      <w:r>
        <w:t xml:space="preserve">Primero, para todo</w:t>
      </w:r>
      <w:r>
        <w:t xml:space="preserve"> </w:t>
      </w:r>
      <m:oMath>
        <m:r>
          <m:t>E</m:t>
        </m:r>
        <m:r>
          <m:rPr>
            <m:sty m:val="p"/>
          </m:rPr>
          <m:t>⊆</m:t>
        </m:r>
        <m:r>
          <m:t>A</m:t>
        </m:r>
        <m:r>
          <m:rPr>
            <m:sty m:val="p"/>
          </m:rPr>
          <m:t>×</m:t>
        </m:r>
        <m:r>
          <m:t>B</m:t>
        </m:r>
      </m:oMath>
      <w:r>
        <w:t xml:space="preserve"> </w:t>
      </w:r>
      <w:r>
        <w:t xml:space="preserve">y todo par</w:t>
      </w:r>
      <w:r>
        <w:t xml:space="preserve"> </w:t>
      </w:r>
      <m:oMath>
        <m:r>
          <m:t>u</m:t>
        </m:r>
        <m:r>
          <m:t>v</m:t>
        </m:r>
        <m:r>
          <m:rPr>
            <m:sty m:val="p"/>
          </m:rPr>
          <m:t>∈</m:t>
        </m:r>
        <m:r>
          <m:t>A</m:t>
        </m:r>
        <m:r>
          <m:rPr>
            <m:sty m:val="p"/>
          </m:rPr>
          <m:t>×</m:t>
        </m:r>
        <m:r>
          <m:t>B</m:t>
        </m:r>
      </m:oMath>
      <w:r>
        <w:t xml:space="preserve"> </w:t>
      </w:r>
      <w:r>
        <w:t xml:space="preserve">se cumple</w:t>
      </w:r>
    </w:p>
    <w:p>
      <w:pPr>
        <w:pStyle w:val="BodyText"/>
      </w:pPr>
      <m:oMathPara>
        <m:oMathParaPr>
          <m:jc m:val="center"/>
        </m:oMathParaPr>
        <m:oMath>
          <m:borderBox>
            <m:e>
              <m:sSub>
                <m:e>
                  <m:r>
                    <m:t>H</m:t>
                  </m:r>
                </m:e>
                <m:sub>
                  <m:r>
                    <m:t>E</m:t>
                  </m:r>
                </m:sub>
              </m:sSub>
              <m:r>
                <m:rPr>
                  <m:sty m:val="p"/>
                </m:rPr>
                <m:t>∪</m:t>
              </m:r>
              <m:sSub>
                <m:e>
                  <m:r>
                    <m:t>D</m:t>
                  </m:r>
                </m:e>
                <m:sub>
                  <m:r>
                    <m:t>u</m:t>
                  </m:r>
                  <m:r>
                    <m:t>v</m:t>
                  </m:r>
                </m:sub>
              </m:sSub>
              <m:r>
                <m:rPr>
                  <m:nor/>
                  <m:sty m:val="p"/>
                </m:rPr>
                <m:t> es 3-coloreable</m:t>
              </m:r>
              <m:r>
                <m:rPr>
                  <m:sty m:val="p"/>
                </m:rPr>
                <m:t>⇔</m:t>
              </m:r>
              <m:r>
                <m:t>u</m:t>
              </m:r>
              <m:r>
                <m:t>v</m:t>
              </m:r>
              <m:r>
                <m:rPr>
                  <m:sty m:val="p"/>
                </m:rPr>
                <m:t>∉</m:t>
              </m:r>
              <m:r>
                <m:t>E</m:t>
              </m:r>
              <m:r>
                <m:rPr>
                  <m:sty m:val="p"/>
                </m:rPr>
                <m:t>.</m:t>
              </m:r>
            </m:e>
          </m:borderBox>
        </m:oMath>
      </m:oMathPara>
    </w:p>
    <w:p>
      <w:pPr>
        <w:pStyle w:val="FirstParagraph"/>
      </w:pPr>
      <w:r>
        <w:t xml:space="preserve">Si</w:t>
      </w:r>
      <w:r>
        <w:t xml:space="preserve"> </w:t>
      </w:r>
      <m:oMath>
        <m:r>
          <m:t>u</m:t>
        </m:r>
        <m:r>
          <m:t>v</m:t>
        </m:r>
        <m:r>
          <m:rPr>
            <m:sty m:val="p"/>
          </m:rPr>
          <m:t>∈</m:t>
        </m:r>
        <m:r>
          <m:t>E</m:t>
        </m:r>
      </m:oMath>
      <w:r>
        <w:t xml:space="preserve">, los cuatro vértices</w:t>
      </w:r>
      <w:r>
        <w:t xml:space="preserve"> </w:t>
      </w:r>
      <m:oMath>
        <m:r>
          <m:t>a</m:t>
        </m:r>
        <m:r>
          <m:rPr>
            <m:sty m:val="p"/>
          </m:rPr>
          <m:t>,</m:t>
        </m:r>
        <m:r>
          <m:t>b</m:t>
        </m:r>
        <m:r>
          <m:rPr>
            <m:sty m:val="p"/>
          </m:rPr>
          <m:t>,</m:t>
        </m:r>
        <m:r>
          <m:t>u</m:t>
        </m:r>
        <m:r>
          <m:rPr>
            <m:sty m:val="p"/>
          </m:rPr>
          <m:t>,</m:t>
        </m:r>
        <m:r>
          <m:t>v</m:t>
        </m:r>
      </m:oMath>
      <w:r>
        <w:t xml:space="preserve"> </w:t>
      </w:r>
      <w:r>
        <w:t xml:space="preserve">inducen un</w:t>
      </w:r>
      <w:r>
        <w:t xml:space="preserve"> </w:t>
      </w:r>
      <m:oMath>
        <m:sSub>
          <m:e>
            <m:r>
              <m:t>K</m:t>
            </m:r>
          </m:e>
          <m:sub>
            <m:r>
              <m:t>4</m:t>
            </m:r>
          </m:sub>
        </m:sSub>
      </m:oMath>
      <w:r>
        <w:t xml:space="preserve"> </w:t>
      </w:r>
      <w:r>
        <w:t xml:space="preserve">y no admiten tres colores. Si</w:t>
      </w:r>
      <w:r>
        <w:t xml:space="preserve"> </w:t>
      </w:r>
      <m:oMath>
        <m:r>
          <m:t>u</m:t>
        </m:r>
        <m:r>
          <m:t>v</m:t>
        </m:r>
        <m:r>
          <m:rPr>
            <m:sty m:val="p"/>
          </m:rPr>
          <m:t>∉</m:t>
        </m:r>
        <m:r>
          <m:t>E</m:t>
        </m:r>
      </m:oMath>
      <w:r>
        <w:t xml:space="preserve">, coloreamos</w:t>
      </w:r>
      <w:r>
        <w:t xml:space="preserve"> </w:t>
      </w:r>
      <m:oMath>
        <m:r>
          <m:t>A</m:t>
        </m:r>
        <m:r>
          <m:rPr>
            <m:sty m:val="p"/>
          </m:rPr>
          <m:t>\</m:t>
        </m:r>
        <m:r>
          <m:rPr>
            <m:sty m:val="p"/>
          </m:rPr>
          <m:t>{</m:t>
        </m:r>
        <m:r>
          <m:t>u</m:t>
        </m:r>
        <m:r>
          <m:rPr>
            <m:sty m:val="p"/>
          </m:rPr>
          <m:t>}</m:t>
        </m:r>
      </m:oMath>
      <w:r>
        <w:t xml:space="preserve"> </w:t>
      </w:r>
      <w:r>
        <w:t xml:space="preserve">con 0,</w:t>
      </w:r>
      <w:r>
        <w:t xml:space="preserve"> </w:t>
      </w:r>
      <m:oMath>
        <m:r>
          <m:t>B</m:t>
        </m:r>
        <m:r>
          <m:rPr>
            <m:sty m:val="p"/>
          </m:rPr>
          <m:t>\</m:t>
        </m:r>
        <m:r>
          <m:rPr>
            <m:sty m:val="p"/>
          </m:rPr>
          <m:t>{</m:t>
        </m:r>
        <m:r>
          <m:t>v</m:t>
        </m:r>
        <m:r>
          <m:rPr>
            <m:sty m:val="p"/>
          </m:rPr>
          <m:t>}</m:t>
        </m:r>
      </m:oMath>
      <w:r>
        <w:t xml:space="preserve"> </w:t>
      </w:r>
      <w:r>
        <w:t xml:space="preserve">con 1,</w:t>
      </w:r>
      <w:r>
        <w:t xml:space="preserve"> </w:t>
      </w:r>
      <m:oMath>
        <m:r>
          <m:t>u</m:t>
        </m:r>
      </m:oMath>
      <w:r>
        <w:t xml:space="preserve"> </w:t>
      </w:r>
      <w:r>
        <w:t xml:space="preserve">y</w:t>
      </w:r>
      <w:r>
        <w:t xml:space="preserve"> </w:t>
      </w:r>
      <m:oMath>
        <m:r>
          <m:t>v</m:t>
        </m:r>
      </m:oMath>
      <w:r>
        <w:t xml:space="preserve"> </w:t>
      </w:r>
      <w:r>
        <w:t xml:space="preserve">con 2, y los vértices nuevos</w:t>
      </w:r>
      <w:r>
        <w:t xml:space="preserve"> </w:t>
      </w:r>
      <m:oMath>
        <m:r>
          <m:t>a</m:t>
        </m:r>
        <m:r>
          <m:rPr>
            <m:sty m:val="p"/>
          </m:rPr>
          <m:t>,</m:t>
        </m:r>
        <m:r>
          <m:t>b</m:t>
        </m:r>
      </m:oMath>
      <w:r>
        <w:t xml:space="preserve"> </w:t>
      </w:r>
      <w:r>
        <w:t xml:space="preserve">con 0 y 1, respectivamente. Esta asignación es válida: las aristas originales solo conectan</w:t>
      </w:r>
      <w:r>
        <w:t xml:space="preserve"> </w:t>
      </w:r>
      <m:oMath>
        <m:r>
          <m:t>A</m:t>
        </m:r>
      </m:oMath>
      <w:r>
        <w:t xml:space="preserve"> </w:t>
      </w:r>
      <w:r>
        <w:t xml:space="preserve">con</w:t>
      </w:r>
      <w:r>
        <w:t xml:space="preserve"> </w:t>
      </w:r>
      <m:oMath>
        <m:r>
          <m:t>B</m:t>
        </m:r>
      </m:oMath>
      <w:r>
        <w:t xml:space="preserve">,</w:t>
      </w:r>
      <w:r>
        <w:t xml:space="preserve"> </w:t>
      </w:r>
      <m:oMath>
        <m:r>
          <m:t>u</m:t>
        </m:r>
        <m:r>
          <m:t>v</m:t>
        </m:r>
      </m:oMath>
      <w:r>
        <w:t xml:space="preserve"> </w:t>
      </w:r>
      <w:r>
        <w:t xml:space="preserve">está ausente y las cinco aristas nuevas tienen extremos de distinto color.</w:t>
      </w:r>
    </w:p>
    <w:p>
      <w:pPr>
        <w:pStyle w:val="BodyText"/>
      </w:pPr>
      <w:r>
        <w:t xml:space="preserve">Si</w:t>
      </w:r>
      <w:r>
        <w:t xml:space="preserve"> </w:t>
      </w:r>
      <m:oMath>
        <m:r>
          <m:t>E</m:t>
        </m:r>
        <m:r>
          <m:rPr>
            <m:sty m:val="p"/>
          </m:rPr>
          <m:t>≠</m:t>
        </m:r>
        <m:r>
          <m:t>E</m:t>
        </m:r>
        <m:r>
          <m:rPr>
            <m:sty m:val="p"/>
          </m:rPr>
          <m:t>′</m:t>
        </m:r>
      </m:oMath>
      <w:r>
        <w:t xml:space="preserve">, existe un par</w:t>
      </w:r>
      <w:r>
        <w:t xml:space="preserve"> </w:t>
      </w:r>
      <m:oMath>
        <m:r>
          <m:t>u</m:t>
        </m:r>
        <m:r>
          <m:t>v</m:t>
        </m:r>
      </m:oMath>
      <w:r>
        <w:t xml:space="preserve"> </w:t>
      </w:r>
      <w:r>
        <w:t xml:space="preserve">presente exactamente en uno de los dos conjuntos. La continuación</w:t>
      </w:r>
      <w:r>
        <w:t xml:space="preserve"> </w:t>
      </w:r>
      <m:oMath>
        <m:sSub>
          <m:e>
            <m:r>
              <m:t>D</m:t>
            </m:r>
          </m:e>
          <m:sub>
            <m:r>
              <m:t>u</m:t>
            </m:r>
            <m:r>
              <m:t>v</m:t>
            </m:r>
          </m:sub>
        </m:sSub>
      </m:oMath>
      <w:r>
        <w:t xml:space="preserve"> </w:t>
      </w:r>
      <w:r>
        <w:t xml:space="preserve">da respuestas distintas para</w:t>
      </w:r>
      <w:r>
        <w:t xml:space="preserve"> </w:t>
      </w:r>
      <m:oMath>
        <m:sSub>
          <m:e>
            <m:r>
              <m:t>H</m:t>
            </m:r>
          </m:e>
          <m:sub>
            <m:r>
              <m:t>E</m:t>
            </m:r>
          </m:sub>
        </m:sSub>
      </m:oMath>
      <w:r>
        <w:t xml:space="preserve"> </w:t>
      </w:r>
      <w:r>
        <w:t xml:space="preserve">y</w:t>
      </w:r>
      <w:r>
        <w:t xml:space="preserve"> </w:t>
      </w:r>
      <m:oMath>
        <m:sSub>
          <m:e>
            <m:r>
              <m:t>H</m:t>
            </m:r>
          </m:e>
          <m:sub>
            <m:r>
              <m:t>E</m:t>
            </m:r>
            <m:r>
              <m:rPr>
                <m:sty m:val="p"/>
              </m:rPr>
              <m:t>′</m:t>
            </m:r>
          </m:sub>
        </m:sSub>
      </m:oMath>
      <w:r>
        <w:t xml:space="preserve">. Una firma que permitiera responder todas las consultas no puede identificarlos. Hay</w:t>
      </w:r>
      <w:r>
        <w:t xml:space="preserve"> </w:t>
      </w:r>
      <m:oMath>
        <m:sSup>
          <m:e>
            <m:r>
              <m:t>2</m:t>
            </m:r>
          </m:e>
          <m:sup>
            <m:d>
              <m:dPr>
                <m:begChr m:val="|"/>
                <m:endChr m:val="|"/>
                <m:sepChr m:val=""/>
                <m:grow/>
              </m:dPr>
              <m:e>
                <m:r>
                  <m:t>A</m:t>
                </m:r>
              </m:e>
            </m:d>
            <m:d>
              <m:dPr>
                <m:begChr m:val="|"/>
                <m:endChr m:val="|"/>
                <m:sepChr m:val=""/>
                <m:grow/>
              </m:dPr>
              <m:e>
                <m:r>
                  <m:t>B</m:t>
                </m:r>
              </m:e>
            </m:d>
          </m:sup>
        </m:sSup>
      </m:oMath>
      <w:r>
        <w:t xml:space="preserve"> </w:t>
      </w:r>
      <w:r>
        <w:t xml:space="preserve">subconjuntos de aristas, luego igual número de firmas distinguibles. Una codificación fija con</w:t>
      </w:r>
      <w:r>
        <w:t xml:space="preserve"> </w:t>
      </w:r>
      <m:oMath>
        <m:r>
          <m:t>b</m:t>
        </m:r>
      </m:oMath>
      <w:r>
        <w:t xml:space="preserve"> </w:t>
      </w:r>
      <w:r>
        <w:t xml:space="preserve">bits representa a lo sumo</w:t>
      </w:r>
      <w:r>
        <w:t xml:space="preserve"> </w:t>
      </w:r>
      <m:oMath>
        <m:sSup>
          <m:e>
            <m:r>
              <m:t>2</m:t>
            </m:r>
          </m:e>
          <m:sup>
            <m:r>
              <m:t>b</m:t>
            </m:r>
          </m:sup>
        </m:sSup>
      </m:oMath>
      <w:r>
        <w:t xml:space="preserve"> </w:t>
      </w:r>
      <w:r>
        <w:t xml:space="preserve">estados, de donde</w:t>
      </w:r>
      <w:r>
        <w:t xml:space="preserve"> </w:t>
      </w:r>
      <m:oMath>
        <m:r>
          <m:t>b</m:t>
        </m:r>
        <m:r>
          <m:rPr>
            <m:sty m:val="p"/>
          </m:rPr>
          <m:t>≥</m:t>
        </m:r>
        <m:d>
          <m:dPr>
            <m:begChr m:val="|"/>
            <m:endChr m:val="|"/>
            <m:sepChr m:val=""/>
            <m:grow/>
          </m:dPr>
          <m:e>
            <m:r>
              <m:t>A</m:t>
            </m:r>
          </m:e>
        </m:d>
        <m:d>
          <m:dPr>
            <m:begChr m:val="|"/>
            <m:endChr m:val="|"/>
            <m:sepChr m:val=""/>
            <m:grow/>
          </m:dPr>
          <m:e>
            <m:r>
              <m:t>B</m:t>
            </m:r>
          </m:e>
        </m:d>
        <m:r>
          <m:rPr>
            <m:sty m:val="p"/>
          </m:rPr>
          <m:t>=</m:t>
        </m:r>
        <m:r>
          <m:rPr>
            <m:sty m:val="p"/>
          </m:rPr>
          <m:t>⌊</m:t>
        </m:r>
        <m:sSup>
          <m:e>
            <m:r>
              <m:t>n</m:t>
            </m:r>
          </m:e>
          <m:sup>
            <m:r>
              <m:t>2</m:t>
            </m:r>
          </m:sup>
        </m:sSup>
        <m:r>
          <m:rPr>
            <m:sty m:val="p"/>
          </m:rPr>
          <m:t>/</m:t>
        </m:r>
        <m:r>
          <m:t>4</m:t>
        </m:r>
        <m:r>
          <m:rPr>
            <m:sty m:val="p"/>
          </m:rPr>
          <m:t>⌋</m:t>
        </m:r>
      </m:oMath>
      <w:r>
        <w:t xml:space="preserve">.</w:t>
      </w:r>
      <w:r>
        <w:t xml:space="preserve"> </w:t>
      </w:r>
      <m:oMath>
        <m:r>
          <m:rPr>
            <m:sty m:val="p"/>
          </m:rPr>
          <m:t>▫</m:t>
        </m:r>
      </m:oMath>
    </w:p>
    <w:p>
      <w:pPr>
        <w:pStyle w:val="BodyText"/>
      </w:pPr>
      <w:r>
        <w:rPr>
          <w:b/>
          <w:bCs/>
        </w:rPr>
        <w:t xml:space="preserve">Control independiente [E].</w:t>
      </w:r>
      <w:r>
        <w:t xml:space="preserve"> </w:t>
      </w:r>
      <w:r>
        <w:t xml:space="preserve">El verificador</w:t>
      </w:r>
      <w:r>
        <w:t xml:space="preserve"> </w:t>
      </w:r>
      <w:r>
        <w:rPr>
          <w:rStyle w:val="VerbatimChar"/>
        </w:rPr>
        <w:t xml:space="preserve">verificar_T_EXT_01.py</w:t>
      </w:r>
      <w:r>
        <w:t xml:space="preserve"> </w:t>
      </w:r>
      <w:r>
        <w:t xml:space="preserve">ensaya exhaustivamente las</w:t>
      </w:r>
      <w:r>
        <w:t xml:space="preserve"> </w:t>
      </w:r>
      <m:oMath>
        <m:r>
          <m:t>16</m:t>
        </m:r>
      </m:oMath>
      <w:r>
        <w:t xml:space="preserve"> </w:t>
      </w:r>
      <w:r>
        <w:t xml:space="preserve">instancias sobre cuatro vértices y las</w:t>
      </w:r>
      <w:r>
        <w:t xml:space="preserve"> </w:t>
      </w:r>
      <m:oMath>
        <m:r>
          <m:t>512</m:t>
        </m:r>
      </m:oMath>
      <w:r>
        <w:t xml:space="preserve"> </w:t>
      </w:r>
      <w:r>
        <w:t xml:space="preserve">sobre seis. Comprueba la equivalencia anterior para los</w:t>
      </w:r>
      <w:r>
        <w:t xml:space="preserve"> </w:t>
      </w:r>
      <m:oMath>
        <m:r>
          <m:t>4</m:t>
        </m:r>
      </m:oMath>
      <w:r>
        <w:t xml:space="preserve"> </w:t>
      </w:r>
      <w:r>
        <w:t xml:space="preserve">o</w:t>
      </w:r>
      <w:r>
        <w:t xml:space="preserve"> </w:t>
      </w:r>
      <m:oMath>
        <m:r>
          <m:t>9</m:t>
        </m:r>
      </m:oMath>
      <w:r>
        <w:t xml:space="preserve"> </w:t>
      </w:r>
      <w:r>
        <w:t xml:space="preserve">pares disponibles por instancia:</w:t>
      </w:r>
      <w:r>
        <w:t xml:space="preserve"> </w:t>
      </w:r>
      <w:r>
        <w:rPr>
          <w:b/>
          <w:bCs/>
        </w:rPr>
        <w:t xml:space="preserve">64 + 4.608 = 4.672 consultas</w:t>
      </w:r>
      <w:r>
        <w:t xml:space="preserve">, sin fallos, y cuenta</w:t>
      </w:r>
      <w:r>
        <w:t xml:space="preserve"> </w:t>
      </w:r>
      <m:oMath>
        <m:r>
          <m:t>16</m:t>
        </m:r>
      </m:oMath>
      <w:r>
        <w:t xml:space="preserve"> </w:t>
      </w:r>
      <w:r>
        <w:t xml:space="preserve">y</w:t>
      </w:r>
      <w:r>
        <w:t xml:space="preserve"> </w:t>
      </w:r>
      <m:oMath>
        <m:r>
          <m:t>512</m:t>
        </m:r>
      </m:oMath>
      <w:r>
        <w:t xml:space="preserve"> </w:t>
      </w:r>
      <w:r>
        <w:t xml:space="preserve">firmas de respuesta diferentes, respectivamente. Es una comprobación finita de la prueba general, no su fundamento.</w:t>
      </w:r>
    </w:p>
    <w:p>
      <w:pPr>
        <w:pStyle w:val="BodyText"/>
      </w:pPr>
      <w:r>
        <w:rPr>
          <w:b/>
          <w:bCs/>
        </w:rPr>
        <w:t xml:space="preserve">Relación con R5 y R6.</w:t>
      </w:r>
      <w:r>
        <w:t xml:space="preserve"> </w:t>
      </w:r>
      <w:r>
        <w:t xml:space="preserve">R5 distingue lo que una firma de frontera conserva bajo continuaciones exteriores y pierde ante modificaciones interiores; R6 identifica las distinciones necesarias para inserciones de aristas</w:t>
      </w:r>
      <w:r>
        <w:t xml:space="preserve"> </w:t>
      </w:r>
      <w:r>
        <w:rPr>
          <w:b/>
          <w:bCs/>
        </w:rPr>
        <w:t xml:space="preserve">sin nuevos vértices</w:t>
      </w:r>
      <w:r>
        <w:t xml:space="preserve"> </w:t>
      </w:r>
      <w:r>
        <w:t xml:space="preserve">sobre</w:t>
      </w:r>
      <w:r>
        <w:t xml:space="preserve"> </w:t>
      </w:r>
      <m:oMath>
        <m:r>
          <m:t>V</m:t>
        </m:r>
      </m:oMath>
      <w:r>
        <w:t xml:space="preserve">. T-EXT-01 fija otro contrato:</w:t>
      </w:r>
      <w:r>
        <w:t xml:space="preserve"> </w:t>
      </w:r>
      <w:r>
        <w:rPr>
          <w:b/>
          <w:bCs/>
        </w:rPr>
        <w:t xml:space="preserve">incorporaciones con dos vértices nuevos que pueden contactar todos los vértices de</w:t>
      </w:r>
      <w:r>
        <w:rPr>
          <w:b/>
          <w:bCs/>
        </w:rPr>
        <w:t xml:space="preserve"> </w:t>
      </w:r>
      <m:oMath>
        <m:r>
          <m:t>V</m:t>
        </m:r>
      </m:oMath>
      <w:r>
        <w:t xml:space="preserve">. Esta familia de consultas recupera individualmente cada arista de</w:t>
      </w:r>
      <w:r>
        <w:t xml:space="preserve"> </w:t>
      </w:r>
      <m:oMath>
        <m:r>
          <m:t>A</m:t>
        </m:r>
        <m:r>
          <m:rPr>
            <m:sty m:val="p"/>
          </m:rPr>
          <m:t>×</m:t>
        </m:r>
        <m:r>
          <m:t>B</m:t>
        </m:r>
      </m:oMath>
      <w:r>
        <w:t xml:space="preserve">. Así cuantifica una barrera informacional de referencia externa, aun cuando la colorabilidad inicial de toda la familia es fácil.</w:t>
      </w:r>
    </w:p>
    <w:p>
      <w:pPr>
        <w:pStyle w:val="BodyText"/>
      </w:pPr>
      <w:r>
        <w:rPr>
          <w:b/>
          <w:bCs/>
        </w:rPr>
        <w:t xml:space="preserve">Límite del resultado.</w:t>
      </w:r>
      <w:r>
        <w:t xml:space="preserve"> </w:t>
      </w:r>
      <w:r>
        <w:t xml:space="preserve">La cota es cuadrática, no superpolinómica. No demuestra una cota de tiempo para 3-coloración general, ni una barrera de memoria adicional si el algoritmo conserva acceso libre al grafo original, ni la misma cota para una frontera pequeña. La construcción se asemeja a argumentos de familias distinguibles, equivalencia contextual y complejidad de comunicación; su prioridad bibliográfica requiere examen independiente. Es una proposición matemática acotada, no una solución de P frente a NP.</w:t>
      </w:r>
    </w:p>
    <w:bookmarkEnd w:id="27"/>
    <w:bookmarkEnd w:id="28"/>
    <w:bookmarkStart w:id="29" w:name="Xf91b5b55faaec3b3de46559ac93fb0d37280554"/>
    <w:p>
      <w:pPr>
        <w:pStyle w:val="Heading2"/>
      </w:pPr>
      <w:r>
        <w:t xml:space="preserve">6. Orientación, fase y cierre global: el laboratorio R4 [T/E]</w:t>
      </w:r>
    </w:p>
    <w:p>
      <w:pPr>
        <w:pStyle w:val="FirstParagraph"/>
      </w:pPr>
      <w:r>
        <w:t xml:space="preserve">Una 3-coloración</w:t>
      </w:r>
      <w:r>
        <w:t xml:space="preserve"> </w:t>
      </w:r>
      <m:oMath>
        <m:r>
          <m:t>c</m:t>
        </m:r>
        <m:r>
          <m:rPr>
            <m:sty m:val="p"/>
          </m:rPr>
          <m:t>:</m:t>
        </m:r>
        <m:r>
          <m:t>V</m:t>
        </m:r>
        <m:r>
          <m:rPr>
            <m:sty m:val="p"/>
          </m:rPr>
          <m:t>→</m:t>
        </m:r>
        <m:sSub>
          <m:e>
            <m:r>
              <m:rPr>
                <m:sty m:val="p"/>
                <m:scr m:val="double-struck"/>
              </m:rPr>
              <m:t>F</m:t>
            </m:r>
          </m:e>
          <m:sub>
            <m:r>
              <m:t>3</m:t>
            </m:r>
          </m:sub>
        </m:sSub>
      </m:oMath>
      <w:r>
        <w:t xml:space="preserve"> </w:t>
      </w:r>
      <w:r>
        <w:t xml:space="preserve">induce sobre cada arista orientada</w:t>
      </w:r>
      <w:r>
        <w:t xml:space="preserve"> </w:t>
      </w:r>
      <m:oMath>
        <m:r>
          <m:t>u</m:t>
        </m:r>
        <m:r>
          <m:t>v</m:t>
        </m:r>
      </m:oMath>
      <w:r>
        <w:t xml:space="preserve"> </w:t>
      </w:r>
      <w:r>
        <w:t xml:space="preserve">una tensión</w:t>
      </w:r>
      <w:r>
        <w:t xml:space="preserve"> </w:t>
      </w:r>
      <m:oMath>
        <m:sSub>
          <m:e>
            <m:r>
              <m:t>ε</m:t>
            </m:r>
          </m:e>
          <m:sub>
            <m:r>
              <m:t>u</m:t>
            </m:r>
            <m:r>
              <m:t>v</m:t>
            </m:r>
          </m:sub>
        </m:sSub>
        <m:r>
          <m:rPr>
            <m:sty m:val="p"/>
          </m:rPr>
          <m:t>=</m:t>
        </m:r>
        <m:r>
          <m:t>c</m:t>
        </m:r>
        <m:d>
          <m:dPr>
            <m:begChr m:val="("/>
            <m:endChr m:val=")"/>
            <m:sepChr m:val=""/>
            <m:grow/>
          </m:dPr>
          <m:e>
            <m:r>
              <m:t>v</m:t>
            </m:r>
          </m:e>
        </m:d>
        <m:r>
          <m:rPr>
            <m:sty m:val="p"/>
          </m:rPr>
          <m:t>−</m:t>
        </m:r>
        <m:r>
          <m:t>c</m:t>
        </m:r>
        <m:d>
          <m:dPr>
            <m:begChr m:val="("/>
            <m:endChr m:val=")"/>
            <m:sepChr m:val=""/>
            <m:grow/>
          </m:dPr>
          <m:e>
            <m:r>
              <m:t>u</m:t>
            </m:r>
          </m:e>
        </m:d>
        <m:r>
          <m:rPr>
            <m:sty m:val="p"/>
          </m:rPr>
          <m:t>∈</m:t>
        </m:r>
        <m:r>
          <m:rPr>
            <m:sty m:val="p"/>
          </m:rPr>
          <m:t>{</m:t>
        </m:r>
        <m:r>
          <m:rPr>
            <m:sty m:val="p"/>
          </m:rPr>
          <m:t>±</m:t>
        </m:r>
        <m:r>
          <m:t>1</m:t>
        </m:r>
        <m:r>
          <m:rPr>
            <m:sty m:val="p"/>
          </m:rPr>
          <m:t>}</m:t>
        </m:r>
      </m:oMath>
      <w:r>
        <w:t xml:space="preserve">. La suma firmada de tensiones sobre cualquier ciclo es cero en</w:t>
      </w:r>
      <w:r>
        <w:t xml:space="preserve"> </w:t>
      </w:r>
      <m:oMath>
        <m:sSub>
          <m:e>
            <m:r>
              <m:rPr>
                <m:sty m:val="p"/>
                <m:scr m:val="double-struck"/>
              </m:rPr>
              <m:t>F</m:t>
            </m:r>
          </m:e>
          <m:sub>
            <m:r>
              <m:t>3</m:t>
            </m:r>
          </m:sub>
        </m:sSub>
      </m:oMath>
      <w:r>
        <w:t xml:space="preserve">. Recíprocamente, tensiones no nulas cuyos periodos sobre una base de ciclos se anulan se integran a una coloración (única salvo una constante global por componente conexa). Esta es la formulación clásica de tensiones modulares sin ceros; la condición de no nulidad mantiene el carácter combinatorio del problema.</w:t>
      </w:r>
    </w:p>
    <w:p>
      <w:pPr>
        <w:pStyle w:val="BodyText"/>
      </w:pPr>
      <w:r>
        <w:t xml:space="preserve">Para una superficie cerrada, conexa, orientable y triangulada con dual de caras conexo, R4 distingue cierres de caras y periodos sobre la homología: que cada triángulo cierre no garantiza que la tensión sea un coborde global. En el toro triangulado periódico</w:t>
      </w:r>
      <w:r>
        <w:t xml:space="preserve"> </w:t>
      </w:r>
      <m:oMath>
        <m:r>
          <m:t>T</m:t>
        </m:r>
        <m:d>
          <m:dPr>
            <m:begChr m:val="("/>
            <m:endChr m:val=")"/>
            <m:sepChr m:val=""/>
            <m:grow/>
          </m:dPr>
          <m:e>
            <m:r>
              <m:t>n</m:t>
            </m:r>
            <m:r>
              <m:rPr>
                <m:sty m:val="p"/>
              </m:rPr>
              <m:t>,</m:t>
            </m:r>
            <m:r>
              <m:t>m</m:t>
            </m:r>
          </m:e>
        </m:d>
      </m:oMath>
      <w:r>
        <w:t xml:space="preserve"> </w:t>
      </w:r>
      <w:r>
        <w:t xml:space="preserve">del laboratorio se fija la orientación del recubrimiento</w:t>
      </w:r>
      <w:r>
        <w:t xml:space="preserve"> </w:t>
      </w:r>
      <m:oMath>
        <m:sSup>
          <m:e>
            <m:r>
              <m:rPr>
                <m:sty m:val="p"/>
                <m:scr m:val="double-struck"/>
              </m:rPr>
              <m:t>Z</m:t>
            </m:r>
          </m:e>
          <m:sup>
            <m:r>
              <m:t>2</m:t>
            </m:r>
          </m:sup>
        </m:sSup>
      </m:oMath>
      <w:r>
        <w:t xml:space="preserve"> </w:t>
      </w:r>
      <w:r>
        <w:t xml:space="preserve">y la expresión local</w:t>
      </w:r>
      <w:r>
        <w:t xml:space="preserve"> </w:t>
      </w:r>
      <m:oMath>
        <m:r>
          <m:t>c</m:t>
        </m:r>
        <m:d>
          <m:dPr>
            <m:begChr m:val="("/>
            <m:endChr m:val=")"/>
            <m:sepChr m:val=""/>
            <m:grow/>
          </m:dPr>
          <m:e>
            <m:r>
              <m:t>i</m:t>
            </m:r>
            <m:r>
              <m:rPr>
                <m:sty m:val="p"/>
              </m:rPr>
              <m:t>,</m:t>
            </m:r>
            <m:r>
              <m:t>j</m:t>
            </m:r>
          </m:e>
        </m:d>
        <m:r>
          <m:rPr>
            <m:sty m:val="p"/>
          </m:rPr>
          <m:t>=</m:t>
        </m:r>
        <m:r>
          <m:t>i</m:t>
        </m:r>
        <m:r>
          <m:rPr>
            <m:sty m:val="p"/>
          </m:rPr>
          <m:t>−</m:t>
        </m:r>
        <m:r>
          <m:t>j</m:t>
        </m:r>
        <m:r>
          <m:t> </m:t>
        </m:r>
        <m:r>
          <m:rPr>
            <m:sty m:val="p"/>
          </m:rPr>
          <m:t>(</m:t>
        </m:r>
        <m:r>
          <m:rPr>
            <m:sty m:val="p"/>
          </m:rPr>
          <m:t>mod</m:t>
        </m:r>
        <m:r>
          <m:t> </m:t>
        </m:r>
        <m:r>
          <m:t>3</m:t>
        </m:r>
        <m:r>
          <m:rPr>
            <m:sty m:val="p"/>
          </m:rPr>
          <m:t>)</m:t>
        </m:r>
      </m:oMath>
      <w:r>
        <w:t xml:space="preserve">. Sobre una arista que va de</w:t>
      </w:r>
      <w:r>
        <w:t xml:space="preserve"> </w:t>
      </w:r>
      <m:oMath>
        <m:d>
          <m:dPr>
            <m:begChr m:val="("/>
            <m:endChr m:val=")"/>
            <m:sepChr m:val=""/>
            <m:grow/>
          </m:dPr>
          <m:e>
            <m:r>
              <m:t>i</m:t>
            </m:r>
            <m:r>
              <m:rPr>
                <m:sty m:val="p"/>
              </m:rPr>
              <m:t>,</m:t>
            </m:r>
            <m:r>
              <m:t>j</m:t>
            </m:r>
          </m:e>
        </m:d>
      </m:oMath>
      <w:r>
        <w:t xml:space="preserve"> </w:t>
      </w:r>
      <w:r>
        <w:t xml:space="preserve">a</w:t>
      </w:r>
      <w:r>
        <w:t xml:space="preserve"> </w:t>
      </w:r>
      <m:oMath>
        <m:d>
          <m:dPr>
            <m:begChr m:val="("/>
            <m:endChr m:val=")"/>
            <m:sepChr m:val=""/>
            <m:grow/>
          </m:dPr>
          <m:e>
            <m:r>
              <m:t>i</m:t>
            </m:r>
            <m:r>
              <m:rPr>
                <m:sty m:val="p"/>
              </m:rPr>
              <m:t>+</m:t>
            </m:r>
            <m:r>
              <m:t>1</m:t>
            </m:r>
            <m:r>
              <m:rPr>
                <m:sty m:val="p"/>
              </m:rPr>
              <m:t>,</m:t>
            </m:r>
            <m:r>
              <m:t>j</m:t>
            </m:r>
          </m:e>
        </m:d>
      </m:oMath>
      <w:r>
        <w:t xml:space="preserve"> </w:t>
      </w:r>
      <w:r>
        <w:t xml:space="preserve">el incremento es</w:t>
      </w:r>
      <w:r>
        <w:t xml:space="preserve"> </w:t>
      </w:r>
      <m:oMath>
        <m:r>
          <m:rPr>
            <m:sty m:val="p"/>
          </m:rPr>
          <m:t>+</m:t>
        </m:r>
        <m:r>
          <m:t>1</m:t>
        </m:r>
      </m:oMath>
      <w:r>
        <w:t xml:space="preserve">; sobre una que va de</w:t>
      </w:r>
      <w:r>
        <w:t xml:space="preserve"> </w:t>
      </w:r>
      <m:oMath>
        <m:d>
          <m:dPr>
            <m:begChr m:val="("/>
            <m:endChr m:val=")"/>
            <m:sepChr m:val=""/>
            <m:grow/>
          </m:dPr>
          <m:e>
            <m:r>
              <m:t>i</m:t>
            </m:r>
            <m:r>
              <m:rPr>
                <m:sty m:val="p"/>
              </m:rPr>
              <m:t>,</m:t>
            </m:r>
            <m:r>
              <m:t>j</m:t>
            </m:r>
          </m:e>
        </m:d>
      </m:oMath>
      <w:r>
        <w:t xml:space="preserve"> </w:t>
      </w:r>
      <w:r>
        <w:t xml:space="preserve">a</w:t>
      </w:r>
      <w:r>
        <w:t xml:space="preserve"> </w:t>
      </w:r>
      <m:oMath>
        <m:d>
          <m:dPr>
            <m:begChr m:val="("/>
            <m:endChr m:val=")"/>
            <m:sepChr m:val=""/>
            <m:grow/>
          </m:dPr>
          <m:e>
            <m:r>
              <m:t>i</m:t>
            </m:r>
            <m:r>
              <m:rPr>
                <m:sty m:val="p"/>
              </m:rPr>
              <m:t>,</m:t>
            </m:r>
            <m:r>
              <m:t>j</m:t>
            </m:r>
            <m:r>
              <m:rPr>
                <m:sty m:val="p"/>
              </m:rPr>
              <m:t>+</m:t>
            </m:r>
            <m:r>
              <m:t>1</m:t>
            </m:r>
          </m:e>
        </m:d>
      </m:oMath>
      <w:r>
        <w:t xml:space="preserve"> </w:t>
      </w:r>
      <w:r>
        <w:t xml:space="preserve">es</w:t>
      </w:r>
      <w:r>
        <w:t xml:space="preserve"> </w:t>
      </w:r>
      <m:oMath>
        <m:r>
          <m:rPr>
            <m:sty m:val="p"/>
          </m:rPr>
          <m:t>−</m:t>
        </m:r>
        <m:r>
          <m:t>1</m:t>
        </m:r>
      </m:oMath>
      <w:r>
        <w:t xml:space="preserve">. Por ello, los recorridos fundamentales, orientados en esas direcciones, tienen periodos:</w:t>
      </w:r>
    </w:p>
    <w:p>
      <w:pPr>
        <w:pStyle w:val="BodyText"/>
      </w:pPr>
      <m:oMathPara>
        <m:oMathParaPr>
          <m:jc m:val="center"/>
        </m:oMathParaPr>
        <m:oMath>
          <m:sSub>
            <m:e>
              <m:r>
                <m:t>H</m:t>
              </m:r>
            </m:e>
            <m:sub>
              <m:r>
                <m:t>x</m:t>
              </m:r>
            </m:sub>
          </m:sSub>
          <m:r>
            <m:rPr>
              <m:sty m:val="p"/>
            </m:rPr>
            <m:t>=</m:t>
          </m:r>
          <m:r>
            <m:t>n</m:t>
          </m:r>
          <m:r>
            <m:t> </m:t>
          </m:r>
          <m:r>
            <m:rPr>
              <m:sty m:val="p"/>
            </m:rPr>
            <m:t>(</m:t>
          </m:r>
          <m:r>
            <m:rPr>
              <m:sty m:val="p"/>
            </m:rPr>
            <m:t>mod</m:t>
          </m:r>
          <m:r>
            <m:t> </m:t>
          </m:r>
          <m:r>
            <m:t>3</m:t>
          </m:r>
          <m:r>
            <m:rPr>
              <m:sty m:val="p"/>
            </m:rPr>
            <m:t>)</m:t>
          </m:r>
          <m:r>
            <m:rPr>
              <m:sty m:val="p"/>
            </m:rPr>
            <m:t>,</m:t>
          </m:r>
          <m:r>
            <m:t>  </m:t>
          </m:r>
          <m:sSub>
            <m:e>
              <m:r>
                <m:t>H</m:t>
              </m:r>
            </m:e>
            <m:sub>
              <m:r>
                <m:t>y</m:t>
              </m:r>
            </m:sub>
          </m:sSub>
          <m:r>
            <m:rPr>
              <m:sty m:val="p"/>
            </m:rPr>
            <m:t>=</m:t>
          </m:r>
          <m:r>
            <m:rPr>
              <m:sty m:val="p"/>
            </m:rPr>
            <m:t>−</m:t>
          </m:r>
          <m:r>
            <m:t>m</m:t>
          </m:r>
          <m:r>
            <m:t> </m:t>
          </m:r>
          <m:r>
            <m:rPr>
              <m:sty m:val="p"/>
            </m:rPr>
            <m:t>(</m:t>
          </m:r>
          <m:r>
            <m:rPr>
              <m:sty m:val="p"/>
            </m:rPr>
            <m:t>mod</m:t>
          </m:r>
          <m:r>
            <m:t> </m:t>
          </m:r>
          <m:r>
            <m:t>3</m:t>
          </m:r>
          <m:r>
            <m:rPr>
              <m:sty m:val="p"/>
            </m:rPr>
            <m:t>)</m:t>
          </m:r>
          <m:r>
            <m:rPr>
              <m:sty m:val="p"/>
            </m:rPr>
            <m:t>.</m:t>
          </m:r>
        </m:oMath>
      </m:oMathPara>
    </w:p>
    <w:p>
      <w:pPr>
        <w:pStyle w:val="FirstParagraph"/>
      </w:pPr>
      <w:r>
        <w:t xml:space="preserve">Cuando estos periodos no se anulan,</w:t>
      </w:r>
      <w:r>
        <w:t xml:space="preserve"> </w:t>
      </w:r>
      <m:oMath>
        <m:r>
          <m:t>c</m:t>
        </m:r>
        <m:d>
          <m:dPr>
            <m:begChr m:val="("/>
            <m:endChr m:val=")"/>
            <m:sepChr m:val=""/>
            <m:grow/>
          </m:dPr>
          <m:e>
            <m:r>
              <m:t>i</m:t>
            </m:r>
            <m:r>
              <m:rPr>
                <m:sty m:val="p"/>
              </m:rPr>
              <m:t>,</m:t>
            </m:r>
            <m:r>
              <m:t>j</m:t>
            </m:r>
          </m:e>
        </m:d>
      </m:oMath>
      <w:r>
        <w:t xml:space="preserve"> </w:t>
      </w:r>
      <w:r>
        <w:t xml:space="preserve">está definida en el recubrimiento, pero</w:t>
      </w:r>
      <w:r>
        <w:t xml:space="preserve"> </w:t>
      </w:r>
      <w:r>
        <w:rPr>
          <w:b/>
          <w:bCs/>
        </w:rPr>
        <w:t xml:space="preserve">no desciende</w:t>
      </w:r>
      <w:r>
        <w:t xml:space="preserve"> </w:t>
      </w:r>
      <w:r>
        <w:t xml:space="preserve">a una coloración bien definida del toro periódico. Invertir conjuntamente los signos de la tensión invierte ambos periodos sin cambiar su condición de anulación. Bajo el contrato fijado,</w:t>
      </w:r>
      <w:r>
        <w:t xml:space="preserve"> </w:t>
      </w:r>
      <m:oMath>
        <m:r>
          <m:t>T</m:t>
        </m:r>
        <m:d>
          <m:dPr>
            <m:begChr m:val="("/>
            <m:endChr m:val=")"/>
            <m:sepChr m:val=""/>
            <m:grow/>
          </m:dPr>
          <m:e>
            <m:r>
              <m:t>n</m:t>
            </m:r>
            <m:r>
              <m:rPr>
                <m:sty m:val="p"/>
              </m:rPr>
              <m:t>,</m:t>
            </m:r>
            <m:r>
              <m:t>m</m:t>
            </m:r>
          </m:e>
        </m:d>
      </m:oMath>
      <w:r>
        <w:t xml:space="preserve"> </w:t>
      </w:r>
      <w:r>
        <w:t xml:space="preserve">es 3-coloreable exactamente cuando</w:t>
      </w:r>
      <w:r>
        <w:t xml:space="preserve"> </w:t>
      </w:r>
      <m:oMath>
        <m:r>
          <m:t>3</m:t>
        </m:r>
        <m:r>
          <m:rPr>
            <m:sty m:val="p"/>
          </m:rPr>
          <m:t>∣</m:t>
        </m:r>
        <m:r>
          <m:t>n</m:t>
        </m:r>
      </m:oMath>
      <w:r>
        <w:t xml:space="preserve"> </w:t>
      </w:r>
      <w:r>
        <w:t xml:space="preserve">y</w:t>
      </w:r>
      <w:r>
        <w:t xml:space="preserve"> </w:t>
      </w:r>
      <m:oMath>
        <m:r>
          <m:t>3</m:t>
        </m:r>
        <m:r>
          <m:rPr>
            <m:sty m:val="p"/>
          </m:rPr>
          <m:t>∣</m:t>
        </m:r>
        <m:r>
          <m:t>m</m:t>
        </m:r>
      </m:oMath>
      <w:r>
        <w:t xml:space="preserve">;</w:t>
      </w:r>
      <w:r>
        <w:t xml:space="preserve"> </w:t>
      </w:r>
      <m:oMath>
        <m:r>
          <m:t>T</m:t>
        </m:r>
        <m:d>
          <m:dPr>
            <m:begChr m:val="("/>
            <m:endChr m:val=")"/>
            <m:sepChr m:val=""/>
            <m:grow/>
          </m:dPr>
          <m:e>
            <m:r>
              <m:t>4</m:t>
            </m:r>
            <m:r>
              <m:rPr>
                <m:sty m:val="p"/>
              </m:rPr>
              <m:t>,</m:t>
            </m:r>
            <m:r>
              <m:t>4</m:t>
            </m:r>
          </m:e>
        </m:d>
      </m:oMath>
      <w:r>
        <w:t xml:space="preserve"> </w:t>
      </w:r>
      <w:r>
        <w:t xml:space="preserve">cierra localmente sus caras y sigue siendo incompatible, mientras</w:t>
      </w:r>
      <w:r>
        <w:t xml:space="preserve"> </w:t>
      </w:r>
      <m:oMath>
        <m:r>
          <m:t>T</m:t>
        </m:r>
        <m:d>
          <m:dPr>
            <m:begChr m:val="("/>
            <m:endChr m:val=")"/>
            <m:sepChr m:val=""/>
            <m:grow/>
          </m:dPr>
          <m:e>
            <m:r>
              <m:t>6</m:t>
            </m:r>
            <m:r>
              <m:rPr>
                <m:sty m:val="p"/>
              </m:rPr>
              <m:t>,</m:t>
            </m:r>
            <m:r>
              <m:t>6</m:t>
            </m:r>
          </m:e>
        </m:d>
      </m:oMath>
      <w:r>
        <w:t xml:space="preserve"> </w:t>
      </w:r>
      <w:r>
        <w:t xml:space="preserve">admite seis coloraciones.</w:t>
      </w:r>
    </w:p>
    <w:p>
      <w:pPr>
        <w:pStyle w:val="BodyText"/>
      </w:pPr>
      <w:r>
        <w:t xml:space="preserve">Aquí se materializa una diferencia importante del cubo:</w:t>
      </w:r>
      <w:r>
        <w:t xml:space="preserve"> </w:t>
      </w:r>
      <w:r>
        <w:rPr>
          <w:b/>
          <w:bCs/>
        </w:rPr>
        <w:t xml:space="preserve">las referencias locales pueden ser coherentes y el recorrido global conservar un residuo</w:t>
      </w:r>
      <w:r>
        <w:t xml:space="preserve">. R4 obtiene una firma pequeña y un procedimiento eficiente para esa familia de toros; no transforma ese resultado en un algoritmo universal para grafos arbitrarios.</w:t>
      </w:r>
    </w:p>
    <w:bookmarkEnd w:id="29"/>
    <w:bookmarkStart w:id="30" w:name="Xd0222078f2f710756a340005e47dbada404922b"/>
    <w:p>
      <w:pPr>
        <w:pStyle w:val="Heading2"/>
      </w:pPr>
      <w:r>
        <w:t xml:space="preserve">7. R–04: consulta indefinida, radio de determinación y certificado [T/E]</w:t>
      </w:r>
    </w:p>
    <w:p>
      <w:pPr>
        <w:pStyle w:val="FirstParagraph"/>
      </w:pPr>
      <w:r>
        <w:t xml:space="preserve">Para una fibra de soluciones compatibles</w:t>
      </w:r>
      <w:r>
        <w:t xml:space="preserve"> </w:t>
      </w:r>
      <m:oMath>
        <m:r>
          <m:t>F</m:t>
        </m:r>
      </m:oMath>
      <w:r>
        <w:t xml:space="preserve"> </w:t>
      </w:r>
      <w:r>
        <w:t xml:space="preserve">y una pregunta relacional</w:t>
      </w:r>
      <w:r>
        <w:t xml:space="preserve"> </w:t>
      </w:r>
      <m:oMath>
        <m:r>
          <m:t>q</m:t>
        </m:r>
      </m:oMath>
      <w:r>
        <w:t xml:space="preserve">, R–04 distingue:</w:t>
      </w:r>
      <w:r>
        <w:t xml:space="preserve"> </w:t>
      </w:r>
      <w:r>
        <w:rPr>
          <w:b/>
          <w:bCs/>
        </w:rPr>
        <w:t xml:space="preserve">indefinición</w:t>
      </w:r>
      <w:r>
        <w:t xml:space="preserve"> </w:t>
      </w:r>
      <w:r>
        <w:t xml:space="preserve">cuando</w:t>
      </w:r>
      <w:r>
        <w:t xml:space="preserve"> </w:t>
      </w:r>
      <m:oMath>
        <m:r>
          <m:t>F</m:t>
        </m:r>
        <m:r>
          <m:rPr>
            <m:sty m:val="p"/>
          </m:rPr>
          <m:t>≠</m:t>
        </m:r>
        <m:r>
          <m:rPr>
            <m:sty m:val="p"/>
          </m:rPr>
          <m:t>⌀</m:t>
        </m:r>
      </m:oMath>
      <w:r>
        <w:t xml:space="preserve"> </w:t>
      </w:r>
      <w:r>
        <w:t xml:space="preserve">y</w:t>
      </w:r>
      <w:r>
        <w:t xml:space="preserve"> </w:t>
      </w:r>
      <m:oMath>
        <m:d>
          <m:dPr>
            <m:begChr m:val="|"/>
            <m:endChr m:val="|"/>
            <m:sepChr m:val=""/>
            <m:grow/>
          </m:dPr>
          <m:e>
            <m:r>
              <m:t>q</m:t>
            </m:r>
            <m:d>
              <m:dPr>
                <m:begChr m:val="("/>
                <m:endChr m:val=")"/>
                <m:sepChr m:val=""/>
                <m:grow/>
              </m:dPr>
              <m:e>
                <m:r>
                  <m:t>F</m:t>
                </m:r>
              </m:e>
            </m:d>
          </m:e>
        </m:d>
        <m:r>
          <m:rPr>
            <m:sty m:val="p"/>
          </m:rPr>
          <m:t>≥</m:t>
        </m:r>
        <m:r>
          <m:t>2</m:t>
        </m:r>
      </m:oMath>
      <w:r>
        <w:t xml:space="preserve">;</w:t>
      </w:r>
      <w:r>
        <w:t xml:space="preserve"> </w:t>
      </w:r>
      <w:r>
        <w:rPr>
          <w:b/>
          <w:bCs/>
        </w:rPr>
        <w:t xml:space="preserve">determinación</w:t>
      </w:r>
      <w:r>
        <w:t xml:space="preserve"> </w:t>
      </w:r>
      <w:r>
        <w:t xml:space="preserve">cuando</w:t>
      </w:r>
      <w:r>
        <w:t xml:space="preserve"> </w:t>
      </w:r>
      <m:oMath>
        <m:r>
          <m:t>F</m:t>
        </m:r>
        <m:r>
          <m:rPr>
            <m:sty m:val="p"/>
          </m:rPr>
          <m:t>≠</m:t>
        </m:r>
        <m:r>
          <m:rPr>
            <m:sty m:val="p"/>
          </m:rPr>
          <m:t>⌀</m:t>
        </m:r>
      </m:oMath>
      <w:r>
        <w:t xml:space="preserve"> </w:t>
      </w:r>
      <w:r>
        <w:t xml:space="preserve">y</w:t>
      </w:r>
      <w:r>
        <w:t xml:space="preserve"> </w:t>
      </w:r>
      <m:oMath>
        <m:d>
          <m:dPr>
            <m:begChr m:val="|"/>
            <m:endChr m:val="|"/>
            <m:sepChr m:val=""/>
            <m:grow/>
          </m:dPr>
          <m:e>
            <m:r>
              <m:t>q</m:t>
            </m:r>
            <m:d>
              <m:dPr>
                <m:begChr m:val="("/>
                <m:endChr m:val=")"/>
                <m:sepChr m:val=""/>
                <m:grow/>
              </m:dPr>
              <m:e>
                <m:r>
                  <m:t>F</m:t>
                </m:r>
              </m:e>
            </m:d>
          </m:e>
        </m:d>
        <m:r>
          <m:rPr>
            <m:sty m:val="p"/>
          </m:rPr>
          <m:t>=</m:t>
        </m:r>
        <m:r>
          <m:t>1</m:t>
        </m:r>
      </m:oMath>
      <w:r>
        <w:t xml:space="preserve">; e</w:t>
      </w:r>
      <w:r>
        <w:t xml:space="preserve"> </w:t>
      </w:r>
      <w:r>
        <w:rPr>
          <w:b/>
          <w:bCs/>
        </w:rPr>
        <w:t xml:space="preserve">incompatibilidad</w:t>
      </w:r>
      <w:r>
        <w:t xml:space="preserve"> </w:t>
      </w:r>
      <w:r>
        <w:t xml:space="preserve">cuando</w:t>
      </w:r>
      <w:r>
        <w:t xml:space="preserve"> </w:t>
      </w:r>
      <m:oMath>
        <m:r>
          <m:t>F</m:t>
        </m:r>
        <m:r>
          <m:rPr>
            <m:sty m:val="p"/>
          </m:rPr>
          <m:t>=</m:t>
        </m:r>
        <m:r>
          <m:rPr>
            <m:sty m:val="p"/>
          </m:rPr>
          <m:t>⌀</m:t>
        </m:r>
      </m:oMath>
      <w:r>
        <w:t xml:space="preserve">. En 3-coloración, el bit canónico es</w:t>
      </w:r>
      <w:r>
        <w:t xml:space="preserve"> </w:t>
      </w:r>
      <m:oMath>
        <m:sSub>
          <m:e>
            <m:r>
              <m:t>q</m:t>
            </m:r>
          </m:e>
          <m:sub>
            <m:r>
              <m:t>u</m:t>
            </m:r>
            <m:r>
              <m:t>v</m:t>
            </m:r>
          </m:sub>
        </m:sSub>
        <m:d>
          <m:dPr>
            <m:begChr m:val="("/>
            <m:endChr m:val=")"/>
            <m:sepChr m:val=""/>
            <m:grow/>
          </m:dPr>
          <m:e>
            <m:r>
              <m:t>c</m:t>
            </m:r>
          </m:e>
        </m:d>
        <m:r>
          <m:rPr>
            <m:sty m:val="p"/>
          </m:rPr>
          <m:t>=</m:t>
        </m:r>
        <m:d>
          <m:dPr>
            <m:begChr m:val="["/>
            <m:endChr m:val="]"/>
            <m:sepChr m:val=""/>
            <m:grow/>
          </m:dPr>
          <m:e>
            <m:r>
              <m:t>c</m:t>
            </m:r>
            <m:d>
              <m:dPr>
                <m:begChr m:val="("/>
                <m:endChr m:val=")"/>
                <m:sepChr m:val=""/>
                <m:grow/>
              </m:dPr>
              <m:e>
                <m:r>
                  <m:t>u</m:t>
                </m:r>
              </m:e>
            </m:d>
            <m:r>
              <m:rPr>
                <m:sty m:val="p"/>
              </m:rPr>
              <m:t>=</m:t>
            </m:r>
            <m:r>
              <m:t>c</m:t>
            </m:r>
            <m:d>
              <m:dPr>
                <m:begChr m:val="("/>
                <m:endChr m:val=")"/>
                <m:sepChr m:val=""/>
                <m:grow/>
              </m:dPr>
              <m:e>
                <m:r>
                  <m:t>v</m:t>
                </m:r>
              </m:e>
            </m:d>
          </m:e>
        </m:d>
      </m:oMath>
      <w:r>
        <w:t xml:space="preserve">. Al agregar restricciones las soluciones solo pueden reducirse; una respuesta determinada no cambia a la opuesta sin pasar por incompatibilidad.</w:t>
      </w:r>
    </w:p>
    <w:p>
      <w:pPr>
        <w:pStyle w:val="BodyText"/>
      </w:pPr>
      <w:r>
        <w:t xml:space="preserve">En el diamante</w:t>
      </w:r>
      <w:r>
        <w:t xml:space="preserve"> </w:t>
      </w:r>
      <m:oMath>
        <m:sSub>
          <m:e>
            <m:r>
              <m:t>K</m:t>
            </m:r>
          </m:e>
          <m:sub>
            <m:r>
              <m:t>4</m:t>
            </m:r>
          </m:sub>
        </m:sSub>
        <m:r>
          <m:rPr>
            <m:sty m:val="p"/>
          </m:rPr>
          <m:t>−</m:t>
        </m:r>
        <m:r>
          <m:t>e</m:t>
        </m:r>
      </m:oMath>
      <w:r>
        <w:t xml:space="preserve"> </w:t>
      </w:r>
      <w:r>
        <w:t xml:space="preserve">las dos puntas no adyacentes deben compartir el tercer color. Fusionarlas preserva 3-colorabilidad. Una clausura que aplica esa inferencia termina en tiempo polinómico y detecta todas las ruedas impares; no se activa sobre grafos sin triángulos, clase en la que 3-coloración sigue siendo NP-completa.</w:t>
      </w:r>
    </w:p>
    <w:p>
      <w:pPr>
        <w:pStyle w:val="BodyText"/>
      </w:pPr>
      <w:r>
        <w:t xml:space="preserve">El</w:t>
      </w:r>
      <w:r>
        <w:t xml:space="preserve"> </w:t>
      </w:r>
      <w:r>
        <w:rPr>
          <w:b/>
          <w:bCs/>
        </w:rPr>
        <w:t xml:space="preserve">radio de determinación</w:t>
      </w:r>
      <w:r>
        <w:t xml:space="preserve"> </w:t>
      </w:r>
      <m:oMath>
        <m:r>
          <m:t>ρ</m:t>
        </m:r>
        <m:d>
          <m:dPr>
            <m:begChr m:val="("/>
            <m:endChr m:val=")"/>
            <m:sepChr m:val=""/>
            <m:grow/>
          </m:dPr>
          <m:e>
            <m:r>
              <m:t>G</m:t>
            </m:r>
          </m:e>
        </m:d>
      </m:oMath>
      <w:r>
        <w:t xml:space="preserve"> </w:t>
      </w:r>
      <w:r>
        <w:t xml:space="preserve">es el mínimo número de vértices de un subgrafo inducido propio, 3-coloreable, donde algún par no adyacente queda determinado; si no existe,</w:t>
      </w:r>
      <w:r>
        <w:t xml:space="preserve"> </w:t>
      </w:r>
      <m:oMath>
        <m:r>
          <m:t>ρ</m:t>
        </m:r>
        <m:d>
          <m:dPr>
            <m:begChr m:val="("/>
            <m:endChr m:val=")"/>
            <m:sepChr m:val=""/>
            <m:grow/>
          </m:dPr>
          <m:e>
            <m:r>
              <m:t>G</m:t>
            </m:r>
          </m:e>
        </m:d>
        <m:r>
          <m:rPr>
            <m:sty m:val="p"/>
          </m:rPr>
          <m:t>=</m:t>
        </m:r>
        <m:r>
          <m:rPr>
            <m:sty m:val="p"/>
          </m:rPr>
          <m:t>∞</m:t>
        </m:r>
      </m:oMath>
      <w:r>
        <w:t xml:space="preserve">. Mide soporte de una pregunta en este laboratorio;</w:t>
      </w:r>
      <w:r>
        <w:t xml:space="preserve"> </w:t>
      </w:r>
      <w:r>
        <w:rPr>
          <w:b/>
          <w:bCs/>
        </w:rPr>
        <w:t xml:space="preserve">no es por definición el radio constitutivo de toda unidad del programa</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Familia</w:t>
            </w:r>
          </w:p>
        </w:tc>
        <w:tc>
          <w:tcPr/>
          <w:p>
            <w:pPr>
              <w:pStyle w:val="Compact"/>
              <w:jc w:val="right"/>
            </w:pPr>
            <w:r>
              <w:t xml:space="preserve">Vértices</w:t>
            </w:r>
          </w:p>
        </w:tc>
        <w:tc>
          <w:tcPr/>
          <w:p>
            <w:pPr>
              <w:pStyle w:val="Compact"/>
              <w:jc w:val="right"/>
            </w:pPr>
            <m:oMath>
              <m:r>
                <m:t>ρ</m:t>
              </m:r>
              <m:d>
                <m:dPr>
                  <m:begChr m:val="("/>
                  <m:endChr m:val=")"/>
                  <m:sepChr m:val=""/>
                  <m:grow/>
                </m:dPr>
                <m:e>
                  <m:r>
                    <m:t>G</m:t>
                  </m:r>
                </m:e>
              </m:d>
            </m:oMath>
          </w:p>
        </w:tc>
        <w:tc>
          <w:tcPr/>
          <w:p>
            <w:pPr>
              <w:pStyle w:val="Compact"/>
              <w:jc w:val="left"/>
            </w:pPr>
            <w:r>
              <w:t xml:space="preserve">Prueba de incompatibilidad</w:t>
            </w:r>
          </w:p>
        </w:tc>
      </w:tr>
      <w:tr>
        <w:tc>
          <w:tcPr/>
          <w:p>
            <w:pPr>
              <w:pStyle w:val="Compact"/>
              <w:jc w:val="left"/>
            </w:pPr>
            <w:r>
              <w:t xml:space="preserve">Rueda impar</w:t>
            </w:r>
            <w:r>
              <w:t xml:space="preserve"> </w:t>
            </w:r>
            <m:oMath>
              <m:sSub>
                <m:e>
                  <m:r>
                    <m:t>W</m:t>
                  </m:r>
                </m:e>
                <m:sub>
                  <m:r>
                    <m:t>r</m:t>
                  </m:r>
                </m:sub>
              </m:sSub>
            </m:oMath>
            <w:r>
              <w:t xml:space="preserve"> </w:t>
            </w:r>
            <w:r>
              <w:t xml:space="preserve">(</w:t>
            </w:r>
            <m:oMath>
              <m:r>
                <m:t>r</m:t>
              </m:r>
              <m:r>
                <m:rPr>
                  <m:sty m:val="p"/>
                </m:rPr>
                <m:t>≥</m:t>
              </m:r>
              <m:r>
                <m:t>5</m:t>
              </m:r>
            </m:oMath>
            <w:r>
              <w:t xml:space="preserve">)</w:t>
            </w:r>
          </w:p>
        </w:tc>
        <w:tc>
          <w:tcPr/>
          <w:p>
            <w:pPr>
              <w:pStyle w:val="Compact"/>
              <w:jc w:val="right"/>
            </w:pPr>
            <m:oMath>
              <m:r>
                <m:t>r</m:t>
              </m:r>
              <m:r>
                <m:rPr>
                  <m:sty m:val="p"/>
                </m:rPr>
                <m:t>+</m:t>
              </m:r>
              <m:r>
                <m:t>1</m:t>
              </m:r>
            </m:oMath>
          </w:p>
        </w:tc>
        <w:tc>
          <w:tcPr/>
          <w:p>
            <w:pPr>
              <w:pStyle w:val="Compact"/>
              <w:jc w:val="right"/>
            </w:pPr>
            <m:oMath>
              <m:r>
                <m:t>4</m:t>
              </m:r>
            </m:oMath>
            <w:r>
              <w:t xml:space="preserve"> </w:t>
            </w:r>
            <w:r>
              <w:t xml:space="preserve">[T]</w:t>
            </w:r>
          </w:p>
        </w:tc>
        <w:tc>
          <w:tcPr/>
          <w:p>
            <w:pPr>
              <w:pStyle w:val="Compact"/>
              <w:jc w:val="left"/>
            </w:pPr>
            <w:r>
              <w:t xml:space="preserve">Diamantes sucesivos</w:t>
            </w:r>
          </w:p>
        </w:tc>
      </w:tr>
      <w:tr>
        <w:tc>
          <w:tcPr/>
          <w:p>
            <w:pPr>
              <w:pStyle w:val="Compact"/>
              <w:jc w:val="left"/>
            </w:pPr>
            <m:oMath>
              <m:r>
                <m:t>M</m:t>
              </m:r>
              <m:d>
                <m:dPr>
                  <m:begChr m:val="("/>
                  <m:endChr m:val=")"/>
                  <m:sepChr m:val=""/>
                  <m:grow/>
                </m:dPr>
                <m:e>
                  <m:sSub>
                    <m:e>
                      <m:r>
                        <m:t>C</m:t>
                      </m:r>
                    </m:e>
                    <m:sub>
                      <m:r>
                        <m:t>5</m:t>
                      </m:r>
                    </m:sub>
                  </m:sSub>
                </m:e>
              </m:d>
            </m:oMath>
          </w:p>
        </w:tc>
        <w:tc>
          <w:tcPr/>
          <w:p>
            <w:pPr>
              <w:pStyle w:val="Compact"/>
              <w:jc w:val="right"/>
            </w:pPr>
            <m:oMath>
              <m:r>
                <m:t>11</m:t>
              </m:r>
            </m:oMath>
          </w:p>
        </w:tc>
        <w:tc>
          <w:tcPr/>
          <w:p>
            <w:pPr>
              <w:pStyle w:val="Compact"/>
              <w:jc w:val="right"/>
            </w:pPr>
            <m:oMath>
              <m:r>
                <m:t>9</m:t>
              </m:r>
            </m:oMath>
            <w:r>
              <w:t xml:space="preserve"> </w:t>
            </w:r>
            <w:r>
              <w:t xml:space="preserve">[E]</w:t>
            </w:r>
          </w:p>
        </w:tc>
        <w:tc>
          <w:tcPr/>
          <w:p>
            <w:pPr>
              <w:pStyle w:val="Compact"/>
              <w:jc w:val="left"/>
            </w:pPr>
            <w:r>
              <w:t xml:space="preserve">Recoloración del ciclo impar</w:t>
            </w:r>
          </w:p>
        </w:tc>
      </w:tr>
      <w:tr>
        <w:tc>
          <w:tcPr/>
          <w:p>
            <w:pPr>
              <w:pStyle w:val="Compact"/>
              <w:jc w:val="left"/>
            </w:pPr>
            <m:oMath>
              <m:r>
                <m:t>M</m:t>
              </m:r>
              <m:d>
                <m:dPr>
                  <m:begChr m:val="("/>
                  <m:endChr m:val=")"/>
                  <m:sepChr m:val=""/>
                  <m:grow/>
                </m:dPr>
                <m:e>
                  <m:sSub>
                    <m:e>
                      <m:r>
                        <m:t>C</m:t>
                      </m:r>
                    </m:e>
                    <m:sub>
                      <m:r>
                        <m:t>7</m:t>
                      </m:r>
                    </m:sub>
                  </m:sSub>
                </m:e>
              </m:d>
            </m:oMath>
          </w:p>
        </w:tc>
        <w:tc>
          <w:tcPr/>
          <w:p>
            <w:pPr>
              <w:pStyle w:val="Compact"/>
              <w:jc w:val="right"/>
            </w:pPr>
            <m:oMath>
              <m:r>
                <m:t>15</m:t>
              </m:r>
            </m:oMath>
          </w:p>
        </w:tc>
        <w:tc>
          <w:tcPr/>
          <w:p>
            <w:pPr>
              <w:pStyle w:val="Compact"/>
              <w:jc w:val="right"/>
            </w:pPr>
            <m:oMath>
              <m:r>
                <m:t>12</m:t>
              </m:r>
            </m:oMath>
            <w:r>
              <w:t xml:space="preserve"> </w:t>
            </w:r>
            <w:r>
              <w:t xml:space="preserve">[E]</w:t>
            </w:r>
          </w:p>
        </w:tc>
        <w:tc>
          <w:tcPr/>
          <w:p>
            <w:pPr>
              <w:pStyle w:val="Compact"/>
              <w:jc w:val="left"/>
            </w:pPr>
            <w:r>
              <w:t xml:space="preserve">Recoloración del ciclo impar</w:t>
            </w:r>
          </w:p>
        </w:tc>
      </w:tr>
      <w:tr>
        <w:tc>
          <w:tcPr/>
          <w:p>
            <w:pPr>
              <w:pStyle w:val="Compact"/>
              <w:jc w:val="left"/>
            </w:pPr>
            <m:oMath>
              <m:r>
                <m:t>M</m:t>
              </m:r>
              <m:d>
                <m:dPr>
                  <m:begChr m:val="("/>
                  <m:endChr m:val=")"/>
                  <m:sepChr m:val=""/>
                  <m:grow/>
                </m:dPr>
                <m:e>
                  <m:sSub>
                    <m:e>
                      <m:r>
                        <m:t>C</m:t>
                      </m:r>
                    </m:e>
                    <m:sub>
                      <m:r>
                        <m:t>9</m:t>
                      </m:r>
                    </m:sub>
                  </m:sSub>
                </m:e>
              </m:d>
            </m:oMath>
          </w:p>
        </w:tc>
        <w:tc>
          <w:tcPr/>
          <w:p>
            <w:pPr>
              <w:pStyle w:val="Compact"/>
              <w:jc w:val="right"/>
            </w:pPr>
            <m:oMath>
              <m:r>
                <m:t>19</m:t>
              </m:r>
            </m:oMath>
          </w:p>
        </w:tc>
        <w:tc>
          <w:tcPr/>
          <w:p>
            <w:pPr>
              <w:pStyle w:val="Compact"/>
              <w:jc w:val="right"/>
            </w:pPr>
            <m:oMath>
              <m:r>
                <m:t>16</m:t>
              </m:r>
            </m:oMath>
            <w:r>
              <w:t xml:space="preserve"> </w:t>
            </w:r>
            <w:r>
              <w:t xml:space="preserve">[E]</w:t>
            </w:r>
          </w:p>
        </w:tc>
        <w:tc>
          <w:tcPr/>
          <w:p>
            <w:pPr>
              <w:pStyle w:val="Compact"/>
              <w:jc w:val="left"/>
            </w:pPr>
            <w:r>
              <w:t xml:space="preserve">Recoloración del ciclo impar</w:t>
            </w:r>
          </w:p>
        </w:tc>
      </w:tr>
      <w:tr>
        <w:tc>
          <w:tcPr/>
          <w:p>
            <w:pPr>
              <w:pStyle w:val="Compact"/>
              <w:jc w:val="left"/>
            </w:pPr>
            <m:oMath>
              <m:r>
                <m:t>M</m:t>
              </m:r>
              <m:d>
                <m:dPr>
                  <m:begChr m:val="("/>
                  <m:endChr m:val=")"/>
                  <m:sepChr m:val=""/>
                  <m:grow/>
                </m:dPr>
                <m:e>
                  <m:sSub>
                    <m:e>
                      <m:r>
                        <m:t>C</m:t>
                      </m:r>
                    </m:e>
                    <m:sub>
                      <m:r>
                        <m:t>11</m:t>
                      </m:r>
                    </m:sub>
                  </m:sSub>
                </m:e>
              </m:d>
            </m:oMath>
          </w:p>
        </w:tc>
        <w:tc>
          <w:tcPr/>
          <w:p>
            <w:pPr>
              <w:pStyle w:val="Compact"/>
              <w:jc w:val="right"/>
            </w:pPr>
            <m:oMath>
              <m:r>
                <m:t>23</m:t>
              </m:r>
            </m:oMath>
          </w:p>
        </w:tc>
        <w:tc>
          <w:tcPr/>
          <w:p>
            <w:pPr>
              <w:pStyle w:val="Compact"/>
              <w:jc w:val="right"/>
            </w:pPr>
            <m:oMath>
              <m:r>
                <m:t>20</m:t>
              </m:r>
            </m:oMath>
            <w:r>
              <w:t xml:space="preserve"> </w:t>
            </w:r>
            <w:r>
              <w:t xml:space="preserve">[E]</w:t>
            </w:r>
          </w:p>
        </w:tc>
        <w:tc>
          <w:tcPr/>
          <w:p>
            <w:pPr>
              <w:pStyle w:val="Compact"/>
              <w:jc w:val="left"/>
            </w:pPr>
            <w:r>
              <w:t xml:space="preserve">Recoloración del ciclo impar</w:t>
            </w:r>
          </w:p>
        </w:tc>
      </w:tr>
    </w:tbl>
    <w:p>
      <w:pPr>
        <w:pStyle w:val="BodyText"/>
      </w:pPr>
      <w:r>
        <w:t xml:space="preserve">Los valores de Mycielski son controles finitos reportados; la fórmula</w:t>
      </w:r>
      <w:r>
        <w:t xml:space="preserve"> </w:t>
      </w:r>
      <m:oMath>
        <m:r>
          <m:t>ρ</m:t>
        </m:r>
        <m:d>
          <m:dPr>
            <m:begChr m:val="("/>
            <m:endChr m:val=")"/>
            <m:sepChr m:val=""/>
            <m:grow/>
          </m:dPr>
          <m:e>
            <m:r>
              <m:t>M</m:t>
            </m:r>
            <m:d>
              <m:dPr>
                <m:begChr m:val="("/>
                <m:endChr m:val=")"/>
                <m:sepChr m:val=""/>
                <m:grow/>
              </m:dPr>
              <m:e>
                <m:sSub>
                  <m:e>
                    <m:r>
                      <m:t>C</m:t>
                    </m:r>
                  </m:e>
                  <m:sub>
                    <m:r>
                      <m:t>r</m:t>
                    </m:r>
                  </m:sub>
                </m:sSub>
              </m:e>
            </m:d>
          </m:e>
        </m:d>
        <m:r>
          <m:rPr>
            <m:sty m:val="p"/>
          </m:rPr>
          <m:t>=</m:t>
        </m:r>
        <m:r>
          <m:t>2</m:t>
        </m:r>
        <m:r>
          <m:t>r</m:t>
        </m:r>
        <m:r>
          <m:rPr>
            <m:sty m:val="p"/>
          </m:rPr>
          <m:t>−</m:t>
        </m:r>
        <m:r>
          <m:t>2</m:t>
        </m:r>
      </m:oMath>
      <w:r>
        <w:t xml:space="preserve"> </w:t>
      </w:r>
      <w:r>
        <w:t xml:space="preserve">para</w:t>
      </w:r>
      <w:r>
        <w:t xml:space="preserve"> </w:t>
      </w:r>
      <m:oMath>
        <m:r>
          <m:t>r</m:t>
        </m:r>
        <m:r>
          <m:rPr>
            <m:sty m:val="p"/>
          </m:rPr>
          <m:t>≥</m:t>
        </m:r>
        <m:r>
          <m:t>7</m:t>
        </m:r>
      </m:oMath>
      <w:r>
        <w:t xml:space="preserve"> </w:t>
      </w:r>
      <w:r>
        <w:t xml:space="preserve">impar permanece como conjetura. Los grafos</w:t>
      </w:r>
      <w:r>
        <w:t xml:space="preserve"> </w:t>
      </w:r>
      <m:oMath>
        <m:r>
          <m:t>M</m:t>
        </m:r>
        <m:d>
          <m:dPr>
            <m:begChr m:val="("/>
            <m:endChr m:val=")"/>
            <m:sepChr m:val=""/>
            <m:grow/>
          </m:dPr>
          <m:e>
            <m:sSub>
              <m:e>
                <m:r>
                  <m:t>C</m:t>
                </m:r>
              </m:e>
              <m:sub>
                <m:r>
                  <m:t>r</m:t>
                </m:r>
              </m:sub>
            </m:sSub>
          </m:e>
        </m:d>
      </m:oMath>
      <w:r>
        <w:t xml:space="preserve"> </w:t>
      </w:r>
      <w:r>
        <w:t xml:space="preserve">no contienen triángulos, no son 3-coloreables y al eliminar cualquier vértice sí lo son; ninguna ventana de tamaño constante que solo examine colorabilidad de subgrafos inducidos decide todas las incompatibilidades.</w:t>
      </w:r>
    </w:p>
    <w:p>
      <w:pPr>
        <w:pStyle w:val="BodyText"/>
      </w:pPr>
      <w:r>
        <w:rPr>
          <w:b/>
          <w:bCs/>
        </w:rPr>
        <w:t xml:space="preserve">Contraste de certificado.</w:t>
      </w:r>
      <w:r>
        <w:t xml:space="preserve"> </w:t>
      </w:r>
      <w:r>
        <w:t xml:space="preserve">Para</w:t>
      </w:r>
      <w:r>
        <w:t xml:space="preserve"> </w:t>
      </w:r>
      <m:oMath>
        <m:r>
          <m:t>1</m:t>
        </m:r>
        <m:r>
          <m:rPr>
            <m:sty m:val="p"/>
          </m:rPr>
          <m:t>≤</m:t>
        </m:r>
        <m:r>
          <m:t>i</m:t>
        </m:r>
        <m:r>
          <m:rPr>
            <m:sty m:val="p"/>
          </m:rPr>
          <m:t>≤</m:t>
        </m:r>
        <m:r>
          <m:t>r</m:t>
        </m:r>
        <m:r>
          <m:rPr>
            <m:sty m:val="p"/>
          </m:rPr>
          <m:t>−</m:t>
        </m:r>
        <m:r>
          <m:t>2</m:t>
        </m:r>
      </m:oMath>
      <w:r>
        <w:t xml:space="preserve">, las bolsas</w:t>
      </w:r>
    </w:p>
    <w:p>
      <w:pPr>
        <w:pStyle w:val="BodyText"/>
      </w:pPr>
      <m:oMathPara>
        <m:oMathParaPr>
          <m:jc m:val="center"/>
        </m:oMathParaPr>
        <m:oMath>
          <m:sSub>
            <m:e>
              <m:r>
                <m:t>B</m:t>
              </m:r>
            </m:e>
            <m:sub>
              <m:r>
                <m:t>i</m:t>
              </m:r>
            </m:sub>
          </m:sSub>
          <m:r>
            <m:rPr>
              <m:sty m:val="p"/>
            </m:rPr>
            <m:t>=</m:t>
          </m:r>
          <m:r>
            <m:rPr>
              <m:sty m:val="p"/>
            </m:rPr>
            <m:t>{</m:t>
          </m:r>
          <m:r>
            <m:t>w</m:t>
          </m:r>
          <m:r>
            <m:rPr>
              <m:sty m:val="p"/>
            </m:rPr>
            <m:t>,</m:t>
          </m:r>
          <m:sSub>
            <m:e>
              <m:r>
                <m:t>v</m:t>
              </m:r>
            </m:e>
            <m:sub>
              <m:r>
                <m:t>0</m:t>
              </m:r>
            </m:sub>
          </m:sSub>
          <m:r>
            <m:rPr>
              <m:sty m:val="p"/>
            </m:rPr>
            <m:t>,</m:t>
          </m:r>
          <m:sSub>
            <m:e>
              <m:r>
                <m:t>u</m:t>
              </m:r>
            </m:e>
            <m:sub>
              <m:r>
                <m:t>0</m:t>
              </m:r>
            </m:sub>
          </m:sSub>
          <m:r>
            <m:rPr>
              <m:sty m:val="p"/>
            </m:rPr>
            <m:t>,</m:t>
          </m:r>
          <m:sSub>
            <m:e>
              <m:r>
                <m:t>v</m:t>
              </m:r>
            </m:e>
            <m:sub>
              <m:r>
                <m:t>i</m:t>
              </m:r>
            </m:sub>
          </m:sSub>
          <m:r>
            <m:rPr>
              <m:sty m:val="p"/>
            </m:rPr>
            <m:t>,</m:t>
          </m:r>
          <m:sSub>
            <m:e>
              <m:r>
                <m:t>u</m:t>
              </m:r>
            </m:e>
            <m:sub>
              <m:r>
                <m:t>i</m:t>
              </m:r>
            </m:sub>
          </m:sSub>
          <m:r>
            <m:rPr>
              <m:sty m:val="p"/>
            </m:rPr>
            <m:t>,</m:t>
          </m:r>
          <m:sSub>
            <m:e>
              <m:r>
                <m:t>v</m:t>
              </m:r>
            </m:e>
            <m:sub>
              <m:r>
                <m:t>i</m:t>
              </m:r>
              <m:r>
                <m:rPr>
                  <m:sty m:val="p"/>
                </m:rPr>
                <m:t>+</m:t>
              </m:r>
              <m:r>
                <m:t>1</m:t>
              </m:r>
            </m:sub>
          </m:sSub>
          <m:r>
            <m:rPr>
              <m:sty m:val="p"/>
            </m:rPr>
            <m:t>,</m:t>
          </m:r>
          <m:sSub>
            <m:e>
              <m:r>
                <m:t>u</m:t>
              </m:r>
            </m:e>
            <m:sub>
              <m:r>
                <m:t>i</m:t>
              </m:r>
              <m:r>
                <m:rPr>
                  <m:sty m:val="p"/>
                </m:rPr>
                <m:t>+</m:t>
              </m:r>
              <m:r>
                <m:t>1</m:t>
              </m:r>
            </m:sub>
          </m:sSub>
          <m:r>
            <m:rPr>
              <m:sty m:val="p"/>
            </m:rPr>
            <m:t>}</m:t>
          </m:r>
        </m:oMath>
      </m:oMathPara>
    </w:p>
    <w:p>
      <w:pPr>
        <w:pStyle w:val="FirstParagraph"/>
      </w:pPr>
      <w:r>
        <w:t xml:space="preserve">forman una descomposición en camino de</w:t>
      </w:r>
      <w:r>
        <w:t xml:space="preserve"> </w:t>
      </w:r>
      <m:oMath>
        <m:r>
          <m:t>M</m:t>
        </m:r>
        <m:d>
          <m:dPr>
            <m:begChr m:val="("/>
            <m:endChr m:val=")"/>
            <m:sepChr m:val=""/>
            <m:grow/>
          </m:dPr>
          <m:e>
            <m:sSub>
              <m:e>
                <m:r>
                  <m:t>C</m:t>
                </m:r>
              </m:e>
              <m:sub>
                <m:r>
                  <m:t>r</m:t>
                </m:r>
              </m:sub>
            </m:sSub>
          </m:e>
        </m:d>
      </m:oMath>
      <w:r>
        <w:t xml:space="preserve"> </w:t>
      </w:r>
      <w:r>
        <w:t xml:space="preserve">de ancho a lo sumo 6. Para la codificación booleana ordinaria con tres variables de color por vértice, la eliminación por resolución compatible con esas bolsas produce refutaciones de ancho a lo sumo 21 y tamaño polinómico en</w:t>
      </w:r>
      <w:r>
        <w:t xml:space="preserve"> </w:t>
      </w:r>
      <m:oMath>
        <m:r>
          <m:t>r</m:t>
        </m:r>
      </m:oMath>
      <w:r>
        <w:t xml:space="preserve">. La construcción y el paso de resolución se ofrecen expresamente a revisión técnica:</w:t>
      </w:r>
      <w:r>
        <w:t xml:space="preserve"> </w:t>
      </w:r>
      <w:r>
        <w:rPr>
          <w:b/>
          <w:bCs/>
        </w:rPr>
        <w:t xml:space="preserve">radio creciente y certificado corto coexisten</w:t>
      </w:r>
      <w:r>
        <w:t xml:space="preserve"> </w:t>
      </w:r>
      <w:r>
        <w:t xml:space="preserve">en esta familia; eso no implica una cota asintótica sobre toda 3-coloración.</w:t>
      </w:r>
    </w:p>
    <w:bookmarkEnd w:id="30"/>
    <w:bookmarkStart w:id="31" w:name="X02b84b88da68a0dbb0d985b32ead271394a68f7"/>
    <w:p>
      <w:pPr>
        <w:pStyle w:val="Heading2"/>
      </w:pPr>
      <w:r>
        <w:t xml:space="preserve">8. P frente a NP: el costo de conservar y decidir [T/A]</w:t>
      </w:r>
    </w:p>
    <w:p>
      <w:pPr>
        <w:pStyle w:val="FirstParagraph"/>
      </w:pPr>
      <w:r>
        <w:t xml:space="preserve">Para eliminar una ambigüedad de lenguaje, llamamos</w:t>
      </w:r>
      <w:r>
        <w:t xml:space="preserve"> </w:t>
      </w:r>
      <w:r>
        <w:rPr>
          <w:b/>
          <w:bCs/>
        </w:rPr>
        <w:t xml:space="preserve">procedimiento relacional exacto</w:t>
      </w:r>
      <w:r>
        <w:t xml:space="preserve"> </w:t>
      </w:r>
      <w:r>
        <w:t xml:space="preserve">a una representación codificable y a operaciones uniformes</w:t>
      </w:r>
      <w:r>
        <w:t xml:space="preserve"> </w:t>
      </w:r>
      <m:oMath>
        <m:r>
          <m:t>Π</m:t>
        </m:r>
        <m:r>
          <m:rPr>
            <m:sty m:val="p"/>
          </m:rPr>
          <m:t>=</m:t>
        </m:r>
        <m:d>
          <m:dPr>
            <m:begChr m:val="("/>
            <m:endChr m:val=")"/>
            <m:sepChr m:val=""/>
            <m:grow/>
          </m:dPr>
          <m:e>
            <m:r>
              <m:t>Φ</m:t>
            </m:r>
            <m:r>
              <m:rPr>
                <m:sty m:val="p"/>
              </m:rPr>
              <m:t>,</m:t>
            </m:r>
            <m:r>
              <m:rPr>
                <m:sty m:val="p"/>
              </m:rPr>
              <m:t>Init</m:t>
            </m:r>
            <m:r>
              <m:rPr>
                <m:sty m:val="p"/>
              </m:rPr>
              <m:t>,</m:t>
            </m:r>
            <m:r>
              <m:rPr>
                <m:sty m:val="p"/>
              </m:rPr>
              <m:t>Update</m:t>
            </m:r>
            <m:r>
              <m:rPr>
                <m:sty m:val="p"/>
              </m:rPr>
              <m:t>,</m:t>
            </m:r>
            <m:r>
              <m:rPr>
                <m:sty m:val="p"/>
              </m:rPr>
              <m:t>Read</m:t>
            </m:r>
            <m:r>
              <m:rPr>
                <m:sty m:val="p"/>
              </m:rPr>
              <m:t>,</m:t>
            </m:r>
            <m:r>
              <m:rPr>
                <m:sty m:val="p"/>
              </m:rPr>
              <m:t>Certify</m:t>
            </m:r>
          </m:e>
        </m:d>
      </m:oMath>
      <w:r>
        <w:t xml:space="preserve"> </w:t>
      </w:r>
      <w:r>
        <w:t xml:space="preserve">cuya actualización represente correctamente cada inserción de arista y cuya lectura decida correctamente 3-colorabilidad;</w:t>
      </w:r>
      <w:r>
        <w:t xml:space="preserve"> </w:t>
      </w:r>
      <w:r>
        <w:rPr>
          <w:rStyle w:val="VerbatimChar"/>
        </w:rPr>
        <w:t xml:space="preserve">Certify</w:t>
      </w:r>
      <w:r>
        <w:t xml:space="preserve"> </w:t>
      </w:r>
      <w:r>
        <w:t xml:space="preserve">es opcional y, cuando se usa, debe declarar su formato y verificación. Se contabilizan tiempo, memoria, precisión y costo en bits de cada operación. Un procedimiento</w:t>
      </w:r>
      <w:r>
        <w:t xml:space="preserve"> </w:t>
      </w:r>
      <w:r>
        <w:rPr>
          <w:b/>
          <w:bCs/>
        </w:rPr>
        <w:t xml:space="preserve">polinómico</w:t>
      </w:r>
      <w:r>
        <w:t xml:space="preserve"> </w:t>
      </w:r>
      <w:r>
        <w:t xml:space="preserve">exige cotas polinómicas uniformes para la cadena completa. El grafo original ya es una descripción compacta y se actualiza en poco tiempo: eso no proporciona una lectura polinómica conocida de su 3-colorabilidad general.</w:t>
      </w:r>
    </w:p>
    <w:p>
      <w:pPr>
        <w:pStyle w:val="BodyText"/>
      </w:pPr>
      <w:r>
        <w:t xml:space="preserve">La existencia de un procedimiento de decisión integralmente polinómico para 3-coloración demostraría</w:t>
      </w:r>
      <w:r>
        <w:t xml:space="preserve"> </w:t>
      </w:r>
      <m:oMath>
        <m:r>
          <m:t>P</m:t>
        </m:r>
        <m:r>
          <m:rPr>
            <m:sty m:val="p"/>
          </m:rPr>
          <m:t>=</m:t>
        </m:r>
        <m:r>
          <m:t>N</m:t>
        </m:r>
        <m:r>
          <m:t>P</m:t>
        </m:r>
      </m:oMath>
      <w:r>
        <w:t xml:space="preserve">. El programa examina en cambio</w:t>
      </w:r>
      <w:r>
        <w:t xml:space="preserve"> </w:t>
      </w:r>
      <w:r>
        <w:rPr>
          <w:b/>
          <w:bCs/>
        </w:rPr>
        <w:t xml:space="preserve">familias de operadores y sus límites</w:t>
      </w:r>
      <w:r>
        <w:t xml:space="preserve"> </w:t>
      </w:r>
      <w:r>
        <w:t xml:space="preserve">sin identificar un motor particular con todos los algoritmos.</w:t>
      </w:r>
    </w:p>
    <w:p>
      <w:pPr>
        <w:pStyle w:val="BodyText"/>
      </w:pPr>
      <w:r>
        <w:t xml:space="preserve">N1-A registra el costo de enumerar explícitamente todas las asignaciones de tres colores de una bolsa de ancho</w:t>
      </w:r>
      <w:r>
        <w:t xml:space="preserve"> </w:t>
      </w:r>
      <m:oMath>
        <m:r>
          <m:t>w</m:t>
        </m:r>
      </m:oMath>
      <w:r>
        <w:t xml:space="preserve">:</w:t>
      </w:r>
      <w:r>
        <w:t xml:space="preserve"> </w:t>
      </w:r>
      <m:oMath>
        <m:sSup>
          <m:e>
            <m:r>
              <m:t>3</m:t>
            </m:r>
          </m:e>
          <m:sup>
            <m:r>
              <m:t>w</m:t>
            </m:r>
            <m:r>
              <m:rPr>
                <m:sty m:val="p"/>
              </m:rPr>
              <m:t>+</m:t>
            </m:r>
            <m:r>
              <m:t>1</m:t>
            </m:r>
          </m:sup>
        </m:sSup>
      </m:oMath>
      <w:r>
        <w:t xml:space="preserve"> </w:t>
      </w:r>
      <w:r>
        <w:t xml:space="preserve">candidatos bajo ese contrato; un cambio de orden no elimina automáticamente la barrera de esa representación extensional.</w:t>
      </w:r>
    </w:p>
    <w:p>
      <w:pPr>
        <w:pStyle w:val="BodyText"/>
      </w:pPr>
      <w:r>
        <w:rPr>
          <w:b/>
          <w:bCs/>
        </w:rPr>
        <w:t xml:space="preserve">N1-B [resultado citado; revisión pendiente].</w:t>
      </w:r>
      <w:r>
        <w:t xml:space="preserve"> </w:t>
      </w:r>
      <w:r>
        <w:t xml:space="preserve">El documento histórico</w:t>
      </w:r>
      <w:r>
        <w:t xml:space="preserve"> </w:t>
      </w:r>
      <w:r>
        <w:rPr>
          <w:rStyle w:val="VerbatimChar"/>
        </w:rPr>
        <w:t xml:space="preserve">N1_B_CERTIFICADOS_Y_PRIORIDAD_v2_8.md</w:t>
      </w:r>
      <w:r>
        <w:t xml:space="preserve"> </w:t>
      </w:r>
      <w:r>
        <w:t xml:space="preserve">afirma que las corridas negativas del motor O2c pueden convertirse en refutaciones por resolución, con una cota de tamaño de la forma</w:t>
      </w:r>
      <w:r>
        <w:t xml:space="preserve"> </w:t>
      </w:r>
      <m:oMath>
        <m:f>
          <m:fPr>
            <m:type m:val="bar"/>
          </m:fPr>
          <m:num>
            <m:r>
              <m:t>3</m:t>
            </m:r>
          </m:num>
          <m:den>
            <m:r>
              <m:t>2</m:t>
            </m:r>
          </m:den>
        </m:f>
        <m:r>
          <m:t> </m:t>
        </m:r>
        <m:r>
          <m:rPr>
            <m:nor/>
            <m:sty m:val="p"/>
            <m:scr m:val="monospace"/>
          </m:rPr>
          <m:t>total_candidates</m:t>
        </m:r>
      </m:oMath>
      <w:r>
        <w:t xml:space="preserve">.</w:t>
      </w:r>
      <w:r>
        <w:t xml:space="preserve"> </w:t>
      </w:r>
      <w:r>
        <w:rPr>
          <w:b/>
          <w:bCs/>
        </w:rPr>
        <w:t xml:space="preserve">Esta solicitud no define por completo el contador</w:t>
      </w:r>
      <w:r>
        <w:rPr>
          <w:b/>
          <w:bCs/>
        </w:rPr>
        <w:t xml:space="preserve"> </w:t>
      </w:r>
      <w:r>
        <w:rPr>
          <w:rStyle w:val="VerbatimChar"/>
          <w:b/>
          <w:bCs/>
        </w:rPr>
        <w:t xml:space="preserve">total_candidates</w:t>
      </w:r>
      <w:r>
        <w:rPr>
          <w:b/>
          <w:bCs/>
        </w:rPr>
        <w:t xml:space="preserve"> </w:t>
      </w:r>
      <w:r>
        <w:rPr>
          <w:b/>
          <w:bCs/>
        </w:rPr>
        <w:t xml:space="preserve">ni revalida el coeficiente</w:t>
      </w:r>
      <w:r>
        <w:rPr>
          <w:b/>
          <w:bCs/>
        </w:rPr>
        <w:t xml:space="preserve"> </w:t>
      </w:r>
      <m:oMath>
        <m:r>
          <m:t>3</m:t>
        </m:r>
        <m:r>
          <m:rPr>
            <m:sty m:val="p"/>
          </m:rPr>
          <m:t>/</m:t>
        </m:r>
        <m:r>
          <m:t>2</m:t>
        </m:r>
      </m:oMath>
      <w:r>
        <w:t xml:space="preserve">; son imprescindibles la especificación del motor, la codificación de cada instancia y el argumento de simulación del documento técnico. No se presenta como límite para métodos arbitrarios.</w:t>
      </w:r>
    </w:p>
    <w:p>
      <w:pPr>
        <w:pStyle w:val="BodyText"/>
      </w:pPr>
      <w:r>
        <w:rPr>
          <w:b/>
          <w:bCs/>
        </w:rPr>
        <w:t xml:space="preserve">Transferencia por simulación (esquema condicional).</w:t>
      </w:r>
      <w:r>
        <w:t xml:space="preserve"> </w:t>
      </w:r>
      <w:r>
        <w:t xml:space="preserve">Si de toda corrida negativa de un procedimiento</w:t>
      </w:r>
      <w:r>
        <w:t xml:space="preserve"> </w:t>
      </w:r>
      <m:oMath>
        <m:r>
          <m:t>Π</m:t>
        </m:r>
      </m:oMath>
      <w:r>
        <w:t xml:space="preserve"> </w:t>
      </w:r>
      <w:r>
        <w:t xml:space="preserve">de tiempo</w:t>
      </w:r>
      <w:r>
        <w:t xml:space="preserve"> </w:t>
      </w:r>
      <m:oMath>
        <m:r>
          <m:t>T</m:t>
        </m:r>
      </m:oMath>
      <w:r>
        <w:t xml:space="preserve"> </w:t>
      </w:r>
      <w:r>
        <w:t xml:space="preserve">se obtiene uniformemente una refutación en un sistema</w:t>
      </w:r>
      <w:r>
        <w:t xml:space="preserve"> </w:t>
      </w:r>
      <m:oMath>
        <m:r>
          <m:t>S</m:t>
        </m:r>
      </m:oMath>
      <w:r>
        <w:t xml:space="preserve"> </w:t>
      </w:r>
      <w:r>
        <w:t xml:space="preserve">de tamaño a lo sumo</w:t>
      </w:r>
      <w:r>
        <w:t xml:space="preserve"> </w:t>
      </w:r>
      <m:oMath>
        <m:r>
          <m:t>p</m:t>
        </m:r>
        <m:d>
          <m:dPr>
            <m:begChr m:val="("/>
            <m:endChr m:val=")"/>
            <m:sepChr m:val=""/>
            <m:grow/>
          </m:dPr>
          <m:e>
            <m:r>
              <m:t>T</m:t>
            </m:r>
            <m:r>
              <m:rPr>
                <m:sty m:val="p"/>
              </m:rPr>
              <m:t>+</m:t>
            </m:r>
            <m:d>
              <m:dPr>
                <m:begChr m:val="|"/>
                <m:endChr m:val="|"/>
                <m:sepChr m:val=""/>
                <m:grow/>
              </m:dPr>
              <m:e>
                <m:r>
                  <m:t>G</m:t>
                </m:r>
              </m:e>
            </m:d>
          </m:e>
        </m:d>
      </m:oMath>
      <w:r>
        <w:t xml:space="preserve">, una cota inferior superpolinómica para</w:t>
      </w:r>
      <w:r>
        <w:t xml:space="preserve"> </w:t>
      </w:r>
      <m:oMath>
        <m:r>
          <m:t>S</m:t>
        </m:r>
      </m:oMath>
      <w:r>
        <w:t xml:space="preserve"> </w:t>
      </w:r>
      <w:r>
        <w:t xml:space="preserve">en una familia concreta se transfiere a esas corridas de</w:t>
      </w:r>
      <w:r>
        <w:t xml:space="preserve"> </w:t>
      </w:r>
      <m:oMath>
        <m:r>
          <m:t>Π</m:t>
        </m:r>
      </m:oMath>
      <w:r>
        <w:t xml:space="preserve"> </w:t>
      </w:r>
      <w:r>
        <w:t xml:space="preserve">bajo la misma codificación. El trabajo decisivo es</w:t>
      </w:r>
      <w:r>
        <w:t xml:space="preserve"> </w:t>
      </w:r>
      <w:r>
        <w:rPr>
          <w:b/>
          <w:bCs/>
        </w:rPr>
        <w:t xml:space="preserve">demostrar</w:t>
      </w:r>
      <w:r>
        <w:t xml:space="preserve"> </w:t>
      </w:r>
      <w:r>
        <w:t xml:space="preserve">esa simulación para el candidato; una semejanza entre imágenes no basta.</w:t>
      </w:r>
    </w:p>
    <w:p>
      <w:pPr>
        <w:pStyle w:val="BodyText"/>
      </w:pPr>
      <w:r>
        <w:t xml:space="preserve">Nuestra ruta de prueba es:</w:t>
      </w:r>
      <w:r>
        <w:t xml:space="preserve"> </w:t>
      </w:r>
      <w:r>
        <w:rPr>
          <w:b/>
          <w:bCs/>
        </w:rPr>
        <w:t xml:space="preserve">representar → comparar → incorporar → refinar → unir → proyectar → detectar vacío → certificar</w:t>
      </w:r>
      <w:r>
        <w:t xml:space="preserve">. Cada paso debe declarar qué pregunta y continuaciones conserva, qué información de procedencia mantiene y cuánto cuesta ejecutar y leer su resultado. El contraste con paridad y eliminación gaussiana, la regla de diamantes, R4 y los adversarios sin triángulos ofrece bancos de prueba diferenciados. La ausencia de una simulación conocida no equivale a prueba de que un operador escape a todos los sistemas de pruebas.</w:t>
      </w:r>
    </w:p>
    <w:bookmarkEnd w:id="31"/>
    <w:bookmarkStart w:id="32" w:name="Xd8ae55b3cf56702df484fd6fc0f775696755c73"/>
    <w:p>
      <w:pPr>
        <w:pStyle w:val="Heading2"/>
      </w:pPr>
      <w:r>
        <w:t xml:space="preserve">9. ROSI: reflexión crítica del lenguaje y la procedencia</w:t>
      </w:r>
    </w:p>
    <w:p>
      <w:pPr>
        <w:pStyle w:val="FirstParagraph"/>
      </w:pPr>
      <w:r>
        <w:t xml:space="preserve">ROSI debe poder inspeccionar las relaciones entre</w:t>
      </w:r>
      <w:r>
        <w:t xml:space="preserve"> </w:t>
      </w:r>
      <w:r>
        <w:rPr>
          <w:b/>
          <w:bCs/>
        </w:rPr>
        <w:t xml:space="preserve">concepto, referencia, determinante, formalización, evidencia, contraejemplo y estado</w:t>
      </w:r>
      <w:r>
        <w:t xml:space="preserve">. Su tarea en esta revisión no es decidir el problema por autoridad ni introducir nuevas entidades, sino detectar cambios injustificados de nivel: una clase de indistinguibilidad exterior no equivale a toda una unidad interior; un radio ontológico no es automáticamente</w:t>
      </w:r>
      <w:r>
        <w:t xml:space="preserve"> </w:t>
      </w:r>
      <m:oMath>
        <m:r>
          <m:t>ρ</m:t>
        </m:r>
        <m:d>
          <m:dPr>
            <m:begChr m:val="("/>
            <m:endChr m:val=")"/>
            <m:sepChr m:val=""/>
            <m:grow/>
          </m:dPr>
          <m:e>
            <m:r>
              <m:t>G</m:t>
            </m:r>
          </m:e>
        </m:d>
      </m:oMath>
      <w:r>
        <w:t xml:space="preserve">; una firma compacta no garantiza cálculo barato; una coincidencia de imágenes no acredita cierre en sí; un cierre geométrico no implica una cota de complejidad.</w:t>
      </w:r>
    </w:p>
    <w:p>
      <w:pPr>
        <w:pStyle w:val="BodyText"/>
      </w:pPr>
      <w:r>
        <w:t xml:space="preserve">La trazabilidad del trabajo se conserva mediante los identificadores MF-97/MF-106 (equivalencia y actualización), O59/CME (espejos y grupos), R–01 (normalización modular), R4 (tensiones y periodos), R5 (interior/exterior), R6 (novedad circunstancial), R–04 (indefinición, radio y certificado), E25/E26, N1 y LAB-CONV. Las realizaciones en Yang–Mills y Navier–Stokes aportan analogías específicas de insuficiencia de observables (productos no conmutativos y proyecciones con residuos), pero sus afirmaciones físicas requieren hipótesis y pruebas independientes; no actúan como premisas de la rama P/NP.</w:t>
      </w:r>
    </w:p>
    <w:bookmarkEnd w:id="32"/>
    <w:bookmarkStart w:id="33" w:name="preguntas-de-revisión-independiente"/>
    <w:p>
      <w:pPr>
        <w:pStyle w:val="Heading2"/>
      </w:pPr>
      <w:r>
        <w:t xml:space="preserve">10. Preguntas de revisión independiente</w:t>
      </w:r>
    </w:p>
    <w:p>
      <w:pPr>
        <w:pStyle w:val="FirstParagraph"/>
      </w:pPr>
      <w:r>
        <w:t xml:space="preserve">Pedimos respuestas parciales y argumentadas; cada pregunta puede estudiarse sin validar todo el programa.</w:t>
      </w:r>
    </w:p>
    <w:p>
      <w:pPr>
        <w:pStyle w:val="Compact"/>
        <w:numPr>
          <w:ilvl w:val="0"/>
          <w:numId w:val="1001"/>
        </w:numPr>
      </w:pPr>
      <w:r>
        <w:rPr>
          <w:b/>
          <w:bCs/>
        </w:rPr>
        <w:t xml:space="preserve">Ontología y formalización.</w:t>
      </w:r>
      <w:r>
        <w:t xml:space="preserve"> </w:t>
      </w:r>
      <w:r>
        <w:t xml:space="preserve">¿Qué estructura matemática expresa mejor una unidad con autorreferencia interna y alcance relacional declarado? ¿Qué condición no trivial sobre</w:t>
      </w:r>
      <w:r>
        <w:t xml:space="preserve"> </w:t>
      </w:r>
      <m:oMath>
        <m:sSub>
          <m:e>
            <m:r>
              <m:t>Ψ</m:t>
            </m:r>
          </m:e>
          <m:sub>
            <m:r>
              <m:t>U</m:t>
            </m:r>
          </m:sub>
        </m:sSub>
      </m:oMath>
      <w:r>
        <w:t xml:space="preserve">, las relaciones internas y sus transformaciones la distingue de la identidad de estados o de una clase de equivalencia observacional exterior?</w:t>
      </w:r>
    </w:p>
    <w:p>
      <w:pPr>
        <w:pStyle w:val="Compact"/>
        <w:numPr>
          <w:ilvl w:val="0"/>
          <w:numId w:val="1001"/>
        </w:numPr>
      </w:pPr>
      <w:r>
        <w:rPr>
          <w:b/>
          <w:bCs/>
        </w:rPr>
        <w:t xml:space="preserve">Radio y cierre en sí.</w:t>
      </w:r>
      <w:r>
        <w:t xml:space="preserve"> </w:t>
      </w:r>
      <w:r>
        <w:t xml:space="preserve">¿Qué condiciones verificables de referencia interna, transformaciones, composición y observables caracterizan el cierre en sí en cada realización? ¿Cómo distinguir la continuidad interna de la mera determinación de una consulta exterior?</w:t>
      </w:r>
    </w:p>
    <w:p>
      <w:pPr>
        <w:pStyle w:val="Compact"/>
        <w:numPr>
          <w:ilvl w:val="0"/>
          <w:numId w:val="1001"/>
        </w:numPr>
      </w:pPr>
      <w:r>
        <w:rPr>
          <w:b/>
          <w:bCs/>
        </w:rPr>
        <w:t xml:space="preserve">Espejos.</w:t>
      </w:r>
      <w:r>
        <w:t xml:space="preserve"> </w:t>
      </w:r>
      <w:r>
        <w:t xml:space="preserve">¿Son correctos los generadores, las órbitas de</w:t>
      </w:r>
      <w:r>
        <w:t xml:space="preserve"> </w:t>
      </w:r>
      <m:oMath>
        <m:sSub>
          <m:e>
            <m:r>
              <m:t>ρ</m:t>
            </m:r>
          </m:e>
          <m:sub>
            <m:r>
              <m:t>L</m:t>
            </m:r>
          </m:sub>
        </m:sSub>
      </m:oMath>
      <w:r>
        <w:t xml:space="preserve">, los conteos de CME-001–003 y la clasificación</w:t>
      </w:r>
      <w:r>
        <w:t xml:space="preserve"> </w:t>
      </w:r>
      <m:oMath>
        <m:d>
          <m:dPr>
            <m:begChr m:val="("/>
            <m:endChr m:val=")"/>
            <m:sepChr m:val=""/>
            <m:grow/>
          </m:dPr>
          <m:e>
            <m:r>
              <m:t>2</m:t>
            </m:r>
            <m:r>
              <m:rPr>
                <m:sty m:val="p"/>
              </m:rPr>
              <m:t>,</m:t>
            </m:r>
            <m:r>
              <m:t>3</m:t>
            </m:r>
            <m:r>
              <m:rPr>
                <m:sty m:val="p"/>
              </m:rPr>
              <m:t>,</m:t>
            </m:r>
            <m:r>
              <m:t>k</m:t>
            </m:r>
          </m:e>
        </m:d>
      </m:oMath>
      <w:r>
        <w:t xml:space="preserve">? ¿Qué observables hacen distinguibles los recorridos opuestos en un mismo foco?</w:t>
      </w:r>
    </w:p>
    <w:p>
      <w:pPr>
        <w:pStyle w:val="Compact"/>
        <w:numPr>
          <w:ilvl w:val="0"/>
          <w:numId w:val="1001"/>
        </w:numPr>
      </w:pPr>
      <w:r>
        <w:rPr>
          <w:b/>
          <w:bCs/>
        </w:rPr>
        <w:t xml:space="preserve">Normalización.</w:t>
      </w:r>
      <w:r>
        <w:t xml:space="preserve"> </w:t>
      </w:r>
      <w:r>
        <w:t xml:space="preserve">¿Las proyecciones modulares de R–01 preservan exactamente las relaciones alegadas? ¿En qué condiciones se pierde inyectividad aunque se conserve compatibilidad de proyecciones?</w:t>
      </w:r>
    </w:p>
    <w:p>
      <w:pPr>
        <w:pStyle w:val="Compact"/>
        <w:numPr>
          <w:ilvl w:val="0"/>
          <w:numId w:val="1001"/>
        </w:numPr>
      </w:pPr>
      <w:r>
        <w:rPr>
          <w:b/>
          <w:bCs/>
        </w:rPr>
        <w:t xml:space="preserve">R4.</w:t>
      </w:r>
      <w:r>
        <w:t xml:space="preserve"> </w:t>
      </w:r>
      <w:r>
        <w:t xml:space="preserve">¿Es correcta la caracterización de tensiones</w:t>
      </w:r>
      <w:r>
        <w:t xml:space="preserve"> </w:t>
      </w:r>
      <m:oMath>
        <m:sSub>
          <m:e>
            <m:r>
              <m:rPr>
                <m:sty m:val="p"/>
                <m:scr m:val="double-struck"/>
              </m:rPr>
              <m:t>F</m:t>
            </m:r>
          </m:e>
          <m:sub>
            <m:r>
              <m:t>3</m:t>
            </m:r>
          </m:sub>
        </m:sSub>
      </m:oMath>
      <w:r>
        <w:t xml:space="preserve"> </w:t>
      </w:r>
      <w:r>
        <w:t xml:space="preserve">sin ceros, la distinción entre cierre de caras y periodos de homología, y la fórmula de 3-colorabilidad para</w:t>
      </w:r>
      <w:r>
        <w:t xml:space="preserve"> </w:t>
      </w:r>
      <m:oMath>
        <m:r>
          <m:t>T</m:t>
        </m:r>
        <m:d>
          <m:dPr>
            <m:begChr m:val="("/>
            <m:endChr m:val=")"/>
            <m:sepChr m:val=""/>
            <m:grow/>
          </m:dPr>
          <m:e>
            <m:r>
              <m:t>n</m:t>
            </m:r>
            <m:r>
              <m:rPr>
                <m:sty m:val="p"/>
              </m:rPr>
              <m:t>,</m:t>
            </m:r>
            <m:r>
              <m:t>m</m:t>
            </m:r>
          </m:e>
        </m:d>
      </m:oMath>
      <w:r>
        <w:t xml:space="preserve">? ¿Se mantienen los signos de</w:t>
      </w:r>
      <w:r>
        <w:t xml:space="preserve"> </w:t>
      </w:r>
      <m:oMath>
        <m:sSub>
          <m:e>
            <m:r>
              <m:t>H</m:t>
            </m:r>
          </m:e>
          <m:sub>
            <m:r>
              <m:t>x</m:t>
            </m:r>
          </m:sub>
        </m:sSub>
        <m:r>
          <m:rPr>
            <m:sty m:val="p"/>
          </m:rPr>
          <m:t>,</m:t>
        </m:r>
        <m:sSub>
          <m:e>
            <m:r>
              <m:t>H</m:t>
            </m:r>
          </m:e>
          <m:sub>
            <m:r>
              <m:t>y</m:t>
            </m:r>
          </m:sub>
        </m:sSub>
      </m:oMath>
      <w:r>
        <w:t xml:space="preserve"> </w:t>
      </w:r>
      <w:r>
        <w:t xml:space="preserve">bajo la orientación fijada y cuáles son los antecedentes más directos?</w:t>
      </w:r>
    </w:p>
    <w:p>
      <w:pPr>
        <w:pStyle w:val="Compact"/>
        <w:numPr>
          <w:ilvl w:val="0"/>
          <w:numId w:val="1001"/>
        </w:numPr>
      </w:pPr>
      <w:r>
        <w:rPr>
          <w:b/>
          <w:bCs/>
        </w:rPr>
        <w:t xml:space="preserve">Interfaz y recursión.</w:t>
      </w:r>
      <w:r>
        <w:t xml:space="preserve"> </w:t>
      </w:r>
      <w:r>
        <w:t xml:space="preserve">¿R5 identifica correctamente qué información basta para continuaciones exteriores y por qué no basta para modificaciones interiores? ¿Qué representación de procedencia permitiría una composición recursiva exacta y actualizable?</w:t>
      </w:r>
    </w:p>
    <w:p>
      <w:pPr>
        <w:pStyle w:val="Compact"/>
        <w:numPr>
          <w:ilvl w:val="0"/>
          <w:numId w:val="1001"/>
        </w:numPr>
      </w:pPr>
      <w:r>
        <w:rPr>
          <w:b/>
          <w:bCs/>
        </w:rPr>
        <w:t xml:space="preserve">Novedad circunstancial.</w:t>
      </w:r>
      <w:r>
        <w:t xml:space="preserve"> </w:t>
      </w:r>
      <w:r>
        <w:t xml:space="preserve">¿La familia</w:t>
      </w:r>
      <w:r>
        <w:t xml:space="preserve"> </w:t>
      </w:r>
      <m:oMath>
        <m:sSub>
          <m:e>
            <m:r>
              <m:rPr>
                <m:sty m:val="p"/>
                <m:scr m:val="script"/>
              </m:rPr>
              <m:t>P</m:t>
            </m:r>
          </m:e>
          <m:sub>
            <m:r>
              <m:t>3</m:t>
            </m:r>
          </m:sub>
        </m:sSub>
        <m:d>
          <m:dPr>
            <m:begChr m:val="("/>
            <m:endChr m:val=")"/>
            <m:sepChr m:val=""/>
            <m:grow/>
          </m:dPr>
          <m:e>
            <m:r>
              <m:t>G</m:t>
            </m:r>
          </m:e>
        </m:d>
      </m:oMath>
      <w:r>
        <w:t xml:space="preserve"> </w:t>
      </w:r>
      <w:r>
        <w:t xml:space="preserve">de R6 caracteriza todas las inserciones futuras admitidas? ¿Qué formulaciones simbólicas o intensionales pueden sostener las mismas distinciones sin enumerar explícitamente todas las particiones?</w:t>
      </w:r>
    </w:p>
    <w:p>
      <w:pPr>
        <w:pStyle w:val="Compact"/>
        <w:numPr>
          <w:ilvl w:val="0"/>
          <w:numId w:val="1001"/>
        </w:numPr>
      </w:pPr>
      <w:r>
        <w:rPr>
          <w:b/>
          <w:bCs/>
        </w:rPr>
        <w:t xml:space="preserve">Indefinición y radio.</w:t>
      </w:r>
      <w:r>
        <w:t xml:space="preserve"> </w:t>
      </w:r>
      <w:r>
        <w:t xml:space="preserve">¿Son correctos los estados de R–04, la inferencia del diamante y las mediciones de</w:t>
      </w:r>
      <w:r>
        <w:t xml:space="preserve"> </w:t>
      </w:r>
      <m:oMath>
        <m:r>
          <m:t>ρ</m:t>
        </m:r>
      </m:oMath>
      <w:r>
        <w:t xml:space="preserve">? ¿Puede demostrarse o refutarse</w:t>
      </w:r>
      <w:r>
        <w:t xml:space="preserve"> </w:t>
      </w:r>
      <m:oMath>
        <m:r>
          <m:t>ρ</m:t>
        </m:r>
        <m:d>
          <m:dPr>
            <m:begChr m:val="("/>
            <m:endChr m:val=")"/>
            <m:sepChr m:val=""/>
            <m:grow/>
          </m:dPr>
          <m:e>
            <m:r>
              <m:t>M</m:t>
            </m:r>
            <m:d>
              <m:dPr>
                <m:begChr m:val="("/>
                <m:endChr m:val=")"/>
                <m:sepChr m:val=""/>
                <m:grow/>
              </m:dPr>
              <m:e>
                <m:sSub>
                  <m:e>
                    <m:r>
                      <m:t>C</m:t>
                    </m:r>
                  </m:e>
                  <m:sub>
                    <m:r>
                      <m:t>r</m:t>
                    </m:r>
                  </m:sub>
                </m:sSub>
              </m:e>
            </m:d>
          </m:e>
        </m:d>
        <m:r>
          <m:rPr>
            <m:sty m:val="p"/>
          </m:rPr>
          <m:t>=</m:t>
        </m:r>
        <m:r>
          <m:t>2</m:t>
        </m:r>
        <m:r>
          <m:t>r</m:t>
        </m:r>
        <m:r>
          <m:rPr>
            <m:sty m:val="p"/>
          </m:rPr>
          <m:t>−</m:t>
        </m:r>
        <m:r>
          <m:t>2</m:t>
        </m:r>
      </m:oMath>
      <w:r>
        <w:t xml:space="preserve"> </w:t>
      </w:r>
      <w:r>
        <w:t xml:space="preserve">para</w:t>
      </w:r>
      <w:r>
        <w:t xml:space="preserve"> </w:t>
      </w:r>
      <m:oMath>
        <m:r>
          <m:t>r</m:t>
        </m:r>
        <m:r>
          <m:rPr>
            <m:sty m:val="p"/>
          </m:rPr>
          <m:t>≥</m:t>
        </m:r>
        <m:r>
          <m:t>7</m:t>
        </m:r>
      </m:oMath>
      <w:r>
        <w:t xml:space="preserve"> </w:t>
      </w:r>
      <w:r>
        <w:t xml:space="preserve">impar?</w:t>
      </w:r>
    </w:p>
    <w:p>
      <w:pPr>
        <w:pStyle w:val="Compact"/>
        <w:numPr>
          <w:ilvl w:val="0"/>
          <w:numId w:val="1001"/>
        </w:numPr>
      </w:pPr>
      <w:r>
        <w:rPr>
          <w:b/>
          <w:bCs/>
        </w:rPr>
        <w:t xml:space="preserve">Certificados globales.</w:t>
      </w:r>
      <w:r>
        <w:t xml:space="preserve"> </w:t>
      </w:r>
      <w:r>
        <w:t xml:space="preserve">¿La descomposición en camino de ancho</w:t>
      </w:r>
      <w:r>
        <w:t xml:space="preserve"> </w:t>
      </w:r>
      <m:oMath>
        <m:r>
          <m:rPr>
            <m:sty m:val="p"/>
          </m:rPr>
          <m:t>≤</m:t>
        </m:r>
        <m:r>
          <m:t>6</m:t>
        </m:r>
      </m:oMath>
      <w:r>
        <w:t xml:space="preserve"> </w:t>
      </w:r>
      <w:r>
        <w:t xml:space="preserve">y la refutación por resolución de ancho</w:t>
      </w:r>
      <w:r>
        <w:t xml:space="preserve"> </w:t>
      </w:r>
      <m:oMath>
        <m:r>
          <m:rPr>
            <m:sty m:val="p"/>
          </m:rPr>
          <m:t>≤</m:t>
        </m:r>
        <m:r>
          <m:t>21</m:t>
        </m:r>
      </m:oMath>
      <w:r>
        <w:t xml:space="preserve"> </w:t>
      </w:r>
      <w:r>
        <w:t xml:space="preserve">para</w:t>
      </w:r>
      <w:r>
        <w:t xml:space="preserve"> </w:t>
      </w:r>
      <m:oMath>
        <m:r>
          <m:t>M</m:t>
        </m:r>
        <m:d>
          <m:dPr>
            <m:begChr m:val="("/>
            <m:endChr m:val=")"/>
            <m:sepChr m:val=""/>
            <m:grow/>
          </m:dPr>
          <m:e>
            <m:sSub>
              <m:e>
                <m:r>
                  <m:t>C</m:t>
                </m:r>
              </m:e>
              <m:sub>
                <m:r>
                  <m:t>r</m:t>
                </m:r>
              </m:sub>
            </m:sSub>
          </m:e>
        </m:d>
      </m:oMath>
      <w:r>
        <w:t xml:space="preserve"> </w:t>
      </w:r>
      <w:r>
        <w:t xml:space="preserve">son válidas bajo la codificación declarada? ¿Hay un antecedente más fuerte?</w:t>
      </w:r>
    </w:p>
    <w:p>
      <w:pPr>
        <w:pStyle w:val="Compact"/>
        <w:numPr>
          <w:ilvl w:val="0"/>
          <w:numId w:val="1001"/>
        </w:numPr>
      </w:pPr>
      <w:r>
        <w:rPr>
          <w:b/>
          <w:bCs/>
        </w:rPr>
        <w:t xml:space="preserve">Límites de los motores.</w:t>
      </w:r>
      <w:r>
        <w:t xml:space="preserve"> </w:t>
      </w:r>
      <w:r>
        <w:t xml:space="preserve">¿Se sostiene N1-B bajo la definición original de</w:t>
      </w:r>
      <w:r>
        <w:t xml:space="preserve"> </w:t>
      </w:r>
      <w:r>
        <w:rPr>
          <w:rStyle w:val="VerbatimChar"/>
        </w:rPr>
        <w:t xml:space="preserve">total_candidates</w:t>
      </w:r>
      <w:r>
        <w:t xml:space="preserve">, sus invariantes y la codificación de O2c? ¿Qué sistemas de prueba simulan con costo polinómico un operador propuesto de actualización/cierre?</w:t>
      </w:r>
    </w:p>
    <w:p>
      <w:pPr>
        <w:pStyle w:val="Compact"/>
        <w:numPr>
          <w:ilvl w:val="0"/>
          <w:numId w:val="1001"/>
        </w:numPr>
      </w:pPr>
      <w:r>
        <w:rPr>
          <w:b/>
          <w:bCs/>
        </w:rPr>
        <w:t xml:space="preserve">Complejidad.</w:t>
      </w:r>
      <w:r>
        <w:t xml:space="preserve"> </w:t>
      </w:r>
      <w:r>
        <w:t xml:space="preserve">¿Qué teorema, cota o separación para una</w:t>
      </w:r>
      <w:r>
        <w:t xml:space="preserve"> </w:t>
      </w:r>
      <w:r>
        <w:rPr>
          <w:i/>
          <w:iCs/>
        </w:rPr>
        <w:t xml:space="preserve">clase definida de procedimientos</w:t>
      </w:r>
      <w:r>
        <w:t xml:space="preserve"> </w:t>
      </w:r>
      <w:r>
        <w:t xml:space="preserve">permitiría convertir referencia, novedad y cierre en una afirmación nueva sobre recursos, sin inferirla de la teoría geométrica de reflexiones?</w:t>
      </w:r>
    </w:p>
    <w:p>
      <w:pPr>
        <w:pStyle w:val="Compact"/>
        <w:numPr>
          <w:ilvl w:val="0"/>
          <w:numId w:val="1001"/>
        </w:numPr>
      </w:pPr>
      <w:r>
        <w:rPr>
          <w:b/>
          <w:bCs/>
        </w:rPr>
        <w:t xml:space="preserve">Posición bibliográfica y ROSI.</w:t>
      </w:r>
      <w:r>
        <w:t xml:space="preserve"> </w:t>
      </w:r>
      <w:r>
        <w:t xml:space="preserve">¿Qué partes de la articulación ya están completamente expresadas por teoría de autómatas, CSP, cohomología o complejidad de pruebas? ¿Qué enunciados específicos merecen examen independiente como nueva contribución?</w:t>
      </w:r>
    </w:p>
    <w:p>
      <w:pPr>
        <w:pStyle w:val="Compact"/>
        <w:numPr>
          <w:ilvl w:val="0"/>
          <w:numId w:val="1001"/>
        </w:numPr>
      </w:pPr>
      <w:r>
        <w:rPr>
          <w:b/>
          <w:bCs/>
        </w:rPr>
        <w:t xml:space="preserve">T-EXT-01 y tamaño de referencia.</w:t>
      </w:r>
      <w:r>
        <w:t xml:space="preserve"> </w:t>
      </w:r>
      <w:r>
        <w:t xml:space="preserve">¿Es correcta la cota de</w:t>
      </w:r>
      <w:r>
        <w:t xml:space="preserve"> </w:t>
      </w:r>
      <m:oMath>
        <m:sSup>
          <m:e>
            <m:r>
              <m:t>2</m:t>
            </m:r>
          </m:e>
          <m:sup>
            <m:r>
              <m:rPr>
                <m:sty m:val="p"/>
              </m:rPr>
              <m:t>⌊</m:t>
            </m:r>
            <m:sSup>
              <m:e>
                <m:r>
                  <m:t>n</m:t>
                </m:r>
              </m:e>
              <m:sup>
                <m:r>
                  <m:t>2</m:t>
                </m:r>
              </m:sup>
            </m:sSup>
            <m:r>
              <m:rPr>
                <m:sty m:val="p"/>
              </m:rPr>
              <m:t>/</m:t>
            </m:r>
            <m:r>
              <m:t>4</m:t>
            </m:r>
            <m:r>
              <m:rPr>
                <m:sty m:val="p"/>
              </m:rPr>
              <m:t>⌋</m:t>
            </m:r>
          </m:sup>
        </m:sSup>
      </m:oMath>
      <w:r>
        <w:t xml:space="preserve"> </w:t>
      </w:r>
      <w:r>
        <w:t xml:space="preserve">firmas y</w:t>
      </w:r>
      <w:r>
        <w:t xml:space="preserve"> </w:t>
      </w:r>
      <m:oMath>
        <m:r>
          <m:rPr>
            <m:sty m:val="p"/>
          </m:rPr>
          <m:t>⌊</m:t>
        </m:r>
        <m:sSup>
          <m:e>
            <m:r>
              <m:t>n</m:t>
            </m:r>
          </m:e>
          <m:sup>
            <m:r>
              <m:t>2</m:t>
            </m:r>
          </m:sup>
        </m:sSup>
        <m:r>
          <m:rPr>
            <m:sty m:val="p"/>
          </m:rPr>
          <m:t>/</m:t>
        </m:r>
        <m:r>
          <m:t>4</m:t>
        </m:r>
        <m:r>
          <m:rPr>
            <m:sty m:val="p"/>
          </m:rPr>
          <m:t>⌋</m:t>
        </m:r>
      </m:oMath>
      <w:r>
        <w:t xml:space="preserve"> </w:t>
      </w:r>
      <w:r>
        <w:t xml:space="preserve">bits para la familia bipartita bajo la interfaz total y las continuaciones</w:t>
      </w:r>
      <w:r>
        <w:t xml:space="preserve"> </w:t>
      </w:r>
      <m:oMath>
        <m:sSub>
          <m:e>
            <m:r>
              <m:t>D</m:t>
            </m:r>
          </m:e>
          <m:sub>
            <m:r>
              <m:t>u</m:t>
            </m:r>
            <m:r>
              <m:t>v</m:t>
            </m:r>
          </m:sub>
        </m:sSub>
      </m:oMath>
      <w:r>
        <w:t xml:space="preserve">? ¿Qué teoremas previos de equivalencia contextual, complejidad de comunicación o grafos con frontera la contienen? ¿Qué cotas sobreviven cuando solo una frontera propia de tamaño</w:t>
      </w:r>
      <w:r>
        <w:t xml:space="preserve"> </w:t>
      </w:r>
      <m:oMath>
        <m:r>
          <m:t>b</m:t>
        </m:r>
        <m:r>
          <m:rPr>
            <m:sty m:val="p"/>
          </m:rPr>
          <m:t>&lt;</m:t>
        </m:r>
        <m:r>
          <m:t>n</m:t>
        </m:r>
      </m:oMath>
      <w:r>
        <w:t xml:space="preserve"> </w:t>
      </w:r>
      <w:r>
        <w:t xml:space="preserve">es accesible?</w:t>
      </w:r>
    </w:p>
    <w:bookmarkEnd w:id="33"/>
    <w:bookmarkStart w:id="34" w:name="X5a179ae3bd7ba356e83f2967734f4b33bb8dd3a"/>
    <w:p>
      <w:pPr>
        <w:pStyle w:val="Heading2"/>
      </w:pPr>
      <w:r>
        <w:t xml:space="preserve">11. Material, reproducción y estado de las fuentes</w:t>
      </w:r>
    </w:p>
    <w:p>
      <w:pPr>
        <w:pStyle w:val="FirstParagraph"/>
      </w:pPr>
      <w:r>
        <w:rPr>
          <w:b/>
          <w:bCs/>
        </w:rPr>
        <w:t xml:space="preserve">Documento principal de esta solicitud:</w:t>
      </w:r>
      <w:r>
        <w:t xml:space="preserve"> </w:t>
      </w:r>
      <w:r>
        <w:t xml:space="preserve">la presente edición ajustada. El resumen ejecutivo de una página orienta la lectura, pero</w:t>
      </w:r>
      <w:r>
        <w:t xml:space="preserve"> </w:t>
      </w:r>
      <w:r>
        <w:rPr>
          <w:b/>
          <w:bCs/>
        </w:rPr>
        <w:t xml:space="preserve">no sustituye las pruebas</w:t>
      </w:r>
      <w:r>
        <w:t xml:space="preserve">. Los anexos técnicos son archivos identificados de la historia del programa, no resultados regenerados automáticamente por copiar el documento. Las comprobaciones existentes corresponden a sus propios programas y entradas: O59 y CME-001–003; el complemento PNP–CME r3; R4; R–04; R5; R6; N1 y LAB-CONV. Para reproducir un resultado deben consultarse su contrato, código, resultado archivado y versión de la fuente.</w:t>
      </w:r>
    </w:p>
    <w:p>
      <w:pPr>
        <w:pStyle w:val="BodyText"/>
      </w:pPr>
      <w:r>
        <w:rPr>
          <w:b/>
          <w:bCs/>
        </w:rPr>
        <w:t xml:space="preserve">Estado de publicación, verificado el 30 de octubre:</w:t>
      </w:r>
      <w:r>
        <w:t xml:space="preserve"> </w:t>
      </w:r>
      <w:r>
        <w:t xml:space="preserve">el repositorio público enlazado arriba muestra la edición del 24 de octubre y el complemento de Yang–Mills del 27; no se presupone que los suplementos del 28–30 estén incorporados a</w:t>
      </w:r>
      <w:r>
        <w:t xml:space="preserve"> </w:t>
      </w:r>
      <w:r>
        <w:rPr>
          <w:rStyle w:val="VerbatimChar"/>
        </w:rPr>
        <w:t xml:space="preserve">main</w:t>
      </w:r>
      <w:r>
        <w:t xml:space="preserve">. Por ello se adjunta un paquete autocontenido con esta solicitud y las fuentes pertinentes. Cuando se publique una edición en GitHub debe identificarse el commit y reemplazar los enlaces de distribución por rutas realmente existentes.</w:t>
      </w:r>
    </w:p>
    <w:p>
      <w:pPr>
        <w:pStyle w:val="BodyText"/>
      </w:pPr>
      <w:r>
        <w:rPr>
          <w:b/>
          <w:bCs/>
        </w:rPr>
        <w:t xml:space="preserve">Control T-EXT-01 de esta edición.</w:t>
      </w:r>
      <w:r>
        <w:t xml:space="preserve"> </w:t>
      </w:r>
      <w:r>
        <w:t xml:space="preserve">El archivo</w:t>
      </w:r>
      <w:r>
        <w:t xml:space="preserve"> </w:t>
      </w:r>
      <w:r>
        <w:rPr>
          <w:rStyle w:val="VerbatimChar"/>
        </w:rPr>
        <w:t xml:space="preserve">verificar_T_EXT_01.py</w:t>
      </w:r>
      <w:r>
        <w:t xml:space="preserve"> </w:t>
      </w:r>
      <w:r>
        <w:t xml:space="preserve">y su salida</w:t>
      </w:r>
      <w:r>
        <w:t xml:space="preserve"> </w:t>
      </w:r>
      <w:r>
        <w:rPr>
          <w:rStyle w:val="VerbatimChar"/>
        </w:rPr>
        <w:t xml:space="preserve">RESULTADOS_T_EXT_01.json</w:t>
      </w:r>
      <w:r>
        <w:t xml:space="preserve"> </w:t>
      </w:r>
      <w:r>
        <w:t xml:space="preserve">acompañan la demostración. Ambos registran las 4.672 consultas y las firmas distintas para</w:t>
      </w:r>
      <w:r>
        <w:t xml:space="preserve"> </w:t>
      </w:r>
      <m:oMath>
        <m:r>
          <m:t>n</m:t>
        </m:r>
        <m:r>
          <m:rPr>
            <m:sty m:val="p"/>
          </m:rPr>
          <m:t>=</m:t>
        </m:r>
        <m:r>
          <m:t>4</m:t>
        </m:r>
        <m:r>
          <m:rPr>
            <m:sty m:val="p"/>
          </m:rPr>
          <m:t>,</m:t>
        </m:r>
        <m:r>
          <m:t>6</m:t>
        </m:r>
      </m:oMath>
      <w:r>
        <w:t xml:space="preserve">.</w:t>
      </w:r>
    </w:p>
    <w:p>
      <w:pPr>
        <w:pStyle w:val="BodyText"/>
      </w:pPr>
      <w:r>
        <w:rPr>
          <w:b/>
          <w:bCs/>
        </w:rPr>
        <w:t xml:space="preserve">Control adicional de esta revisión.</w:t>
      </w:r>
      <w:r>
        <w:t xml:space="preserve"> </w:t>
      </w:r>
      <w:r>
        <w:t xml:space="preserve">La orientación de R4 se comprobó directamente mediante</w:t>
      </w:r>
      <w:r>
        <w:t xml:space="preserve"> </w:t>
      </w:r>
      <m:oMath>
        <m:r>
          <m:t>c</m:t>
        </m:r>
        <m:d>
          <m:dPr>
            <m:begChr m:val="("/>
            <m:endChr m:val=")"/>
            <m:sepChr m:val=""/>
            <m:grow/>
          </m:dPr>
          <m:e>
            <m:r>
              <m:t>i</m:t>
            </m:r>
            <m:r>
              <m:rPr>
                <m:sty m:val="p"/>
              </m:rPr>
              <m:t>,</m:t>
            </m:r>
            <m:r>
              <m:t>j</m:t>
            </m:r>
          </m:e>
        </m:d>
        <m:r>
          <m:rPr>
            <m:sty m:val="p"/>
          </m:rPr>
          <m:t>=</m:t>
        </m:r>
        <m:r>
          <m:t>i</m:t>
        </m:r>
        <m:r>
          <m:rPr>
            <m:sty m:val="p"/>
          </m:rPr>
          <m:t>−</m:t>
        </m:r>
        <m:r>
          <m:t>j</m:t>
        </m:r>
      </m:oMath>
      <w:r>
        <w:t xml:space="preserve"> </w:t>
      </w:r>
      <w:r>
        <w:t xml:space="preserve">en el recubrimiento. El verificador</w:t>
      </w:r>
      <w:r>
        <w:t xml:space="preserve"> </w:t>
      </w:r>
      <w:r>
        <w:rPr>
          <w:rStyle w:val="VerbatimChar"/>
        </w:rPr>
        <w:t xml:space="preserve">verificar_fase_holonomia.py</w:t>
      </w:r>
      <w:r>
        <w:t xml:space="preserve"> </w:t>
      </w:r>
      <w:r>
        <w:t xml:space="preserve">se volvió a ejecutar y su JSON coincide byte por byte con la fuente del 29 de octubre. Las demás pruebas conservan sus estados históricos y sus contratos originales.</w:t>
      </w:r>
    </w:p>
    <w:p>
      <w:pPr>
        <w:pStyle w:val="BodyText"/>
      </w:pPr>
      <w:r>
        <w:rPr>
          <w:b/>
          <w:bCs/>
        </w:rPr>
        <w:t xml:space="preserve">Cómo responder.</w:t>
      </w:r>
      <w:r>
        <w:t xml:space="preserve"> </w:t>
      </w:r>
      <w:r>
        <w:t xml:space="preserve">Agradecemos respuestas en español o inglés en un issue del repositorio o en el hilo de invitación. Señalar una hipótesis, proporcionar un contraejemplo, demostrar una identidad, verificar un script, ubicar literatura o explicar un límite para una clase de algoritmos son contribuciones independientes y verificables. No hay plazo fijado.</w:t>
      </w:r>
    </w:p>
    <w:bookmarkEnd w:id="34"/>
    <w:bookmarkStart w:id="35" w:name="referencias-y-procedencia"/>
    <w:p>
      <w:pPr>
        <w:pStyle w:val="Heading2"/>
      </w:pPr>
      <w:r>
        <w:t xml:space="preserve">12. Referencias y procedencia</w:t>
      </w:r>
    </w:p>
    <w:p>
      <w:pPr>
        <w:pStyle w:val="FirstParagraph"/>
      </w:pPr>
      <w:r>
        <w:rPr>
          <w:b/>
          <w:bCs/>
        </w:rPr>
        <w:t xml:space="preserve">Fuentes del programa.</w:t>
      </w:r>
      <w:r>
        <w:t xml:space="preserve"> </w:t>
      </w:r>
      <w:r>
        <w:rPr>
          <w:i/>
          <w:iCs/>
        </w:rPr>
        <w:t xml:space="preserve">La unidad autorreferenciada y su radio relacional</w:t>
      </w:r>
      <w:r>
        <w:t xml:space="preserve"> </w:t>
      </w:r>
      <w:r>
        <w:t xml:space="preserve">(30-10-2026); MF-97/MF-106; R–01 (23-10); O59 y CME-001–003; E25/E26; complemento PNP–CME r3 (28-10); R4</w:t>
      </w:r>
      <w:r>
        <w:t xml:space="preserve"> </w:t>
      </w:r>
      <w:r>
        <w:rPr>
          <w:i/>
          <w:iCs/>
        </w:rPr>
        <w:t xml:space="preserve">La orientación, el desfase y la condición de cierre global</w:t>
      </w:r>
      <w:r>
        <w:t xml:space="preserve"> </w:t>
      </w:r>
      <w:r>
        <w:t xml:space="preserve">(29-10); R5</w:t>
      </w:r>
      <w:r>
        <w:t xml:space="preserve"> </w:t>
      </w:r>
      <w:r>
        <w:rPr>
          <w:i/>
          <w:iCs/>
        </w:rPr>
        <w:t xml:space="preserve">Misma referencia exterior, interiores diferentes</w:t>
      </w:r>
      <w:r>
        <w:t xml:space="preserve"> </w:t>
      </w:r>
      <w:r>
        <w:t xml:space="preserve">(29-10); R6</w:t>
      </w:r>
      <w:r>
        <w:t xml:space="preserve"> </w:t>
      </w:r>
      <w:r>
        <w:rPr>
          <w:i/>
          <w:iCs/>
        </w:rPr>
        <w:t xml:space="preserve">El determinante circunstancial</w:t>
      </w:r>
      <w:r>
        <w:t xml:space="preserve"> </w:t>
      </w:r>
      <w:r>
        <w:t xml:space="preserve">(29-10); T-EXT-01</w:t>
      </w:r>
      <w:r>
        <w:t xml:space="preserve"> </w:t>
      </w:r>
      <w:r>
        <w:rPr>
          <w:i/>
          <w:iCs/>
        </w:rPr>
        <w:t xml:space="preserve">Límite de información contextual con interfaz total</w:t>
      </w:r>
      <w:r>
        <w:t xml:space="preserve"> </w:t>
      </w:r>
      <w:r>
        <w:t xml:space="preserve">(30-10, esta edición); R–04</w:t>
      </w:r>
      <w:r>
        <w:t xml:space="preserve"> </w:t>
      </w:r>
      <w:r>
        <w:rPr>
          <w:i/>
          <w:iCs/>
        </w:rPr>
        <w:t xml:space="preserve">Punto de indefinición, cierre y contraejemplos en 3-coloración</w:t>
      </w:r>
      <w:r>
        <w:t xml:space="preserve"> </w:t>
      </w:r>
      <w:r>
        <w:t xml:space="preserve">(29-10); N1-A/N1-B, LAB-CONV y ROSI.</w:t>
      </w:r>
    </w:p>
    <w:p>
      <w:pPr>
        <w:pStyle w:val="BodyText"/>
      </w:pPr>
      <w:r>
        <w:rPr>
          <w:b/>
          <w:bCs/>
        </w:rPr>
        <w:t xml:space="preserve">Literatura de comparación.</w:t>
      </w:r>
      <w:r>
        <w:t xml:space="preserve"> </w:t>
      </w:r>
      <w:r>
        <w:t xml:space="preserve">Coxeter (1934), grupos de reflexión; Świerczkowski (1959), cadenas de tetraedros; Nerode (1958), equivalencia por continuaciones; Mycielski (1955), grafos cromáticos; Hell y Nešetřil (1990),</w:t>
      </w:r>
      <w:r>
        <w:t xml:space="preserve"> </w:t>
      </w:r>
      <m:oMath>
        <m:r>
          <m:t>H</m:t>
        </m:r>
      </m:oMath>
      <w:r>
        <w:t xml:space="preserve">-coloración; Maffray y Preissmann (1996), 3-coloración sin triángulos; Bulatov (2017) y Zhuk (2020), dicotomía CSP; Beame, Culberson, Mitchell y Moore (2005), complejidad de resolución para coloración aleatoria; Ben-Sasson y Wigderson (2001), longitud y ancho de refutaciones; Lauria y Nordström (2017), barreras para métodos algebraicos.</w:t>
      </w:r>
    </w:p>
    <w:bookmarkEnd w:id="35"/>
    <w:bookmarkEnd w:id="36"/>
    <w:sectPr>
      <w:headerReference r:id="rId9" w:type="default"/>
      <w:footerReference r:id="rId10" w:type="default"/>
      <w:pgMar w:bottom="1008" w:footer="533" w:header="518" w:left="1224" w:right="1224"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26C73"/>
        <w:sz w:val="16"/>
      </w:rPr>
      <w:t xml:space="preserve">30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77078"/>
        <w:sz w:val="14"/>
      </w:rPr>
      <w:t>PROGRAMA DE GEOMETRÍA RELACIONAL  /  SOLICITUD DE REVISIÓN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Aptos" w:hAnsi="Aptos"/>
      <w:color w:val="292F36"/>
      <w:sz w:val="20"/>
    </w:rPr>
  </w:style>
  <w:style w:styleId="BodyText" w:type="paragraph">
    <w:name w:val="Body Text"/>
    <w:basedOn w:val="Normal"/>
    <w:link w:val="BodyTextChar"/>
    <w:qFormat/>
    <w:pPr>
      <w:spacing w:after="86" w:before="180" w:line="271" w:lineRule="auto"/>
    </w:pPr>
    <w:rPr>
      <w:rFonts w:ascii="Noto Serif" w:hAnsi="Noto Serif"/>
      <w:color w:val="292F36"/>
      <w:sz w:val="18"/>
    </w:rPr>
  </w:style>
  <w:style w:customStyle="1" w:styleId="FirstParagraph" w:type="paragraph">
    <w:name w:val="First Paragraph"/>
    <w:basedOn w:val="BodyText"/>
    <w:next w:val="BodyText"/>
    <w:qFormat/>
    <w:pPr>
      <w:spacing w:after="86" w:line="271" w:lineRule="auto"/>
    </w:pPr>
    <w:rPr>
      <w:rFonts w:ascii="Noto Serif" w:hAnsi="Noto Serif"/>
      <w:color w:val="292F36"/>
      <w:sz w:val="18"/>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Noto Sans" w:asciiTheme="majorHAnsi" w:cstheme="majorBidi" w:eastAsiaTheme="majorEastAsia" w:hAnsi="Noto Sans" w:hAnsiTheme="majorHAnsi"/>
      <w:b/>
      <w:bCs/>
      <w:color w:val="1D394B"/>
      <w:sz w:val="34"/>
      <w:szCs w:val="32"/>
    </w:rPr>
  </w:style>
  <w:style w:styleId="Heading2" w:type="paragraph">
    <w:name w:val="Heading 2"/>
    <w:basedOn w:val="Normal"/>
    <w:next w:val="BodyText"/>
    <w:uiPriority w:val="9"/>
    <w:unhideWhenUsed/>
    <w:qFormat/>
    <w:pPr>
      <w:keepNext/>
      <w:keepLines/>
      <w:spacing w:after="80" w:before="200"/>
      <w:outlineLvl w:val="1"/>
    </w:pPr>
    <w:rPr>
      <w:rFonts w:ascii="Noto Sans" w:asciiTheme="majorHAnsi" w:cstheme="majorBidi" w:eastAsiaTheme="majorEastAsia" w:hAnsi="Noto Sans" w:hAnsiTheme="majorHAnsi"/>
      <w:b/>
      <w:bCs/>
      <w:color w:val="1D394B"/>
      <w:sz w:val="22"/>
      <w:szCs w:val="28"/>
    </w:rPr>
  </w:style>
  <w:style w:styleId="Heading3" w:type="paragraph">
    <w:name w:val="Heading 3"/>
    <w:basedOn w:val="Normal"/>
    <w:next w:val="BodyText"/>
    <w:uiPriority w:val="9"/>
    <w:unhideWhenUsed/>
    <w:qFormat/>
    <w:pPr>
      <w:keepNext/>
      <w:keepLines/>
      <w:spacing w:after="60" w:before="160"/>
      <w:outlineLvl w:val="2"/>
    </w:pPr>
    <w:rPr>
      <w:rFonts w:ascii="Noto Sans" w:asciiTheme="majorHAnsi" w:cstheme="majorBidi" w:eastAsiaTheme="majorEastAsia" w:hAnsi="Noto Sans" w:hAnsiTheme="majorHAnsi"/>
      <w:b/>
      <w:bCs/>
      <w:color w:val="1D394B"/>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github.com/EndlessMonkeyProyect/programa-geometria-relacional"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EndlessMonkeyProyect/programa-geometria-relac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2026-10-30T18:55:33Z</dcterms:created>
  <dcterms:modified xsi:type="dcterms:W3CDTF">2026-10-30T18:55:33Z</dcterms:modified>
</cp:coreProperties>
</file>

<file path=docProps/custom.xml><?xml version="1.0" encoding="utf-8"?>
<Properties xmlns="http://schemas.openxmlformats.org/officeDocument/2006/custom-properties" xmlns:vt="http://schemas.openxmlformats.org/officeDocument/2006/docPropsVTypes"/>
</file>