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-ext-01-cota-de-información-contextual"/>
    <w:p>
      <w:pPr>
        <w:pStyle w:val="Heading1"/>
      </w:pPr>
      <w:r>
        <w:t xml:space="preserve">T-EXT-01 — Cota de información contextual</w:t>
      </w:r>
    </w:p>
    <w:bookmarkStart w:id="20" w:name="X3f97841c7e8683ac0c240c98f4ce6245247562a"/>
    <w:p>
      <w:pPr>
        <w:pStyle w:val="Heading3"/>
      </w:pPr>
      <w:r>
        <w:t xml:space="preserve">T-EXT-01: información mínima para continuaciones exteriores [T/E]</w:t>
      </w:r>
    </w:p>
    <w:p>
      <w:pPr>
        <w:pStyle w:val="FirstParagraph"/>
      </w:pPr>
      <w:r>
        <w:rPr>
          <w:b/>
          <w:bCs/>
        </w:rPr>
        <w:t xml:space="preserve">Contrato y alcance.</w:t>
      </w:r>
      <w:r>
        <w:t xml:space="preserve"> </w:t>
      </w:r>
      <w:r>
        <w:t xml:space="preserve">Fijamos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vértices etiquetados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⊔</m:t>
        </m:r>
        <m:r>
          <m:t>B</m:t>
        </m:r>
      </m:oMath>
      <w:r>
        <w:t xml:space="preserve">, con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. Nuestra familia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H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rPr>
              <m:sty m:val="p"/>
            </m:rPr>
            <m:t>:</m:t>
          </m:r>
          <m:r>
            <m:t>E</m:t>
          </m:r>
          <m:r>
            <m:rPr>
              <m:sty m:val="p"/>
            </m:rPr>
            <m:t>⊆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Todos estos grafos son bipartitos y admiten 3-coloraciones. En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prueba, la interfaz exterior contiene</w:t>
      </w:r>
      <w:r>
        <w:t xml:space="preserve"> </w:t>
      </w:r>
      <w:r>
        <w:rPr>
          <w:b/>
          <w:bCs/>
        </w:rPr>
        <w:t xml:space="preserve">todos los vértices de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una continuación puede unir dos vértices nuevos a cualquier par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B</m:t>
        </m:r>
      </m:oMath>
      <w:r>
        <w:t xml:space="preserve">. No se afirma que la misma cota valga para una interfaz propia que solo exponga unos pocos vértices interiores.</w:t>
      </w:r>
    </w:p>
    <w:p>
      <w:pPr>
        <w:pStyle w:val="BodyText"/>
      </w:pPr>
      <w:r>
        <w:t xml:space="preserve">Para cada par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B</m:t>
        </m:r>
      </m:oMath>
      <w:r>
        <w:t xml:space="preserve">, definimos la continuación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 </w:t>
      </w:r>
      <w:r>
        <w:t xml:space="preserve">añadiendo dos vértices nuevos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y exactamente las cinco aristas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t>a</m:t>
          </m:r>
          <m:r>
            <m:t>u</m:t>
          </m:r>
          <m:r>
            <m:rPr>
              <m:sty m:val="p"/>
            </m:rPr>
            <m:t>,</m:t>
          </m:r>
          <m:r>
            <m:t>a</m:t>
          </m:r>
          <m:r>
            <m:t>v</m:t>
          </m:r>
          <m:r>
            <m:rPr>
              <m:sty m:val="p"/>
            </m:rPr>
            <m:t>,</m:t>
          </m:r>
          <m:r>
            <m:t>b</m:t>
          </m:r>
          <m:r>
            <m:t>u</m:t>
          </m:r>
          <m:r>
            <m:rPr>
              <m:sty m:val="p"/>
            </m:rPr>
            <m:t>,</m:t>
          </m:r>
          <m:r>
            <m:t>b</m:t>
          </m:r>
          <m:r>
            <m:t>v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consulta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∪</m:t>
            </m:r>
            <m:sSub>
              <m:e>
                <m:r>
                  <m:t>D</m:t>
                </m:r>
              </m:e>
              <m:sub>
                <m:r>
                  <m:t>u</m:t>
                </m:r>
                <m:r>
                  <m:t>v</m:t>
                </m:r>
              </m:sub>
            </m:sSub>
          </m:e>
        </m:d>
      </m:oMath>
      <w:r>
        <w:t xml:space="preserve"> </w:t>
      </w:r>
      <w:r>
        <w:t xml:space="preserve">pregunta si el grafo aumentado es 3-coloreable. Una</w:t>
      </w:r>
      <w:r>
        <w:t xml:space="preserve"> </w:t>
      </w:r>
      <w:r>
        <w:rPr>
          <w:i/>
          <w:iCs/>
        </w:rPr>
        <w:t xml:space="preserve">firma autosuficiente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debe responder esa consulta para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pares mediante funciones de lectura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, sin acceso adicional al grafo original que no esté contado en la representación: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u</m:t>
              </m:r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Teorema T-EXT-01 (cota exacta de estados contextuales).</w:t>
      </w:r>
      <w:r>
        <w:t xml:space="preserve"> </w:t>
      </w:r>
      <w:r>
        <w:t xml:space="preserve">Bajo este contrato, toda firma autosuficiente distingue al menos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2</m:t>
                  </m:r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⌊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⌋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t xml:space="preserve">estados. En una codificación binaria de longitud fija esto exige al menos</w:t>
      </w:r>
      <w:r>
        <w:t xml:space="preserve"> </w:t>
      </w:r>
      <m:oMath>
        <m:r>
          <m:rPr>
            <m:sty m:val="p"/>
          </m:rPr>
          <m:t>⌊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⌋</m:t>
        </m:r>
      </m:oMath>
      <w:r>
        <w:t xml:space="preserve"> </w:t>
      </w:r>
      <w:r>
        <w:t xml:space="preserve">bits. Para esta familia, la cota en bits es ajustada: registrar la matriz de adyacencia de los pares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emplea exactamente esa cantidad, sin que ello garantice lectura eficiente para todas las familias de continuaciones posibles.</w:t>
      </w:r>
    </w:p>
    <w:p>
      <w:pPr>
        <w:pStyle w:val="BodyText"/>
      </w:pPr>
      <w:r>
        <w:rPr>
          <w:b/>
          <w:bCs/>
        </w:rPr>
        <w:t xml:space="preserve">Demostración.</w:t>
      </w:r>
      <w:r>
        <w:t xml:space="preserve"> </w:t>
      </w:r>
      <w:r>
        <w:t xml:space="preserve">Primero, para todo</w:t>
      </w:r>
      <w:r>
        <w:t xml:space="preserve"> </w:t>
      </w:r>
      <m:oMath>
        <m:r>
          <m:t>E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y todo par</w:t>
      </w:r>
      <w:r>
        <w:t xml:space="preserve"> </w:t>
      </w:r>
      <m:oMath>
        <m:r>
          <m:t>u</m:t>
        </m:r>
        <m:r>
          <m:t>v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se cumple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D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nor/>
                  <m:sty m:val="p"/>
                </m:rPr>
                <m:t> es 3-coloreable</m:t>
              </m:r>
              <m:r>
                <m:rPr>
                  <m:sty m:val="p"/>
                </m:rPr>
                <m:t>⇔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∉</m:t>
              </m:r>
              <m:r>
                <m:t>E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t>u</m:t>
        </m:r>
        <m:r>
          <m:t>v</m:t>
        </m:r>
        <m:r>
          <m:rPr>
            <m:sty m:val="p"/>
          </m:rPr>
          <m:t>∈</m:t>
        </m:r>
        <m:r>
          <m:t>E</m:t>
        </m:r>
      </m:oMath>
      <w:r>
        <w:t xml:space="preserve">, los cuatro vértices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inducen un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y no admiten tres colores. Si</w:t>
      </w:r>
      <w:r>
        <w:t xml:space="preserve"> </w:t>
      </w:r>
      <m:oMath>
        <m:r>
          <m:t>u</m:t>
        </m:r>
        <m:r>
          <m:t>v</m:t>
        </m:r>
        <m:r>
          <m:rPr>
            <m:sty m:val="p"/>
          </m:rPr>
          <m:t>∉</m:t>
        </m:r>
        <m:r>
          <m:t>E</m:t>
        </m:r>
      </m:oMath>
      <w:r>
        <w:t xml:space="preserve">, coloreamos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u</m:t>
        </m:r>
        <m:r>
          <m:rPr>
            <m:sty m:val="p"/>
          </m:rPr>
          <m:t>}</m:t>
        </m:r>
      </m:oMath>
      <w:r>
        <w:t xml:space="preserve"> </w:t>
      </w:r>
      <w:r>
        <w:t xml:space="preserve">con 0,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}</m:t>
        </m:r>
      </m:oMath>
      <w:r>
        <w:t xml:space="preserve"> </w:t>
      </w:r>
      <w:r>
        <w:t xml:space="preserve">con 1,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con 2, y los vértices nuevos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con 0 y 1, respectivamente. Esta asignación es válida: las aristas originales solo conectan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u</m:t>
        </m:r>
        <m:r>
          <m:t>v</m:t>
        </m:r>
      </m:oMath>
      <w:r>
        <w:t xml:space="preserve"> </w:t>
      </w:r>
      <w:r>
        <w:t xml:space="preserve">está ausente y las cinco aristas nuevas tienen extremos de distinto color.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E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′</m:t>
        </m:r>
      </m:oMath>
      <w:r>
        <w:t xml:space="preserve">, existe un par</w:t>
      </w:r>
      <w:r>
        <w:t xml:space="preserve"> </w:t>
      </w:r>
      <m:oMath>
        <m:r>
          <m:t>u</m:t>
        </m:r>
        <m:r>
          <m:t>v</m:t>
        </m:r>
      </m:oMath>
      <w:r>
        <w:t xml:space="preserve"> </w:t>
      </w:r>
      <w:r>
        <w:t xml:space="preserve">presente exactamente en uno de los dos conjuntos. La continuación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 </w:t>
      </w:r>
      <w:r>
        <w:t xml:space="preserve">da respuestas distintas para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H</m:t>
            </m:r>
          </m:e>
          <m:sub>
            <m:r>
              <m:t>E</m:t>
            </m:r>
            <m:r>
              <m:rPr>
                <m:sty m:val="p"/>
              </m:rPr>
              <m:t>′</m:t>
            </m:r>
          </m:sub>
        </m:sSub>
      </m:oMath>
      <w:r>
        <w:t xml:space="preserve">. Una firma que permitiera responder todas las consultas no puede identificarlos. Hay</w:t>
      </w:r>
      <w:r>
        <w:t xml:space="preserve"> </w:t>
      </w:r>
      <m:oMath>
        <m:sSup>
          <m:e>
            <m:r>
              <m:t>2</m:t>
            </m:r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d>
              <m:dPr>
                <m:begChr m:val="|"/>
                <m:endChr m:val="|"/>
                <m:sepChr m:val=""/>
                <m:grow/>
              </m:dPr>
              <m:e>
                <m:r>
                  <m:t>B</m:t>
                </m:r>
              </m:e>
            </m:d>
          </m:sup>
        </m:sSup>
      </m:oMath>
      <w:r>
        <w:t xml:space="preserve"> </w:t>
      </w:r>
      <w:r>
        <w:t xml:space="preserve">subconjuntos de aristas, luego igual número de firmas distinguibles. Una codificación fija con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bits representa a lo sumo</w:t>
      </w:r>
      <w:r>
        <w:t xml:space="preserve"> </w:t>
      </w:r>
      <m:oMath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estados, de donde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⌊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⌋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Control independiente [E].</w:t>
      </w:r>
      <w:r>
        <w:t xml:space="preserve"> </w:t>
      </w:r>
      <w:r>
        <w:t xml:space="preserve">El verificador</w:t>
      </w:r>
      <w:r>
        <w:t xml:space="preserve"> </w:t>
      </w:r>
      <w:r>
        <w:rPr>
          <w:rStyle w:val="VerbatimChar"/>
        </w:rPr>
        <w:t xml:space="preserve">verificar_T_EXT_01.py</w:t>
      </w:r>
      <w:r>
        <w:t xml:space="preserve"> </w:t>
      </w:r>
      <w:r>
        <w:t xml:space="preserve">ensaya exhaustivamente las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instancias sobre cuatro vértices y las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sobre seis. Comprueba la equivalencia anterior para los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pares disponibles por instancia:</w:t>
      </w:r>
      <w:r>
        <w:t xml:space="preserve"> </w:t>
      </w:r>
      <w:r>
        <w:rPr>
          <w:b/>
          <w:bCs/>
        </w:rPr>
        <w:t xml:space="preserve">64 + 4.608 = 4.672 consultas</w:t>
      </w:r>
      <w:r>
        <w:t xml:space="preserve">, sin fallos, y cuenta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firmas de respuesta diferentes, respectivamente. Es una comprobación finita de la prueba general, no su fundamento.</w:t>
      </w:r>
    </w:p>
    <w:p>
      <w:pPr>
        <w:pStyle w:val="BodyText"/>
      </w:pPr>
      <w:r>
        <w:rPr>
          <w:b/>
          <w:bCs/>
        </w:rPr>
        <w:t xml:space="preserve">Relación con R5 y R6.</w:t>
      </w:r>
      <w:r>
        <w:t xml:space="preserve"> </w:t>
      </w:r>
      <w:r>
        <w:t xml:space="preserve">R5 distingue lo que una firma de frontera conserva bajo continuaciones exteriores y pierde ante modificaciones interiores; R6 identifica las distinciones necesarias para inserciones de aristas</w:t>
      </w:r>
      <w:r>
        <w:t xml:space="preserve"> </w:t>
      </w:r>
      <w:r>
        <w:rPr>
          <w:b/>
          <w:bCs/>
        </w:rPr>
        <w:t xml:space="preserve">sin nuevos vértices</w:t>
      </w:r>
      <w:r>
        <w:t xml:space="preserve"> </w:t>
      </w:r>
      <w:r>
        <w:t xml:space="preserve">sobre</w:t>
      </w:r>
      <w:r>
        <w:t xml:space="preserve"> </w:t>
      </w:r>
      <m:oMath>
        <m:r>
          <m:t>V</m:t>
        </m:r>
      </m:oMath>
      <w:r>
        <w:t xml:space="preserve">. T-EXT-01 fija otro contrato:</w:t>
      </w:r>
      <w:r>
        <w:t xml:space="preserve"> </w:t>
      </w:r>
      <w:r>
        <w:rPr>
          <w:b/>
          <w:bCs/>
        </w:rPr>
        <w:t xml:space="preserve">incorporaciones con dos vértices nuevos que pueden contactar todos los vértices de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. Esta familia de consultas recupera individualmente cada arista de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Así cuantifica una barrera informacional de referencia externa, aun cuando la colorabilidad inicial de toda la familia es fácil.</w:t>
      </w:r>
    </w:p>
    <w:p>
      <w:pPr>
        <w:pStyle w:val="BodyText"/>
      </w:pPr>
      <w:r>
        <w:rPr>
          <w:b/>
          <w:bCs/>
        </w:rPr>
        <w:t xml:space="preserve">Límite del resultado.</w:t>
      </w:r>
      <w:r>
        <w:t xml:space="preserve"> </w:t>
      </w:r>
      <w:r>
        <w:t xml:space="preserve">La cota es cuadrática, no superpolinómica. No demuestra una cota de tiempo para 3-coloración general, ni una barrera de memoria adicional si el algoritmo conserva acceso libre al grafo original, ni la misma cota para una frontera pequeña. La construcción se asemeja a argumentos de familias distinguibles, equivalencia contextual y complejidad de comunicación; su prioridad bibliográfica requiere examen independiente. Es una proposición matemática acotada, no una solución de P frente a NP.</w:t>
      </w:r>
    </w:p>
    <w:bookmarkEnd w:id="20"/>
    <w:bookmarkEnd w:id="21"/>
    <w:sectPr>
      <w:headerReference r:id="rId9" w:type="default"/>
      <w:footerReference r:id="rId10" w:type="default"/>
      <w:pgMar w:bottom="1008" w:footer="533" w:header="518" w:left="1224" w:right="1224" w:top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26C73"/>
        <w:sz w:val="16"/>
      </w:rPr>
      <w:t xml:space="preserve">30 OCT 2026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77078"/>
        <w:sz w:val="14"/>
      </w:rPr>
      <w:t>PROGRAMA DE GEOMETRÍA RELACIONAL  /  SOLICITUD DE REVISIÓN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1" w:lineRule="auto"/>
    </w:pPr>
    <w:rPr>
      <w:rFonts w:ascii="Aptos" w:hAnsi="Aptos"/>
      <w:color w:val="292F36"/>
      <w:sz w:val="20"/>
    </w:rPr>
  </w:style>
  <w:style w:styleId="BodyText" w:type="paragraph">
    <w:name w:val="Body Text"/>
    <w:basedOn w:val="Normal"/>
    <w:link w:val="BodyTextChar"/>
    <w:qFormat/>
    <w:pPr>
      <w:spacing w:after="86" w:before="180" w:line="271" w:lineRule="auto"/>
    </w:pPr>
    <w:rPr>
      <w:rFonts w:ascii="Noto Serif" w:hAnsi="Noto Serif"/>
      <w:color w:val="292F36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86" w:line="271" w:lineRule="auto"/>
    </w:pPr>
    <w:rPr>
      <w:rFonts w:ascii="Noto Serif" w:hAnsi="Noto Serif"/>
      <w:color w:val="292F36"/>
      <w:sz w:val="1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ascii="Noto Sans" w:asciiTheme="majorHAnsi" w:cstheme="majorBidi" w:eastAsiaTheme="majorEastAsia" w:hAnsi="Noto Sans" w:hAnsiTheme="majorHAnsi"/>
      <w:b/>
      <w:bCs/>
      <w:color w:val="1D394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Noto Sans" w:asciiTheme="majorHAnsi" w:cstheme="majorBidi" w:eastAsiaTheme="majorEastAsia" w:hAnsi="Noto Sans" w:hAnsiTheme="majorHAnsi"/>
      <w:b/>
      <w:bCs/>
      <w:color w:val="1D394B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="Noto Sans" w:asciiTheme="majorHAnsi" w:cstheme="majorBidi" w:eastAsiaTheme="majorEastAsia" w:hAnsi="Noto Sans" w:hAnsiTheme="majorHAnsi"/>
      <w:b/>
      <w:bCs/>
      <w:color w:val="1D394B"/>
      <w:sz w:val="19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2026-10-30T18:52:59Z</dcterms:created>
  <dcterms:modified xsi:type="dcterms:W3CDTF">2026-10-30T18:52:59Z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