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line="360" w:lineRule="auto"/>
        <w:jc w:val="center"/>
        <w:rPr>
          <w:rFonts w:hint="eastAsia" w:ascii="宋体" w:hAnsi="宋体"/>
          <w:lang w:eastAsia="zh-CN"/>
        </w:rPr>
      </w:pPr>
      <w:bookmarkStart w:id="0" w:name="_Toc372100809"/>
      <w:bookmarkStart w:id="1" w:name="_Toc458606811"/>
      <w:bookmarkStart w:id="2" w:name="_Toc484074170"/>
      <w:r>
        <w:rPr>
          <w:rFonts w:hint="eastAsia" w:ascii="宋体" w:hAnsi="宋体"/>
        </w:rPr>
        <w:t xml:space="preserve"> </w:t>
      </w:r>
      <w:bookmarkEnd w:id="0"/>
      <w:bookmarkEnd w:id="1"/>
      <w:bookmarkEnd w:id="2"/>
      <w:r>
        <w:rPr>
          <w:rFonts w:hint="eastAsia" w:ascii="宋体" w:hAnsi="宋体"/>
          <w:lang w:eastAsia="zh-CN"/>
        </w:rPr>
        <w:t>六盘山盆地马东山组烃源岩地球化学特征</w:t>
      </w:r>
    </w:p>
    <w:p>
      <w:pPr>
        <w:jc w:val="center"/>
        <w:rPr>
          <w:rFonts w:hint="eastAsia"/>
          <w:lang w:val="en-US" w:eastAsia="zh-CN"/>
        </w:rPr>
      </w:pPr>
      <w:r>
        <w:rPr>
          <w:rFonts w:hint="eastAsia"/>
          <w:lang w:val="en-US" w:eastAsia="zh-CN"/>
        </w:rPr>
        <w:t>宁夏回族自治区地质调查院</w:t>
      </w:r>
    </w:p>
    <w:p>
      <w:pPr>
        <w:jc w:val="center"/>
        <w:rPr>
          <w:rFonts w:hint="default"/>
          <w:lang w:val="en-US" w:eastAsia="zh-CN"/>
        </w:rPr>
      </w:pPr>
      <w:r>
        <w:rPr>
          <w:rFonts w:hint="eastAsia"/>
          <w:lang w:val="en-US" w:eastAsia="zh-CN"/>
        </w:rPr>
        <w:t>张勇  马风华  潘进礼</w:t>
      </w:r>
    </w:p>
    <w:p>
      <w:pPr>
        <w:spacing w:line="360" w:lineRule="auto"/>
        <w:ind w:firstLine="480" w:firstLineChars="200"/>
        <w:rPr>
          <w:rFonts w:hint="eastAsia" w:ascii="宋体" w:hAnsi="宋体"/>
          <w:sz w:val="24"/>
        </w:rPr>
      </w:pPr>
      <w:r>
        <w:rPr>
          <w:rFonts w:ascii="宋体" w:hAnsi="宋体"/>
          <w:sz w:val="24"/>
        </w:rPr>
        <w:t>六盘山盆地主体位于宁夏南部的同心、海原、固原一带</w:t>
      </w:r>
      <w:r>
        <w:rPr>
          <w:rFonts w:hint="eastAsia" w:ascii="宋体" w:hAnsi="宋体"/>
          <w:sz w:val="24"/>
          <w:lang w:eastAsia="zh-CN"/>
        </w:rPr>
        <w:t>，</w:t>
      </w:r>
      <w:r>
        <w:rPr>
          <w:rFonts w:hint="eastAsia" w:ascii="宋体" w:hAnsi="宋体"/>
          <w:sz w:val="24"/>
        </w:rPr>
        <w:t>该盆地油气显示极其丰富，层位上主要集中分布在白垩系</w:t>
      </w:r>
      <w:r>
        <w:rPr>
          <w:rFonts w:hint="eastAsia" w:ascii="宋体" w:hAnsi="宋体"/>
          <w:sz w:val="24"/>
          <w:lang w:eastAsia="zh-CN"/>
        </w:rPr>
        <w:t>马东山组</w:t>
      </w:r>
      <w:r>
        <w:rPr>
          <w:rFonts w:hint="eastAsia" w:ascii="宋体" w:hAnsi="宋体"/>
          <w:sz w:val="24"/>
        </w:rPr>
        <w:t>，</w:t>
      </w:r>
      <w:r>
        <w:rPr>
          <w:rFonts w:hint="eastAsia"/>
          <w:sz w:val="24"/>
        </w:rPr>
        <w:t>马东山组泥页岩厚度巨大，多以深湖相灰黑色页岩为主，有效源岩厚度大于200m</w:t>
      </w:r>
      <w:r>
        <w:rPr>
          <w:rFonts w:hint="eastAsia"/>
          <w:sz w:val="24"/>
          <w:lang w:eastAsia="zh-CN"/>
        </w:rPr>
        <w:t>，</w:t>
      </w:r>
      <w:r>
        <w:rPr>
          <w:rFonts w:hint="eastAsia"/>
          <w:sz w:val="24"/>
          <w:lang w:val="zh-CN"/>
        </w:rPr>
        <w:t>马东山组页岩气潜力巨大，具备寻找页岩油气的条件，有进一步工作的价值</w:t>
      </w:r>
      <w:r>
        <w:rPr>
          <w:rFonts w:hint="eastAsia" w:ascii="宋体" w:hAnsi="宋体"/>
          <w:sz w:val="24"/>
        </w:rPr>
        <w:t>。</w:t>
      </w:r>
    </w:p>
    <w:p>
      <w:pPr>
        <w:spacing w:line="360" w:lineRule="auto"/>
        <w:ind w:firstLine="480" w:firstLineChars="200"/>
        <w:rPr>
          <w:rFonts w:hint="eastAsia" w:ascii="宋体" w:hAnsi="宋体" w:eastAsia="宋体"/>
          <w:sz w:val="24"/>
          <w:lang w:eastAsia="zh-CN"/>
        </w:rPr>
      </w:pPr>
      <w:r>
        <w:rPr>
          <w:rFonts w:hint="eastAsia" w:ascii="宋体" w:hAnsi="宋体"/>
          <w:sz w:val="24"/>
          <w:lang w:eastAsia="zh-CN"/>
        </w:rPr>
        <w:t>文中以六盘山盆地马东山组钻孔样品和露头样品为基础，对白垩系马东山组烃源岩地球化学特征进行分析研究。</w:t>
      </w:r>
    </w:p>
    <w:p>
      <w:pPr>
        <w:widowControl/>
        <w:spacing w:line="360" w:lineRule="auto"/>
        <w:ind w:firstLine="482" w:firstLineChars="200"/>
        <w:rPr>
          <w:rFonts w:hint="eastAsia" w:eastAsia="宋体"/>
          <w:b/>
          <w:sz w:val="24"/>
          <w:lang w:eastAsia="zh-CN"/>
        </w:rPr>
      </w:pPr>
      <w:r>
        <w:rPr>
          <w:rFonts w:hint="eastAsia"/>
          <w:b/>
          <w:sz w:val="24"/>
          <w:lang w:eastAsia="zh-CN"/>
        </w:rPr>
        <w:t>一</w:t>
      </w:r>
      <w:r>
        <w:rPr>
          <w:b/>
          <w:sz w:val="24"/>
        </w:rPr>
        <w:t>、</w:t>
      </w:r>
      <w:r>
        <w:rPr>
          <w:rFonts w:hint="eastAsia"/>
          <w:b/>
          <w:sz w:val="24"/>
          <w:lang w:eastAsia="zh-CN"/>
        </w:rPr>
        <w:t>有机质丰度</w:t>
      </w:r>
    </w:p>
    <w:p>
      <w:pPr>
        <w:spacing w:line="360" w:lineRule="auto"/>
        <w:ind w:firstLine="480" w:firstLineChars="200"/>
        <w:rPr>
          <w:rFonts w:hint="eastAsia"/>
          <w:sz w:val="24"/>
        </w:rPr>
      </w:pPr>
      <w:r>
        <w:rPr>
          <w:rFonts w:hint="eastAsia"/>
          <w:sz w:val="24"/>
        </w:rPr>
        <w:t>氯仿沥青“A”是岩石中用氯仿抽提的可溶有机质，是评价烃源岩丰度的常用指标之一，反映了烃源岩中残余可溶有机质的丰度。</w:t>
      </w:r>
    </w:p>
    <w:p>
      <w:pPr>
        <w:spacing w:line="360" w:lineRule="auto"/>
        <w:ind w:firstLine="482" w:firstLineChars="200"/>
        <w:rPr>
          <w:rFonts w:hint="eastAsia"/>
          <w:sz w:val="24"/>
        </w:rPr>
      </w:pPr>
      <w:r>
        <w:rPr>
          <w:rFonts w:hint="eastAsia"/>
          <w:b/>
          <w:sz w:val="24"/>
        </w:rPr>
        <w:t>露头样品：</w:t>
      </w:r>
      <w:r>
        <w:rPr>
          <w:rFonts w:hint="eastAsia"/>
          <w:sz w:val="24"/>
        </w:rPr>
        <w:t>马东山组泥页岩氯仿沥青整体相对较好，露头样品氯仿沥青含量介于0.0043~0.2864%，均值0.0919%，仅36%的样品氯仿沥青含量介于0.05-0.1%，为中等烃源岩，32%样品氯仿沥青含量大于0.1%，为好-最好烃源岩（表</w:t>
      </w:r>
      <w:r>
        <w:rPr>
          <w:rFonts w:hint="eastAsia"/>
          <w:sz w:val="24"/>
          <w:lang w:val="en-US" w:eastAsia="zh-CN"/>
        </w:rPr>
        <w:t>1</w:t>
      </w:r>
      <w:r>
        <w:rPr>
          <w:rFonts w:hint="eastAsia"/>
          <w:sz w:val="24"/>
          <w:lang w:eastAsia="zh-CN"/>
        </w:rPr>
        <w:t>）</w:t>
      </w:r>
      <w:r>
        <w:rPr>
          <w:rFonts w:hint="eastAsia"/>
          <w:sz w:val="24"/>
        </w:rPr>
        <w:t>；</w:t>
      </w:r>
    </w:p>
    <w:p>
      <w:pPr>
        <w:spacing w:line="360" w:lineRule="auto"/>
        <w:ind w:firstLine="482" w:firstLineChars="200"/>
        <w:rPr>
          <w:rFonts w:hint="eastAsia"/>
          <w:sz w:val="24"/>
        </w:rPr>
      </w:pPr>
      <w:r>
        <w:rPr>
          <w:rFonts w:hint="eastAsia"/>
          <w:b/>
          <w:sz w:val="24"/>
        </w:rPr>
        <w:t>钻孔样品：</w:t>
      </w:r>
      <w:r>
        <w:rPr>
          <w:rFonts w:hint="eastAsia"/>
          <w:sz w:val="24"/>
        </w:rPr>
        <w:t>钻孔20%的样品氯仿沥青介于0.05~0.1%，为中等烃源岩，近71%样品的氯仿沥青质大于0.1%，为好-最好烃源岩（表</w:t>
      </w:r>
      <w:r>
        <w:rPr>
          <w:rFonts w:hint="eastAsia"/>
          <w:sz w:val="24"/>
          <w:lang w:val="en-US" w:eastAsia="zh-CN"/>
        </w:rPr>
        <w:t>1</w:t>
      </w:r>
      <w:r>
        <w:rPr>
          <w:rFonts w:hint="eastAsia"/>
          <w:sz w:val="24"/>
        </w:rPr>
        <w:t>）。</w:t>
      </w:r>
    </w:p>
    <w:p>
      <w:pPr>
        <w:spacing w:line="480" w:lineRule="auto"/>
        <w:jc w:val="center"/>
        <w:rPr>
          <w:rFonts w:ascii="宋体" w:hAnsi="宋体"/>
          <w:b/>
          <w:szCs w:val="21"/>
        </w:rPr>
      </w:pPr>
      <w:r>
        <w:rPr>
          <w:rFonts w:hint="eastAsia" w:ascii="宋体" w:hAnsi="宋体"/>
          <w:b/>
          <w:szCs w:val="21"/>
        </w:rPr>
        <w:t>表</w:t>
      </w:r>
      <w:r>
        <w:rPr>
          <w:rFonts w:hint="eastAsia" w:ascii="宋体" w:hAnsi="宋体"/>
          <w:b/>
          <w:szCs w:val="21"/>
          <w:lang w:val="en-US" w:eastAsia="zh-CN"/>
        </w:rPr>
        <w:t>1</w:t>
      </w:r>
      <w:r>
        <w:rPr>
          <w:rFonts w:hint="eastAsia" w:ascii="宋体" w:hAnsi="宋体"/>
          <w:b/>
          <w:szCs w:val="21"/>
        </w:rPr>
        <w:t xml:space="preserve"> 马东山组泥页岩氯仿沥青及族组成统计表</w:t>
      </w:r>
    </w:p>
    <w:tbl>
      <w:tblPr>
        <w:tblStyle w:val="5"/>
        <w:tblW w:w="831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67"/>
        <w:gridCol w:w="1648"/>
        <w:gridCol w:w="1370"/>
        <w:gridCol w:w="1422"/>
        <w:gridCol w:w="1500"/>
        <w:gridCol w:w="14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967" w:type="dxa"/>
            <w:shd w:val="clear" w:color="auto" w:fill="auto"/>
            <w:vAlign w:val="center"/>
          </w:tcPr>
          <w:p>
            <w:pPr>
              <w:spacing w:line="360" w:lineRule="auto"/>
              <w:jc w:val="center"/>
              <w:rPr>
                <w:szCs w:val="21"/>
              </w:rPr>
            </w:pPr>
            <w:r>
              <w:rPr>
                <w:rFonts w:hint="eastAsia"/>
                <w:szCs w:val="21"/>
              </w:rPr>
              <w:t>组分</w:t>
            </w:r>
          </w:p>
        </w:tc>
        <w:tc>
          <w:tcPr>
            <w:tcW w:w="1648" w:type="dxa"/>
            <w:shd w:val="clear" w:color="auto" w:fill="auto"/>
            <w:vAlign w:val="center"/>
          </w:tcPr>
          <w:p>
            <w:pPr>
              <w:spacing w:line="360" w:lineRule="auto"/>
              <w:jc w:val="center"/>
              <w:rPr>
                <w:szCs w:val="21"/>
              </w:rPr>
            </w:pPr>
            <w:r>
              <w:rPr>
                <w:rFonts w:hint="eastAsia"/>
                <w:szCs w:val="21"/>
              </w:rPr>
              <w:t>氯仿沥青/%</w:t>
            </w:r>
          </w:p>
        </w:tc>
        <w:tc>
          <w:tcPr>
            <w:tcW w:w="1370" w:type="dxa"/>
            <w:shd w:val="clear" w:color="auto" w:fill="auto"/>
            <w:vAlign w:val="center"/>
          </w:tcPr>
          <w:p>
            <w:pPr>
              <w:spacing w:line="360" w:lineRule="auto"/>
              <w:jc w:val="center"/>
              <w:rPr>
                <w:szCs w:val="21"/>
              </w:rPr>
            </w:pPr>
            <w:r>
              <w:rPr>
                <w:rFonts w:hint="eastAsia"/>
                <w:szCs w:val="21"/>
              </w:rPr>
              <w:t>沥青质/%</w:t>
            </w:r>
          </w:p>
        </w:tc>
        <w:tc>
          <w:tcPr>
            <w:tcW w:w="1422" w:type="dxa"/>
            <w:shd w:val="clear" w:color="auto" w:fill="auto"/>
            <w:vAlign w:val="center"/>
          </w:tcPr>
          <w:p>
            <w:pPr>
              <w:spacing w:line="360" w:lineRule="auto"/>
              <w:jc w:val="center"/>
              <w:rPr>
                <w:szCs w:val="21"/>
              </w:rPr>
            </w:pPr>
            <w:r>
              <w:rPr>
                <w:rFonts w:hint="eastAsia"/>
                <w:szCs w:val="21"/>
              </w:rPr>
              <w:t>饱和烃/%</w:t>
            </w:r>
          </w:p>
        </w:tc>
        <w:tc>
          <w:tcPr>
            <w:tcW w:w="1500" w:type="dxa"/>
            <w:shd w:val="clear" w:color="auto" w:fill="auto"/>
            <w:vAlign w:val="center"/>
          </w:tcPr>
          <w:p>
            <w:pPr>
              <w:spacing w:line="360" w:lineRule="auto"/>
              <w:jc w:val="center"/>
              <w:rPr>
                <w:szCs w:val="21"/>
              </w:rPr>
            </w:pPr>
            <w:r>
              <w:rPr>
                <w:rFonts w:hint="eastAsia"/>
                <w:szCs w:val="21"/>
              </w:rPr>
              <w:t>芳烃/%</w:t>
            </w:r>
          </w:p>
        </w:tc>
        <w:tc>
          <w:tcPr>
            <w:tcW w:w="1409" w:type="dxa"/>
            <w:shd w:val="clear" w:color="auto" w:fill="auto"/>
            <w:vAlign w:val="center"/>
          </w:tcPr>
          <w:p>
            <w:pPr>
              <w:spacing w:line="360" w:lineRule="auto"/>
              <w:jc w:val="center"/>
              <w:rPr>
                <w:szCs w:val="21"/>
              </w:rPr>
            </w:pPr>
            <w:r>
              <w:rPr>
                <w:rFonts w:hint="eastAsia"/>
                <w:szCs w:val="21"/>
              </w:rPr>
              <w:t>非烃/%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967" w:type="dxa"/>
            <w:shd w:val="clear" w:color="auto" w:fill="auto"/>
            <w:vAlign w:val="center"/>
          </w:tcPr>
          <w:p>
            <w:pPr>
              <w:spacing w:line="360" w:lineRule="auto"/>
              <w:jc w:val="center"/>
              <w:rPr>
                <w:szCs w:val="21"/>
              </w:rPr>
            </w:pPr>
            <w:r>
              <w:rPr>
                <w:rFonts w:hint="eastAsia"/>
                <w:szCs w:val="21"/>
              </w:rPr>
              <w:t>露头样品</w:t>
            </w:r>
          </w:p>
        </w:tc>
        <w:tc>
          <w:tcPr>
            <w:tcW w:w="1648" w:type="dxa"/>
            <w:shd w:val="clear" w:color="auto" w:fill="auto"/>
            <w:vAlign w:val="center"/>
          </w:tcPr>
          <w:p>
            <w:pPr>
              <w:spacing w:line="360" w:lineRule="auto"/>
              <w:jc w:val="center"/>
              <w:rPr>
                <w:szCs w:val="21"/>
              </w:rPr>
            </w:pPr>
            <m:oMathPara>
              <m:oMath>
                <m:f>
                  <m:fPr>
                    <m:ctrlPr>
                      <w:rPr>
                        <w:rFonts w:ascii="Cambria Math" w:hAnsi="Cambria Math"/>
                        <w:szCs w:val="21"/>
                      </w:rPr>
                    </m:ctrlPr>
                  </m:fPr>
                  <m:num>
                    <m:r>
                      <w:rPr>
                        <w:rFonts w:ascii="Cambria Math" w:hAnsi="Cambria Math"/>
                        <w:szCs w:val="21"/>
                      </w:rPr>
                      <m:t>0.0043~</m:t>
                    </m:r>
                    <m:r>
                      <m:rPr>
                        <m:sty m:val="p"/>
                      </m:rPr>
                      <w:rPr>
                        <w:rFonts w:ascii="Cambria Math" w:hAnsi="Cambria Math"/>
                        <w:szCs w:val="21"/>
                      </w:rPr>
                      <m:t>0.2864</m:t>
                    </m:r>
                    <m:ctrlPr>
                      <w:rPr>
                        <w:rFonts w:ascii="Cambria Math" w:hAnsi="Cambria Math"/>
                        <w:szCs w:val="21"/>
                      </w:rPr>
                    </m:ctrlPr>
                  </m:num>
                  <m:den>
                    <m:r>
                      <w:rPr>
                        <w:rFonts w:ascii="Cambria Math" w:hAnsi="Cambria Math"/>
                        <w:szCs w:val="21"/>
                      </w:rPr>
                      <m:t>0.0919</m:t>
                    </m:r>
                    <m:r>
                      <m:rPr>
                        <m:sty m:val="p"/>
                      </m:rPr>
                      <w:rPr>
                        <w:rFonts w:ascii="Cambria Math" w:hAnsi="Cambria Math"/>
                        <w:szCs w:val="21"/>
                      </w:rPr>
                      <m:t>（25）</m:t>
                    </m:r>
                    <m:ctrlPr>
                      <w:rPr>
                        <w:rFonts w:ascii="Cambria Math" w:hAnsi="Cambria Math"/>
                        <w:szCs w:val="21"/>
                      </w:rPr>
                    </m:ctrlPr>
                  </m:den>
                </m:f>
              </m:oMath>
            </m:oMathPara>
          </w:p>
        </w:tc>
        <w:tc>
          <w:tcPr>
            <w:tcW w:w="1370" w:type="dxa"/>
            <w:shd w:val="clear" w:color="auto" w:fill="auto"/>
            <w:vAlign w:val="center"/>
          </w:tcPr>
          <w:p>
            <w:pPr>
              <w:spacing w:line="360" w:lineRule="auto"/>
              <w:jc w:val="center"/>
              <w:rPr>
                <w:szCs w:val="21"/>
              </w:rPr>
            </w:pPr>
            <m:oMathPara>
              <m:oMath>
                <m:f>
                  <m:fPr>
                    <m:ctrlPr>
                      <w:rPr>
                        <w:rFonts w:ascii="Cambria Math" w:hAnsi="Cambria Math"/>
                        <w:szCs w:val="21"/>
                      </w:rPr>
                    </m:ctrlPr>
                  </m:fPr>
                  <m:num>
                    <m:r>
                      <w:rPr>
                        <w:rFonts w:ascii="Cambria Math" w:hAnsi="Cambria Math"/>
                        <w:szCs w:val="21"/>
                      </w:rPr>
                      <m:t>33.75~</m:t>
                    </m:r>
                    <m:r>
                      <m:rPr>
                        <m:sty m:val="p"/>
                      </m:rPr>
                      <w:rPr>
                        <w:rFonts w:ascii="Cambria Math" w:hAnsi="Cambria Math"/>
                        <w:szCs w:val="21"/>
                      </w:rPr>
                      <m:t>68.77</m:t>
                    </m:r>
                    <m:ctrlPr>
                      <w:rPr>
                        <w:rFonts w:ascii="Cambria Math" w:hAnsi="Cambria Math"/>
                        <w:szCs w:val="21"/>
                      </w:rPr>
                    </m:ctrlPr>
                  </m:num>
                  <m:den>
                    <m:r>
                      <w:rPr>
                        <w:rFonts w:ascii="Cambria Math" w:hAnsi="Cambria Math"/>
                        <w:szCs w:val="21"/>
                      </w:rPr>
                      <m:t>53</m:t>
                    </m:r>
                    <m:r>
                      <m:rPr>
                        <m:sty m:val="p"/>
                      </m:rPr>
                      <w:rPr>
                        <w:rFonts w:ascii="Cambria Math" w:hAnsi="Cambria Math"/>
                        <w:szCs w:val="21"/>
                      </w:rPr>
                      <m:t>（25）</m:t>
                    </m:r>
                    <m:ctrlPr>
                      <w:rPr>
                        <w:rFonts w:ascii="Cambria Math" w:hAnsi="Cambria Math"/>
                        <w:szCs w:val="21"/>
                      </w:rPr>
                    </m:ctrlPr>
                  </m:den>
                </m:f>
              </m:oMath>
            </m:oMathPara>
          </w:p>
        </w:tc>
        <w:tc>
          <w:tcPr>
            <w:tcW w:w="1422" w:type="dxa"/>
            <w:shd w:val="clear" w:color="auto" w:fill="auto"/>
            <w:vAlign w:val="center"/>
          </w:tcPr>
          <w:p>
            <w:pPr>
              <w:spacing w:line="360" w:lineRule="auto"/>
              <w:jc w:val="center"/>
              <w:rPr>
                <w:szCs w:val="21"/>
              </w:rPr>
            </w:pPr>
            <m:oMathPara>
              <m:oMath>
                <m:f>
                  <m:fPr>
                    <m:ctrlPr>
                      <w:rPr>
                        <w:rFonts w:ascii="Cambria Math" w:hAnsi="Cambria Math"/>
                        <w:szCs w:val="21"/>
                      </w:rPr>
                    </m:ctrlPr>
                  </m:fPr>
                  <m:num>
                    <m:r>
                      <w:rPr>
                        <w:rFonts w:ascii="Cambria Math" w:hAnsi="Cambria Math"/>
                        <w:szCs w:val="21"/>
                      </w:rPr>
                      <m:t>11.56~</m:t>
                    </m:r>
                    <m:r>
                      <m:rPr>
                        <m:sty m:val="p"/>
                      </m:rPr>
                      <w:rPr>
                        <w:rFonts w:ascii="Cambria Math" w:hAnsi="Cambria Math"/>
                        <w:szCs w:val="21"/>
                      </w:rPr>
                      <m:t>22.87</m:t>
                    </m:r>
                    <m:ctrlPr>
                      <w:rPr>
                        <w:rFonts w:ascii="Cambria Math" w:hAnsi="Cambria Math"/>
                        <w:szCs w:val="21"/>
                      </w:rPr>
                    </m:ctrlPr>
                  </m:num>
                  <m:den>
                    <m:r>
                      <w:rPr>
                        <w:rFonts w:ascii="Cambria Math" w:hAnsi="Cambria Math"/>
                        <w:szCs w:val="21"/>
                      </w:rPr>
                      <m:t>15.13</m:t>
                    </m:r>
                    <m:r>
                      <m:rPr>
                        <m:sty m:val="p"/>
                      </m:rPr>
                      <w:rPr>
                        <w:rFonts w:ascii="Cambria Math" w:hAnsi="Cambria Math"/>
                        <w:szCs w:val="21"/>
                      </w:rPr>
                      <m:t>（25）</m:t>
                    </m:r>
                    <m:ctrlPr>
                      <w:rPr>
                        <w:rFonts w:ascii="Cambria Math" w:hAnsi="Cambria Math"/>
                        <w:szCs w:val="21"/>
                      </w:rPr>
                    </m:ctrlPr>
                  </m:den>
                </m:f>
              </m:oMath>
            </m:oMathPara>
          </w:p>
        </w:tc>
        <w:tc>
          <w:tcPr>
            <w:tcW w:w="1500" w:type="dxa"/>
            <w:shd w:val="clear" w:color="auto" w:fill="auto"/>
            <w:vAlign w:val="center"/>
          </w:tcPr>
          <w:p>
            <w:pPr>
              <w:spacing w:line="360" w:lineRule="auto"/>
              <w:jc w:val="center"/>
              <w:rPr>
                <w:szCs w:val="21"/>
              </w:rPr>
            </w:pPr>
            <m:oMathPara>
              <m:oMath>
                <m:f>
                  <m:fPr>
                    <m:ctrlPr>
                      <w:rPr>
                        <w:rFonts w:ascii="Cambria Math" w:hAnsi="Cambria Math"/>
                        <w:szCs w:val="21"/>
                      </w:rPr>
                    </m:ctrlPr>
                  </m:fPr>
                  <m:num>
                    <m:r>
                      <w:rPr>
                        <w:rFonts w:ascii="Cambria Math" w:hAnsi="Cambria Math"/>
                        <w:szCs w:val="21"/>
                      </w:rPr>
                      <m:t>16.64~</m:t>
                    </m:r>
                    <m:r>
                      <m:rPr>
                        <m:sty m:val="p"/>
                      </m:rPr>
                      <w:rPr>
                        <w:rFonts w:ascii="Cambria Math" w:hAnsi="Cambria Math"/>
                        <w:szCs w:val="21"/>
                      </w:rPr>
                      <m:t>39.4</m:t>
                    </m:r>
                    <m:ctrlPr>
                      <w:rPr>
                        <w:rFonts w:ascii="Cambria Math" w:hAnsi="Cambria Math"/>
                        <w:szCs w:val="21"/>
                      </w:rPr>
                    </m:ctrlPr>
                  </m:num>
                  <m:den>
                    <m:r>
                      <w:rPr>
                        <w:rFonts w:ascii="Cambria Math" w:hAnsi="Cambria Math"/>
                        <w:szCs w:val="21"/>
                      </w:rPr>
                      <m:t>27.93</m:t>
                    </m:r>
                    <m:r>
                      <m:rPr>
                        <m:sty m:val="p"/>
                      </m:rPr>
                      <w:rPr>
                        <w:rFonts w:ascii="Cambria Math" w:hAnsi="Cambria Math"/>
                        <w:szCs w:val="21"/>
                      </w:rPr>
                      <m:t>（109）</m:t>
                    </m:r>
                    <m:ctrlPr>
                      <w:rPr>
                        <w:rFonts w:ascii="Cambria Math" w:hAnsi="Cambria Math"/>
                        <w:szCs w:val="21"/>
                      </w:rPr>
                    </m:ctrlPr>
                  </m:den>
                </m:f>
              </m:oMath>
            </m:oMathPara>
          </w:p>
        </w:tc>
        <w:tc>
          <w:tcPr>
            <w:tcW w:w="1409" w:type="dxa"/>
            <w:shd w:val="clear" w:color="auto" w:fill="auto"/>
            <w:vAlign w:val="center"/>
          </w:tcPr>
          <w:p>
            <w:pPr>
              <w:spacing w:line="360" w:lineRule="auto"/>
              <w:jc w:val="center"/>
              <w:rPr>
                <w:szCs w:val="21"/>
              </w:rPr>
            </w:pPr>
            <m:oMathPara>
              <m:oMath>
                <m:f>
                  <m:fPr>
                    <m:ctrlPr>
                      <w:rPr>
                        <w:rFonts w:ascii="Cambria Math" w:hAnsi="Cambria Math"/>
                        <w:szCs w:val="21"/>
                      </w:rPr>
                    </m:ctrlPr>
                  </m:fPr>
                  <m:num>
                    <m:r>
                      <w:rPr>
                        <w:rFonts w:ascii="Cambria Math" w:hAnsi="Cambria Math"/>
                        <w:szCs w:val="21"/>
                      </w:rPr>
                      <m:t>1.89~</m:t>
                    </m:r>
                    <m:r>
                      <m:rPr>
                        <m:sty m:val="p"/>
                      </m:rPr>
                      <w:rPr>
                        <w:rFonts w:ascii="Cambria Math" w:hAnsi="Cambria Math"/>
                        <w:szCs w:val="21"/>
                      </w:rPr>
                      <m:t>7.84</m:t>
                    </m:r>
                    <m:ctrlPr>
                      <w:rPr>
                        <w:rFonts w:ascii="Cambria Math" w:hAnsi="Cambria Math"/>
                        <w:szCs w:val="21"/>
                      </w:rPr>
                    </m:ctrlPr>
                  </m:num>
                  <m:den>
                    <m:r>
                      <w:rPr>
                        <w:rFonts w:ascii="Cambria Math" w:hAnsi="Cambria Math"/>
                        <w:szCs w:val="21"/>
                      </w:rPr>
                      <m:t>4.29</m:t>
                    </m:r>
                    <m:r>
                      <m:rPr>
                        <m:sty m:val="p"/>
                      </m:rPr>
                      <w:rPr>
                        <w:rFonts w:ascii="Cambria Math" w:hAnsi="Cambria Math"/>
                        <w:szCs w:val="21"/>
                      </w:rPr>
                      <m:t>（109）</m:t>
                    </m:r>
                    <m:ctrlPr>
                      <w:rPr>
                        <w:rFonts w:ascii="Cambria Math" w:hAnsi="Cambria Math"/>
                        <w:szCs w:val="21"/>
                      </w:rPr>
                    </m:ctrlPr>
                  </m:den>
                </m:f>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c>
          <w:tcPr>
            <w:tcW w:w="967" w:type="dxa"/>
            <w:shd w:val="clear" w:color="auto" w:fill="auto"/>
            <w:vAlign w:val="center"/>
          </w:tcPr>
          <w:p>
            <w:pPr>
              <w:spacing w:line="360" w:lineRule="auto"/>
              <w:jc w:val="center"/>
              <w:rPr>
                <w:szCs w:val="21"/>
              </w:rPr>
            </w:pPr>
            <w:r>
              <w:rPr>
                <w:rFonts w:hint="eastAsia"/>
                <w:szCs w:val="21"/>
              </w:rPr>
              <w:t>钻孔样品</w:t>
            </w:r>
          </w:p>
        </w:tc>
        <w:tc>
          <w:tcPr>
            <w:tcW w:w="1648" w:type="dxa"/>
            <w:shd w:val="clear" w:color="auto" w:fill="auto"/>
            <w:vAlign w:val="center"/>
          </w:tcPr>
          <w:p>
            <w:pPr>
              <w:spacing w:line="360" w:lineRule="auto"/>
              <w:jc w:val="center"/>
              <w:rPr>
                <w:szCs w:val="21"/>
              </w:rPr>
            </w:pPr>
            <m:oMathPara>
              <m:oMath>
                <m:f>
                  <m:fPr>
                    <m:ctrlPr>
                      <w:rPr>
                        <w:rFonts w:ascii="Cambria Math" w:hAnsi="Cambria Math"/>
                        <w:szCs w:val="21"/>
                      </w:rPr>
                    </m:ctrlPr>
                  </m:fPr>
                  <m:num>
                    <m:r>
                      <w:rPr>
                        <w:rFonts w:ascii="Cambria Math" w:hAnsi="Cambria Math"/>
                        <w:szCs w:val="21"/>
                      </w:rPr>
                      <m:t>0.0043~</m:t>
                    </m:r>
                    <m:r>
                      <m:rPr>
                        <m:sty m:val="p"/>
                      </m:rPr>
                      <w:rPr>
                        <w:rFonts w:ascii="Cambria Math" w:hAnsi="Cambria Math"/>
                        <w:szCs w:val="21"/>
                      </w:rPr>
                      <m:t>0.3513</m:t>
                    </m:r>
                    <m:ctrlPr>
                      <w:rPr>
                        <w:rFonts w:ascii="Cambria Math" w:hAnsi="Cambria Math"/>
                        <w:szCs w:val="21"/>
                      </w:rPr>
                    </m:ctrlPr>
                  </m:num>
                  <m:den>
                    <m:r>
                      <w:rPr>
                        <w:rFonts w:ascii="Cambria Math" w:hAnsi="Cambria Math"/>
                        <w:szCs w:val="21"/>
                      </w:rPr>
                      <m:t>0.1714</m:t>
                    </m:r>
                    <m:r>
                      <m:rPr>
                        <m:sty m:val="p"/>
                      </m:rPr>
                      <w:rPr>
                        <w:rFonts w:ascii="Cambria Math" w:hAnsi="Cambria Math"/>
                        <w:szCs w:val="21"/>
                      </w:rPr>
                      <m:t>（35）</m:t>
                    </m:r>
                    <m:ctrlPr>
                      <w:rPr>
                        <w:rFonts w:ascii="Cambria Math" w:hAnsi="Cambria Math"/>
                        <w:szCs w:val="21"/>
                      </w:rPr>
                    </m:ctrlPr>
                  </m:den>
                </m:f>
              </m:oMath>
            </m:oMathPara>
          </w:p>
        </w:tc>
        <w:tc>
          <w:tcPr>
            <w:tcW w:w="1370" w:type="dxa"/>
            <w:shd w:val="clear" w:color="auto" w:fill="auto"/>
            <w:vAlign w:val="center"/>
          </w:tcPr>
          <w:p>
            <w:pPr>
              <w:spacing w:line="360" w:lineRule="auto"/>
              <w:jc w:val="center"/>
              <w:rPr>
                <w:szCs w:val="21"/>
              </w:rPr>
            </w:pPr>
            <m:oMathPara>
              <m:oMath>
                <m:f>
                  <m:fPr>
                    <m:ctrlPr>
                      <w:rPr>
                        <w:rFonts w:ascii="Cambria Math" w:hAnsi="Cambria Math"/>
                        <w:szCs w:val="21"/>
                      </w:rPr>
                    </m:ctrlPr>
                  </m:fPr>
                  <m:num>
                    <m:r>
                      <w:rPr>
                        <w:rFonts w:ascii="Cambria Math" w:hAnsi="Cambria Math"/>
                        <w:szCs w:val="21"/>
                      </w:rPr>
                      <m:t>41.26~</m:t>
                    </m:r>
                    <m:r>
                      <m:rPr>
                        <m:sty m:val="p"/>
                      </m:rPr>
                      <w:rPr>
                        <w:rFonts w:ascii="Cambria Math" w:hAnsi="Cambria Math"/>
                        <w:szCs w:val="21"/>
                      </w:rPr>
                      <m:t>65.77</m:t>
                    </m:r>
                    <m:ctrlPr>
                      <w:rPr>
                        <w:rFonts w:ascii="Cambria Math" w:hAnsi="Cambria Math"/>
                        <w:szCs w:val="21"/>
                      </w:rPr>
                    </m:ctrlPr>
                  </m:num>
                  <m:den>
                    <m:r>
                      <w:rPr>
                        <w:rFonts w:ascii="Cambria Math" w:hAnsi="Cambria Math"/>
                        <w:szCs w:val="21"/>
                      </w:rPr>
                      <m:t>54.51</m:t>
                    </m:r>
                    <m:r>
                      <m:rPr>
                        <m:sty m:val="p"/>
                      </m:rPr>
                      <w:rPr>
                        <w:rFonts w:ascii="Cambria Math" w:hAnsi="Cambria Math"/>
                        <w:szCs w:val="21"/>
                      </w:rPr>
                      <m:t>（35）</m:t>
                    </m:r>
                    <m:ctrlPr>
                      <w:rPr>
                        <w:rFonts w:ascii="Cambria Math" w:hAnsi="Cambria Math"/>
                        <w:szCs w:val="21"/>
                      </w:rPr>
                    </m:ctrlPr>
                  </m:den>
                </m:f>
              </m:oMath>
            </m:oMathPara>
          </w:p>
        </w:tc>
        <w:tc>
          <w:tcPr>
            <w:tcW w:w="1422" w:type="dxa"/>
            <w:shd w:val="clear" w:color="auto" w:fill="auto"/>
            <w:vAlign w:val="center"/>
          </w:tcPr>
          <w:p>
            <w:pPr>
              <w:spacing w:line="360" w:lineRule="auto"/>
              <w:jc w:val="center"/>
              <w:rPr>
                <w:szCs w:val="21"/>
              </w:rPr>
            </w:pPr>
            <m:oMathPara>
              <m:oMath>
                <m:f>
                  <m:fPr>
                    <m:ctrlPr>
                      <w:rPr>
                        <w:rFonts w:ascii="Cambria Math" w:hAnsi="Cambria Math"/>
                        <w:szCs w:val="21"/>
                      </w:rPr>
                    </m:ctrlPr>
                  </m:fPr>
                  <m:num>
                    <m:r>
                      <w:rPr>
                        <w:rFonts w:ascii="Cambria Math" w:hAnsi="Cambria Math"/>
                        <w:szCs w:val="21"/>
                      </w:rPr>
                      <m:t>11.21~</m:t>
                    </m:r>
                    <m:r>
                      <m:rPr>
                        <m:sty m:val="p"/>
                      </m:rPr>
                      <w:rPr>
                        <w:rFonts w:ascii="Cambria Math" w:hAnsi="Cambria Math"/>
                        <w:szCs w:val="21"/>
                      </w:rPr>
                      <m:t>23.87</m:t>
                    </m:r>
                    <m:ctrlPr>
                      <w:rPr>
                        <w:rFonts w:ascii="Cambria Math" w:hAnsi="Cambria Math"/>
                        <w:szCs w:val="21"/>
                      </w:rPr>
                    </m:ctrlPr>
                  </m:num>
                  <m:den>
                    <m:r>
                      <w:rPr>
                        <w:rFonts w:ascii="Cambria Math" w:hAnsi="Cambria Math"/>
                        <w:szCs w:val="21"/>
                      </w:rPr>
                      <m:t>14.96</m:t>
                    </m:r>
                    <m:r>
                      <m:rPr>
                        <m:sty m:val="p"/>
                      </m:rPr>
                      <w:rPr>
                        <w:rFonts w:ascii="Cambria Math" w:hAnsi="Cambria Math"/>
                        <w:szCs w:val="21"/>
                      </w:rPr>
                      <m:t>（35）</m:t>
                    </m:r>
                    <m:ctrlPr>
                      <w:rPr>
                        <w:rFonts w:ascii="Cambria Math" w:hAnsi="Cambria Math"/>
                        <w:szCs w:val="21"/>
                      </w:rPr>
                    </m:ctrlPr>
                  </m:den>
                </m:f>
              </m:oMath>
            </m:oMathPara>
          </w:p>
        </w:tc>
        <w:tc>
          <w:tcPr>
            <w:tcW w:w="1500" w:type="dxa"/>
            <w:shd w:val="clear" w:color="auto" w:fill="auto"/>
            <w:vAlign w:val="center"/>
          </w:tcPr>
          <w:p>
            <w:pPr>
              <w:spacing w:line="360" w:lineRule="auto"/>
              <w:jc w:val="center"/>
              <w:rPr>
                <w:szCs w:val="21"/>
              </w:rPr>
            </w:pPr>
            <m:oMathPara>
              <m:oMath>
                <m:f>
                  <m:fPr>
                    <m:ctrlPr>
                      <w:rPr>
                        <w:rFonts w:ascii="Cambria Math" w:hAnsi="Cambria Math"/>
                        <w:szCs w:val="21"/>
                      </w:rPr>
                    </m:ctrlPr>
                  </m:fPr>
                  <m:num>
                    <m:r>
                      <w:rPr>
                        <w:rFonts w:ascii="Cambria Math" w:hAnsi="Cambria Math"/>
                        <w:szCs w:val="21"/>
                      </w:rPr>
                      <m:t>17.09~</m:t>
                    </m:r>
                    <m:r>
                      <m:rPr>
                        <m:sty m:val="p"/>
                      </m:rPr>
                      <w:rPr>
                        <w:rFonts w:ascii="Cambria Math" w:hAnsi="Cambria Math"/>
                        <w:szCs w:val="21"/>
                      </w:rPr>
                      <m:t>37.44</m:t>
                    </m:r>
                    <m:ctrlPr>
                      <w:rPr>
                        <w:rFonts w:ascii="Cambria Math" w:hAnsi="Cambria Math"/>
                        <w:szCs w:val="21"/>
                      </w:rPr>
                    </m:ctrlPr>
                  </m:num>
                  <m:den>
                    <m:r>
                      <w:rPr>
                        <w:rFonts w:ascii="Cambria Math" w:hAnsi="Cambria Math"/>
                        <w:szCs w:val="21"/>
                      </w:rPr>
                      <m:t>26.54</m:t>
                    </m:r>
                    <m:d>
                      <m:dPr>
                        <m:begChr m:val="（"/>
                        <m:endChr m:val="）"/>
                        <m:ctrlPr>
                          <w:rPr>
                            <w:rFonts w:ascii="Cambria Math" w:hAnsi="Cambria Math"/>
                            <w:szCs w:val="21"/>
                          </w:rPr>
                        </m:ctrlPr>
                      </m:dPr>
                      <m:e>
                        <m:r>
                          <m:rPr>
                            <m:sty m:val="p"/>
                          </m:rPr>
                          <w:rPr>
                            <w:rFonts w:ascii="Cambria Math" w:hAnsi="Cambria Math"/>
                            <w:szCs w:val="21"/>
                          </w:rPr>
                          <m:t>35</m:t>
                        </m:r>
                        <m:ctrlPr>
                          <w:rPr>
                            <w:rFonts w:ascii="Cambria Math" w:hAnsi="Cambria Math"/>
                            <w:szCs w:val="21"/>
                          </w:rPr>
                        </m:ctrlPr>
                      </m:e>
                    </m:d>
                    <m:ctrlPr>
                      <w:rPr>
                        <w:rFonts w:ascii="Cambria Math" w:hAnsi="Cambria Math"/>
                        <w:szCs w:val="21"/>
                      </w:rPr>
                    </m:ctrlPr>
                  </m:den>
                </m:f>
              </m:oMath>
            </m:oMathPara>
          </w:p>
        </w:tc>
        <w:tc>
          <w:tcPr>
            <w:tcW w:w="1409" w:type="dxa"/>
            <w:shd w:val="clear" w:color="auto" w:fill="auto"/>
            <w:vAlign w:val="center"/>
          </w:tcPr>
          <w:p>
            <w:pPr>
              <w:spacing w:line="360" w:lineRule="auto"/>
              <w:jc w:val="center"/>
              <w:rPr>
                <w:szCs w:val="21"/>
              </w:rPr>
            </w:pPr>
            <m:oMathPara>
              <m:oMath>
                <m:f>
                  <m:fPr>
                    <m:ctrlPr>
                      <w:rPr>
                        <w:rFonts w:ascii="Cambria Math" w:hAnsi="Cambria Math"/>
                        <w:szCs w:val="21"/>
                      </w:rPr>
                    </m:ctrlPr>
                  </m:fPr>
                  <m:num>
                    <m:r>
                      <w:rPr>
                        <w:rFonts w:ascii="Cambria Math" w:hAnsi="Cambria Math"/>
                        <w:szCs w:val="21"/>
                      </w:rPr>
                      <m:t>1.56~</m:t>
                    </m:r>
                    <m:r>
                      <m:rPr>
                        <m:sty m:val="p"/>
                      </m:rPr>
                      <w:rPr>
                        <w:rFonts w:ascii="Cambria Math" w:hAnsi="Cambria Math"/>
                        <w:szCs w:val="21"/>
                      </w:rPr>
                      <m:t>6.95</m:t>
                    </m:r>
                    <m:ctrlPr>
                      <w:rPr>
                        <w:rFonts w:ascii="Cambria Math" w:hAnsi="Cambria Math"/>
                        <w:szCs w:val="21"/>
                      </w:rPr>
                    </m:ctrlPr>
                  </m:num>
                  <m:den>
                    <m:r>
                      <w:rPr>
                        <w:rFonts w:ascii="Cambria Math" w:hAnsi="Cambria Math"/>
                        <w:szCs w:val="21"/>
                      </w:rPr>
                      <m:t>4.31</m:t>
                    </m:r>
                    <m:r>
                      <m:rPr>
                        <m:sty m:val="p"/>
                      </m:rPr>
                      <w:rPr>
                        <w:rFonts w:ascii="Cambria Math" w:hAnsi="Cambria Math"/>
                        <w:szCs w:val="21"/>
                      </w:rPr>
                      <m:t>（35）</m:t>
                    </m:r>
                    <m:ctrlPr>
                      <w:rPr>
                        <w:rFonts w:ascii="Cambria Math" w:hAnsi="Cambria Math"/>
                        <w:szCs w:val="21"/>
                      </w:rPr>
                    </m:ctrlPr>
                  </m:den>
                </m:f>
              </m:oMath>
            </m:oMathPara>
          </w:p>
        </w:tc>
      </w:tr>
    </w:tbl>
    <w:p>
      <w:pPr>
        <w:spacing w:line="360" w:lineRule="auto"/>
        <w:ind w:firstLine="480" w:firstLineChars="200"/>
        <w:rPr>
          <w:rFonts w:hint="eastAsia"/>
          <w:sz w:val="24"/>
        </w:rPr>
      </w:pPr>
      <w:r>
        <w:rPr>
          <w:rFonts w:hint="eastAsia"/>
          <w:sz w:val="24"/>
        </w:rPr>
        <w:t>综合露头和钻孔岩心样品测试结果看，马东山组总体上属于好的烃源岩。马东山组泥页岩组组成以沥青质为主，占组分的50%以上，芳烃次之，约26%，饱和烃约占15%，非烃不足5%，说明马东山组泥页岩具有丰富的油气生产过程。</w:t>
      </w:r>
    </w:p>
    <w:p>
      <w:pPr>
        <w:spacing w:line="360" w:lineRule="auto"/>
        <w:ind w:firstLine="480" w:firstLineChars="200"/>
        <w:rPr>
          <w:rFonts w:hint="eastAsia" w:ascii="Calibri" w:hAnsi="Calibri"/>
          <w:sz w:val="24"/>
        </w:rPr>
      </w:pPr>
      <w:r>
        <w:rPr>
          <w:rFonts w:hint="eastAsia" w:ascii="Calibri" w:hAnsi="Calibri"/>
          <w:sz w:val="24"/>
        </w:rPr>
        <w:t>根据有机碳含量（TOC）有关好、中、差、非各类评价标准，调查区泥页岩总体上属中等-较好烃源岩。其中很好烃源岩占6%，好烃源岩占16%，较好烃源岩占14%，中等烃源岩占17%，差烃源岩21%，非烃源岩占26%（图</w:t>
      </w:r>
      <w:r>
        <w:rPr>
          <w:rFonts w:hint="eastAsia" w:ascii="Calibri" w:hAnsi="Calibri"/>
          <w:sz w:val="24"/>
          <w:lang w:val="en-US" w:eastAsia="zh-CN"/>
        </w:rPr>
        <w:t>1</w:t>
      </w:r>
      <w:r>
        <w:rPr>
          <w:rFonts w:hint="eastAsia" w:ascii="Calibri" w:hAnsi="Calibri"/>
          <w:sz w:val="24"/>
        </w:rPr>
        <w:t>）。尽管差烃源岩和非烃源岩占有一部分样品比例，但是中等及中等以上烃源岩依然占总样品数量的53%。总体上来说该地区的烃源岩有一定的生烃潜力。</w:t>
      </w:r>
    </w:p>
    <w:p>
      <w:pPr>
        <w:spacing w:line="360" w:lineRule="auto"/>
        <w:ind w:firstLine="480" w:firstLineChars="200"/>
        <w:rPr>
          <w:rFonts w:hint="eastAsia" w:ascii="Calibri" w:hAnsi="Calibri"/>
          <w:sz w:val="24"/>
        </w:rPr>
      </w:pPr>
    </w:p>
    <w:p>
      <w:pPr>
        <w:spacing w:before="156" w:beforeLines="50" w:after="156" w:afterLines="50" w:line="360" w:lineRule="auto"/>
        <w:ind w:firstLine="480" w:firstLineChars="200"/>
        <w:jc w:val="center"/>
        <w:rPr>
          <w:rFonts w:ascii="Calibri" w:hAnsi="Calibri"/>
          <w:sz w:val="24"/>
        </w:rPr>
      </w:pPr>
      <w:r>
        <w:rPr>
          <w:rFonts w:hint="eastAsia" w:ascii="Calibri" w:hAnsi="Calibri"/>
          <w:sz w:val="24"/>
        </w:rPr>
        <w:drawing>
          <wp:anchor distT="0" distB="0" distL="114300" distR="114300" simplePos="0" relativeHeight="251720704" behindDoc="0" locked="0" layoutInCell="1" allowOverlap="1">
            <wp:simplePos x="0" y="0"/>
            <wp:positionH relativeFrom="margin">
              <wp:posOffset>238125</wp:posOffset>
            </wp:positionH>
            <wp:positionV relativeFrom="paragraph">
              <wp:posOffset>144145</wp:posOffset>
            </wp:positionV>
            <wp:extent cx="4737735" cy="2847975"/>
            <wp:effectExtent l="0" t="0" r="5715" b="9525"/>
            <wp:wrapTopAndBottom/>
            <wp:docPr id="3" name="Picture 35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5894"/>
                    <pic:cNvPicPr>
                      <a:picLocks noChangeAspect="1"/>
                    </pic:cNvPicPr>
                  </pic:nvPicPr>
                  <pic:blipFill>
                    <a:blip r:embed="rId10"/>
                    <a:stretch>
                      <a:fillRect/>
                    </a:stretch>
                  </pic:blipFill>
                  <pic:spPr>
                    <a:xfrm>
                      <a:off x="0" y="0"/>
                      <a:ext cx="4737735" cy="2847975"/>
                    </a:xfrm>
                    <a:prstGeom prst="rect">
                      <a:avLst/>
                    </a:prstGeom>
                    <a:noFill/>
                    <a:ln w="9525">
                      <a:noFill/>
                    </a:ln>
                  </pic:spPr>
                </pic:pic>
              </a:graphicData>
            </a:graphic>
          </wp:anchor>
        </w:drawing>
      </w:r>
      <w:r>
        <w:rPr>
          <w:rFonts w:hint="eastAsia" w:ascii="宋体" w:hAnsi="宋体"/>
          <w:b/>
          <w:color w:val="000000"/>
        </w:rPr>
        <w:t>图</w:t>
      </w:r>
      <w:r>
        <w:rPr>
          <w:rFonts w:hint="eastAsia" w:ascii="宋体" w:hAnsi="宋体"/>
          <w:b/>
          <w:lang w:val="en-US" w:eastAsia="zh-CN"/>
        </w:rPr>
        <w:t>1</w:t>
      </w:r>
      <w:r>
        <w:rPr>
          <w:rFonts w:ascii="宋体" w:hAnsi="宋体"/>
          <w:b/>
        </w:rPr>
        <w:t xml:space="preserve"> </w:t>
      </w:r>
      <w:r>
        <w:rPr>
          <w:rFonts w:hint="eastAsia" w:ascii="宋体" w:hAnsi="宋体"/>
          <w:b/>
        </w:rPr>
        <w:t>马东山组烃源岩优劣</w:t>
      </w:r>
      <w:r>
        <w:rPr>
          <w:rFonts w:hint="eastAsia" w:ascii="宋体" w:hAnsi="宋体"/>
          <w:b/>
          <w:color w:val="000000"/>
        </w:rPr>
        <w:t>分布</w:t>
      </w:r>
      <w:r>
        <w:rPr>
          <w:rFonts w:hint="eastAsia" w:ascii="宋体" w:hAnsi="宋体"/>
          <w:b/>
        </w:rPr>
        <w:t>饼状图</w:t>
      </w:r>
    </w:p>
    <w:p>
      <w:pPr>
        <w:spacing w:line="480" w:lineRule="auto"/>
        <w:ind w:firstLine="482" w:firstLineChars="200"/>
        <w:rPr>
          <w:rFonts w:hint="eastAsia" w:eastAsia="宋体"/>
          <w:b/>
          <w:sz w:val="24"/>
          <w:lang w:eastAsia="zh-CN"/>
        </w:rPr>
      </w:pPr>
      <w:r>
        <w:rPr>
          <w:rFonts w:hint="eastAsia"/>
          <w:b/>
          <w:sz w:val="24"/>
          <w:lang w:eastAsia="zh-CN"/>
        </w:rPr>
        <w:t>二</w:t>
      </w:r>
      <w:r>
        <w:rPr>
          <w:rFonts w:hint="eastAsia"/>
          <w:b/>
          <w:sz w:val="24"/>
        </w:rPr>
        <w:t>、</w:t>
      </w:r>
      <w:r>
        <w:rPr>
          <w:rFonts w:hint="eastAsia"/>
          <w:b/>
          <w:sz w:val="24"/>
          <w:lang w:eastAsia="zh-CN"/>
        </w:rPr>
        <w:t>有机质类型</w:t>
      </w:r>
    </w:p>
    <w:p>
      <w:pPr>
        <w:spacing w:line="360" w:lineRule="auto"/>
        <w:ind w:firstLine="480" w:firstLineChars="200"/>
        <w:rPr>
          <w:rFonts w:hint="eastAsia" w:ascii="宋体" w:hAnsi="宋体"/>
          <w:sz w:val="24"/>
        </w:rPr>
      </w:pPr>
      <w:r>
        <w:rPr>
          <w:rFonts w:hint="eastAsia" w:ascii="宋体" w:hAnsi="宋体"/>
          <w:sz w:val="24"/>
        </w:rPr>
        <w:t>调查区</w:t>
      </w:r>
      <w:r>
        <w:rPr>
          <w:rFonts w:ascii="宋体" w:hAnsi="宋体"/>
          <w:sz w:val="24"/>
        </w:rPr>
        <w:t>马东山组干酪根有机显微组分以腐泥组和惰质组为主，镜质组次之，壳质组最少（表</w:t>
      </w:r>
      <w:r>
        <w:rPr>
          <w:rFonts w:hint="eastAsia" w:ascii="宋体" w:hAnsi="宋体"/>
          <w:sz w:val="24"/>
          <w:lang w:val="en-US" w:eastAsia="zh-CN"/>
        </w:rPr>
        <w:t>2</w:t>
      </w:r>
      <w:r>
        <w:rPr>
          <w:rFonts w:ascii="宋体" w:hAnsi="宋体"/>
          <w:sz w:val="24"/>
        </w:rPr>
        <w:t>）。统计表明，露头样品腐泥组均值含量达58%，惰质组含量为28%，镜质组为9%，壳质组为5%;比较而言，钻孔样品中腐泥组含量高达73.9%，惰质组含量为19.6%，镜质组含量为5%，壳质组含量为2%，后三者较露头样品均有所降低，反映地表了风、氧化作用对干酪根有机显微组分不同成分相对含量的影响。</w:t>
      </w:r>
    </w:p>
    <w:p>
      <w:pPr>
        <w:spacing w:line="360" w:lineRule="auto"/>
        <w:jc w:val="center"/>
        <w:rPr>
          <w:rFonts w:ascii="宋体" w:hAnsi="宋体"/>
          <w:b/>
          <w:szCs w:val="21"/>
        </w:rPr>
      </w:pPr>
      <w:r>
        <w:rPr>
          <w:rFonts w:ascii="宋体" w:hAnsi="宋体"/>
          <w:b/>
          <w:szCs w:val="21"/>
        </w:rPr>
        <w:t>表</w:t>
      </w:r>
      <w:r>
        <w:rPr>
          <w:rFonts w:hint="eastAsia" w:ascii="宋体" w:hAnsi="宋体"/>
          <w:b/>
          <w:szCs w:val="21"/>
          <w:lang w:val="en-US" w:eastAsia="zh-CN"/>
        </w:rPr>
        <w:t>2</w:t>
      </w:r>
      <w:r>
        <w:rPr>
          <w:rFonts w:ascii="宋体" w:hAnsi="宋体"/>
          <w:b/>
          <w:szCs w:val="21"/>
        </w:rPr>
        <w:t xml:space="preserve">  马东山组泥</w:t>
      </w:r>
      <w:r>
        <w:rPr>
          <w:rFonts w:hint="eastAsia" w:ascii="宋体" w:hAnsi="宋体"/>
          <w:b/>
          <w:szCs w:val="21"/>
        </w:rPr>
        <w:t>页</w:t>
      </w:r>
      <w:r>
        <w:rPr>
          <w:rFonts w:ascii="宋体" w:hAnsi="宋体"/>
          <w:b/>
          <w:szCs w:val="21"/>
        </w:rPr>
        <w:t>岩干酪根显微组分及类型统计</w:t>
      </w:r>
      <w:r>
        <w:rPr>
          <w:rFonts w:hint="eastAsia" w:ascii="宋体" w:hAnsi="宋体"/>
          <w:b/>
          <w:szCs w:val="21"/>
        </w:rPr>
        <w:t>表</w:t>
      </w:r>
    </w:p>
    <w:tbl>
      <w:tblPr>
        <w:tblStyle w:val="5"/>
        <w:tblW w:w="8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
      <w:tblGrid>
        <w:gridCol w:w="627"/>
        <w:gridCol w:w="425"/>
        <w:gridCol w:w="1081"/>
        <w:gridCol w:w="1133"/>
        <w:gridCol w:w="1044"/>
        <w:gridCol w:w="1175"/>
        <w:gridCol w:w="1440"/>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jc w:val="center"/>
        </w:trPr>
        <w:tc>
          <w:tcPr>
            <w:tcW w:w="627" w:type="dxa"/>
            <w:vMerge w:val="restart"/>
            <w:vAlign w:val="center"/>
          </w:tcPr>
          <w:p>
            <w:pPr>
              <w:adjustRightInd w:val="0"/>
              <w:snapToGrid w:val="0"/>
              <w:jc w:val="center"/>
              <w:rPr>
                <w:szCs w:val="21"/>
              </w:rPr>
            </w:pPr>
            <w:r>
              <w:rPr>
                <w:szCs w:val="21"/>
              </w:rPr>
              <w:t>层位</w:t>
            </w:r>
          </w:p>
        </w:tc>
        <w:tc>
          <w:tcPr>
            <w:tcW w:w="425" w:type="dxa"/>
            <w:vMerge w:val="restart"/>
            <w:vAlign w:val="center"/>
          </w:tcPr>
          <w:p>
            <w:pPr>
              <w:adjustRightInd w:val="0"/>
              <w:snapToGrid w:val="0"/>
              <w:jc w:val="center"/>
              <w:rPr>
                <w:szCs w:val="21"/>
              </w:rPr>
            </w:pPr>
            <w:r>
              <w:rPr>
                <w:szCs w:val="21"/>
              </w:rPr>
              <w:t>样品类型</w:t>
            </w:r>
          </w:p>
        </w:tc>
        <w:tc>
          <w:tcPr>
            <w:tcW w:w="4433" w:type="dxa"/>
            <w:gridSpan w:val="4"/>
            <w:vAlign w:val="center"/>
          </w:tcPr>
          <w:p>
            <w:pPr>
              <w:adjustRightInd w:val="0"/>
              <w:snapToGrid w:val="0"/>
              <w:jc w:val="center"/>
              <w:rPr>
                <w:szCs w:val="21"/>
              </w:rPr>
            </w:pPr>
            <w:r>
              <w:rPr>
                <w:szCs w:val="21"/>
              </w:rPr>
              <w:t>有机显微组分相对丰度（%）</w:t>
            </w:r>
          </w:p>
        </w:tc>
        <w:tc>
          <w:tcPr>
            <w:tcW w:w="1440" w:type="dxa"/>
            <w:vMerge w:val="restart"/>
            <w:vAlign w:val="center"/>
          </w:tcPr>
          <w:p>
            <w:pPr>
              <w:adjustRightInd w:val="0"/>
              <w:snapToGrid w:val="0"/>
              <w:jc w:val="center"/>
              <w:rPr>
                <w:szCs w:val="21"/>
              </w:rPr>
            </w:pPr>
            <w:r>
              <w:rPr>
                <w:szCs w:val="21"/>
              </w:rPr>
              <w:t>类型</w:t>
            </w:r>
          </w:p>
          <w:p>
            <w:pPr>
              <w:adjustRightInd w:val="0"/>
              <w:snapToGrid w:val="0"/>
              <w:jc w:val="center"/>
              <w:rPr>
                <w:szCs w:val="21"/>
              </w:rPr>
            </w:pPr>
            <w:r>
              <w:rPr>
                <w:szCs w:val="21"/>
              </w:rPr>
              <w:t>指数</w:t>
            </w:r>
          </w:p>
        </w:tc>
        <w:tc>
          <w:tcPr>
            <w:tcW w:w="1495" w:type="dxa"/>
            <w:vMerge w:val="restart"/>
            <w:vAlign w:val="center"/>
          </w:tcPr>
          <w:p>
            <w:pPr>
              <w:adjustRightInd w:val="0"/>
              <w:snapToGrid w:val="0"/>
              <w:jc w:val="center"/>
              <w:rPr>
                <w:szCs w:val="21"/>
              </w:rPr>
            </w:pPr>
            <w:r>
              <w:rPr>
                <w:szCs w:val="21"/>
              </w:rPr>
              <w:t>干酪根</w:t>
            </w:r>
          </w:p>
          <w:p>
            <w:pPr>
              <w:adjustRightInd w:val="0"/>
              <w:snapToGrid w:val="0"/>
              <w:jc w:val="center"/>
              <w:rPr>
                <w:szCs w:val="21"/>
              </w:rPr>
            </w:pPr>
            <w:r>
              <w:rPr>
                <w:szCs w:val="21"/>
              </w:rPr>
              <w:t>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jc w:val="center"/>
        </w:trPr>
        <w:tc>
          <w:tcPr>
            <w:tcW w:w="627" w:type="dxa"/>
            <w:vMerge w:val="continue"/>
            <w:vAlign w:val="center"/>
          </w:tcPr>
          <w:p>
            <w:pPr>
              <w:adjustRightInd w:val="0"/>
              <w:snapToGrid w:val="0"/>
              <w:jc w:val="center"/>
              <w:rPr>
                <w:i/>
                <w:szCs w:val="21"/>
              </w:rPr>
            </w:pPr>
          </w:p>
        </w:tc>
        <w:tc>
          <w:tcPr>
            <w:tcW w:w="425" w:type="dxa"/>
            <w:vMerge w:val="continue"/>
            <w:vAlign w:val="center"/>
          </w:tcPr>
          <w:p>
            <w:pPr>
              <w:adjustRightInd w:val="0"/>
              <w:snapToGrid w:val="0"/>
              <w:jc w:val="center"/>
              <w:rPr>
                <w:szCs w:val="21"/>
              </w:rPr>
            </w:pPr>
          </w:p>
        </w:tc>
        <w:tc>
          <w:tcPr>
            <w:tcW w:w="1081" w:type="dxa"/>
            <w:vAlign w:val="center"/>
          </w:tcPr>
          <w:p>
            <w:pPr>
              <w:adjustRightInd w:val="0"/>
              <w:snapToGrid w:val="0"/>
              <w:jc w:val="center"/>
              <w:rPr>
                <w:szCs w:val="21"/>
              </w:rPr>
            </w:pPr>
            <w:r>
              <w:rPr>
                <w:szCs w:val="21"/>
              </w:rPr>
              <w:t>腐泥组</w:t>
            </w:r>
          </w:p>
        </w:tc>
        <w:tc>
          <w:tcPr>
            <w:tcW w:w="1133" w:type="dxa"/>
            <w:vAlign w:val="center"/>
          </w:tcPr>
          <w:p>
            <w:pPr>
              <w:adjustRightInd w:val="0"/>
              <w:snapToGrid w:val="0"/>
              <w:jc w:val="center"/>
              <w:rPr>
                <w:szCs w:val="21"/>
              </w:rPr>
            </w:pPr>
            <w:r>
              <w:rPr>
                <w:szCs w:val="21"/>
              </w:rPr>
              <w:t>壳质组</w:t>
            </w:r>
          </w:p>
        </w:tc>
        <w:tc>
          <w:tcPr>
            <w:tcW w:w="1044" w:type="dxa"/>
            <w:vAlign w:val="center"/>
          </w:tcPr>
          <w:p>
            <w:pPr>
              <w:adjustRightInd w:val="0"/>
              <w:snapToGrid w:val="0"/>
              <w:jc w:val="center"/>
              <w:rPr>
                <w:szCs w:val="21"/>
              </w:rPr>
            </w:pPr>
            <w:r>
              <w:rPr>
                <w:szCs w:val="21"/>
              </w:rPr>
              <w:t>镜质组</w:t>
            </w:r>
          </w:p>
        </w:tc>
        <w:tc>
          <w:tcPr>
            <w:tcW w:w="1175" w:type="dxa"/>
            <w:vAlign w:val="center"/>
          </w:tcPr>
          <w:p>
            <w:pPr>
              <w:adjustRightInd w:val="0"/>
              <w:snapToGrid w:val="0"/>
              <w:jc w:val="center"/>
              <w:rPr>
                <w:szCs w:val="21"/>
              </w:rPr>
            </w:pPr>
            <w:r>
              <w:rPr>
                <w:szCs w:val="21"/>
              </w:rPr>
              <w:t>惰质组</w:t>
            </w:r>
          </w:p>
        </w:tc>
        <w:tc>
          <w:tcPr>
            <w:tcW w:w="1440" w:type="dxa"/>
            <w:vMerge w:val="continue"/>
            <w:vAlign w:val="center"/>
          </w:tcPr>
          <w:p>
            <w:pPr>
              <w:adjustRightInd w:val="0"/>
              <w:snapToGrid w:val="0"/>
              <w:jc w:val="center"/>
              <w:rPr>
                <w:szCs w:val="21"/>
              </w:rPr>
            </w:pPr>
          </w:p>
        </w:tc>
        <w:tc>
          <w:tcPr>
            <w:tcW w:w="1495" w:type="dxa"/>
            <w:vMerge w:val="continue"/>
            <w:vAlign w:val="center"/>
          </w:tcPr>
          <w:p>
            <w:pPr>
              <w:adjustRightInd w:val="0"/>
              <w:snapToGrid w:val="0"/>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147" w:hRule="atLeast"/>
          <w:jc w:val="center"/>
        </w:trPr>
        <w:tc>
          <w:tcPr>
            <w:tcW w:w="627" w:type="dxa"/>
            <w:vAlign w:val="center"/>
          </w:tcPr>
          <w:p>
            <w:pPr>
              <w:adjustRightInd w:val="0"/>
              <w:snapToGrid w:val="0"/>
              <w:jc w:val="center"/>
              <w:rPr>
                <w:szCs w:val="21"/>
              </w:rPr>
            </w:pPr>
            <w:r>
              <w:rPr>
                <w:szCs w:val="21"/>
              </w:rPr>
              <w:t>K</w:t>
            </w:r>
            <w:r>
              <w:rPr>
                <w:szCs w:val="21"/>
                <w:vertAlign w:val="subscript"/>
              </w:rPr>
              <w:t>1</w:t>
            </w:r>
            <w:r>
              <w:rPr>
                <w:i/>
                <w:szCs w:val="21"/>
              </w:rPr>
              <w:t>m</w:t>
            </w:r>
          </w:p>
        </w:tc>
        <w:tc>
          <w:tcPr>
            <w:tcW w:w="425" w:type="dxa"/>
            <w:vAlign w:val="center"/>
          </w:tcPr>
          <w:p>
            <w:pPr>
              <w:adjustRightInd w:val="0"/>
              <w:snapToGrid w:val="0"/>
              <w:jc w:val="center"/>
              <w:rPr>
                <w:szCs w:val="21"/>
              </w:rPr>
            </w:pPr>
            <w:r>
              <w:rPr>
                <w:szCs w:val="21"/>
              </w:rPr>
              <w:t>露头</w:t>
            </w:r>
          </w:p>
          <w:p>
            <w:pPr>
              <w:adjustRightInd w:val="0"/>
              <w:snapToGrid w:val="0"/>
              <w:jc w:val="center"/>
              <w:rPr>
                <w:szCs w:val="21"/>
              </w:rPr>
            </w:pPr>
            <w:r>
              <w:rPr>
                <w:szCs w:val="21"/>
              </w:rPr>
              <w:t>样品</w:t>
            </w:r>
          </w:p>
        </w:tc>
        <w:tc>
          <w:tcPr>
            <w:tcW w:w="1081" w:type="dxa"/>
            <w:vAlign w:val="center"/>
          </w:tcPr>
          <w:p>
            <w:pPr>
              <w:adjustRightInd w:val="0"/>
              <w:snapToGrid w:val="0"/>
              <w:jc w:val="center"/>
              <w:rPr>
                <w:szCs w:val="21"/>
              </w:rPr>
            </w:pPr>
            <m:oMathPara>
              <m:oMath>
                <m:f>
                  <m:fPr>
                    <m:ctrlPr>
                      <w:rPr>
                        <w:rFonts w:ascii="Cambria Math" w:hAnsi="Cambria Math"/>
                        <w:szCs w:val="21"/>
                      </w:rPr>
                    </m:ctrlPr>
                  </m:fPr>
                  <m:num>
                    <m:r>
                      <w:rPr>
                        <w:rFonts w:ascii="Cambria Math" w:hAnsi="Cambria Math"/>
                        <w:szCs w:val="21"/>
                      </w:rPr>
                      <m:t>28~</m:t>
                    </m:r>
                    <m:r>
                      <m:rPr>
                        <m:sty m:val="p"/>
                      </m:rPr>
                      <w:rPr>
                        <w:rFonts w:ascii="Cambria Math" w:hAnsi="Cambria Math"/>
                        <w:szCs w:val="21"/>
                      </w:rPr>
                      <m:t>88</m:t>
                    </m:r>
                    <m:ctrlPr>
                      <w:rPr>
                        <w:rFonts w:ascii="Cambria Math" w:hAnsi="Cambria Math"/>
                        <w:szCs w:val="21"/>
                      </w:rPr>
                    </m:ctrlPr>
                  </m:num>
                  <m:den>
                    <m:r>
                      <w:rPr>
                        <w:rFonts w:ascii="Cambria Math" w:hAnsi="Cambria Math"/>
                        <w:szCs w:val="21"/>
                      </w:rPr>
                      <m:t>58</m:t>
                    </m:r>
                    <m:r>
                      <m:rPr>
                        <m:sty m:val="p"/>
                      </m:rPr>
                      <w:rPr>
                        <w:rFonts w:ascii="Cambria Math" w:hAnsi="Cambria Math"/>
                        <w:szCs w:val="21"/>
                      </w:rPr>
                      <m:t>（25）</m:t>
                    </m:r>
                    <m:ctrlPr>
                      <w:rPr>
                        <w:rFonts w:ascii="Cambria Math" w:hAnsi="Cambria Math"/>
                        <w:szCs w:val="21"/>
                      </w:rPr>
                    </m:ctrlPr>
                  </m:den>
                </m:f>
              </m:oMath>
            </m:oMathPara>
          </w:p>
        </w:tc>
        <w:tc>
          <w:tcPr>
            <w:tcW w:w="1133" w:type="dxa"/>
            <w:vAlign w:val="center"/>
          </w:tcPr>
          <w:p>
            <w:pPr>
              <w:adjustRightInd w:val="0"/>
              <w:snapToGrid w:val="0"/>
              <w:jc w:val="center"/>
              <w:rPr>
                <w:szCs w:val="21"/>
              </w:rPr>
            </w:pPr>
            <m:oMathPara>
              <m:oMath>
                <m:f>
                  <m:fPr>
                    <m:ctrlPr>
                      <w:rPr>
                        <w:rFonts w:ascii="Cambria Math" w:hAnsi="Cambria Math"/>
                        <w:szCs w:val="21"/>
                      </w:rPr>
                    </m:ctrlPr>
                  </m:fPr>
                  <m:num>
                    <m:r>
                      <w:rPr>
                        <w:rFonts w:ascii="Cambria Math" w:hAnsi="Cambria Math"/>
                        <w:szCs w:val="21"/>
                      </w:rPr>
                      <m:t>0~</m:t>
                    </m:r>
                    <m:r>
                      <m:rPr>
                        <m:sty m:val="p"/>
                      </m:rPr>
                      <w:rPr>
                        <w:rFonts w:ascii="Cambria Math" w:hAnsi="Cambria Math"/>
                        <w:szCs w:val="21"/>
                      </w:rPr>
                      <m:t>16</m:t>
                    </m:r>
                    <m:ctrlPr>
                      <w:rPr>
                        <w:rFonts w:ascii="Cambria Math" w:hAnsi="Cambria Math"/>
                        <w:szCs w:val="21"/>
                      </w:rPr>
                    </m:ctrlPr>
                  </m:num>
                  <m:den>
                    <m:r>
                      <w:rPr>
                        <w:rFonts w:ascii="Cambria Math" w:hAnsi="Cambria Math"/>
                        <w:szCs w:val="21"/>
                      </w:rPr>
                      <m:t>5</m:t>
                    </m:r>
                    <m:r>
                      <m:rPr>
                        <m:sty m:val="p"/>
                      </m:rPr>
                      <w:rPr>
                        <w:rFonts w:ascii="Cambria Math" w:hAnsi="Cambria Math"/>
                        <w:szCs w:val="21"/>
                      </w:rPr>
                      <m:t>（25）</m:t>
                    </m:r>
                    <m:ctrlPr>
                      <w:rPr>
                        <w:rFonts w:ascii="Cambria Math" w:hAnsi="Cambria Math"/>
                        <w:szCs w:val="21"/>
                      </w:rPr>
                    </m:ctrlPr>
                  </m:den>
                </m:f>
              </m:oMath>
            </m:oMathPara>
          </w:p>
        </w:tc>
        <w:tc>
          <w:tcPr>
            <w:tcW w:w="1044" w:type="dxa"/>
            <w:vAlign w:val="center"/>
          </w:tcPr>
          <w:p>
            <w:pPr>
              <w:adjustRightInd w:val="0"/>
              <w:snapToGrid w:val="0"/>
              <w:jc w:val="center"/>
              <w:rPr>
                <w:szCs w:val="21"/>
              </w:rPr>
            </w:pPr>
            <m:oMathPara>
              <m:oMath>
                <m:f>
                  <m:fPr>
                    <m:ctrlPr>
                      <w:rPr>
                        <w:rFonts w:ascii="Cambria Math" w:hAnsi="Cambria Math"/>
                        <w:szCs w:val="21"/>
                      </w:rPr>
                    </m:ctrlPr>
                  </m:fPr>
                  <m:num>
                    <m:r>
                      <w:rPr>
                        <w:rFonts w:ascii="Cambria Math" w:hAnsi="Cambria Math"/>
                        <w:szCs w:val="21"/>
                      </w:rPr>
                      <m:t>3~</m:t>
                    </m:r>
                    <m:r>
                      <m:rPr>
                        <m:sty m:val="p"/>
                      </m:rPr>
                      <w:rPr>
                        <w:rFonts w:ascii="Cambria Math" w:hAnsi="Cambria Math"/>
                        <w:szCs w:val="21"/>
                      </w:rPr>
                      <m:t>18</m:t>
                    </m:r>
                    <m:ctrlPr>
                      <w:rPr>
                        <w:rFonts w:ascii="Cambria Math" w:hAnsi="Cambria Math"/>
                        <w:szCs w:val="21"/>
                      </w:rPr>
                    </m:ctrlPr>
                  </m:num>
                  <m:den>
                    <m:r>
                      <w:rPr>
                        <w:rFonts w:ascii="Cambria Math" w:hAnsi="Cambria Math"/>
                        <w:szCs w:val="21"/>
                      </w:rPr>
                      <m:t>9</m:t>
                    </m:r>
                    <m:r>
                      <m:rPr>
                        <m:sty m:val="p"/>
                      </m:rPr>
                      <w:rPr>
                        <w:rFonts w:ascii="Cambria Math" w:hAnsi="Cambria Math"/>
                        <w:szCs w:val="21"/>
                      </w:rPr>
                      <m:t>（25）</m:t>
                    </m:r>
                    <m:ctrlPr>
                      <w:rPr>
                        <w:rFonts w:ascii="Cambria Math" w:hAnsi="Cambria Math"/>
                        <w:szCs w:val="21"/>
                      </w:rPr>
                    </m:ctrlPr>
                  </m:den>
                </m:f>
              </m:oMath>
            </m:oMathPara>
          </w:p>
        </w:tc>
        <w:tc>
          <w:tcPr>
            <w:tcW w:w="1175" w:type="dxa"/>
            <w:vAlign w:val="center"/>
          </w:tcPr>
          <w:p>
            <w:pPr>
              <w:adjustRightInd w:val="0"/>
              <w:snapToGrid w:val="0"/>
              <w:jc w:val="center"/>
              <w:rPr>
                <w:szCs w:val="21"/>
              </w:rPr>
            </w:pPr>
            <m:oMathPara>
              <m:oMath>
                <m:f>
                  <m:fPr>
                    <m:ctrlPr>
                      <w:rPr>
                        <w:rFonts w:ascii="Cambria Math" w:hAnsi="Cambria Math"/>
                        <w:szCs w:val="21"/>
                      </w:rPr>
                    </m:ctrlPr>
                  </m:fPr>
                  <m:num>
                    <m:r>
                      <w:rPr>
                        <w:rFonts w:ascii="Cambria Math" w:hAnsi="Cambria Math"/>
                        <w:szCs w:val="21"/>
                      </w:rPr>
                      <m:t>5~</m:t>
                    </m:r>
                    <m:r>
                      <m:rPr>
                        <m:sty m:val="p"/>
                      </m:rPr>
                      <w:rPr>
                        <w:rFonts w:ascii="Cambria Math" w:hAnsi="Cambria Math"/>
                        <w:szCs w:val="21"/>
                      </w:rPr>
                      <m:t>60</m:t>
                    </m:r>
                    <m:ctrlPr>
                      <w:rPr>
                        <w:rFonts w:ascii="Cambria Math" w:hAnsi="Cambria Math"/>
                        <w:szCs w:val="21"/>
                      </w:rPr>
                    </m:ctrlPr>
                  </m:num>
                  <m:den>
                    <m:r>
                      <w:rPr>
                        <w:rFonts w:ascii="Cambria Math" w:hAnsi="Cambria Math"/>
                        <w:szCs w:val="21"/>
                      </w:rPr>
                      <m:t>28</m:t>
                    </m:r>
                    <m:r>
                      <m:rPr>
                        <m:sty m:val="p"/>
                      </m:rPr>
                      <w:rPr>
                        <w:rFonts w:ascii="Cambria Math" w:hAnsi="Cambria Math"/>
                        <w:szCs w:val="21"/>
                      </w:rPr>
                      <m:t>（25）</m:t>
                    </m:r>
                    <m:ctrlPr>
                      <w:rPr>
                        <w:rFonts w:ascii="Cambria Math" w:hAnsi="Cambria Math"/>
                        <w:szCs w:val="21"/>
                      </w:rPr>
                    </m:ctrlPr>
                  </m:den>
                </m:f>
              </m:oMath>
            </m:oMathPara>
          </w:p>
        </w:tc>
        <w:tc>
          <w:tcPr>
            <w:tcW w:w="1440" w:type="dxa"/>
            <w:vAlign w:val="center"/>
          </w:tcPr>
          <w:p>
            <w:pPr>
              <w:adjustRightInd w:val="0"/>
              <w:snapToGrid w:val="0"/>
              <w:jc w:val="center"/>
              <w:rPr>
                <w:szCs w:val="21"/>
              </w:rPr>
            </w:pPr>
            <m:oMathPara>
              <m:oMath>
                <m:f>
                  <m:fPr>
                    <m:ctrlPr>
                      <w:rPr>
                        <w:rFonts w:ascii="Cambria Math" w:hAnsi="Cambria Math"/>
                        <w:szCs w:val="21"/>
                      </w:rPr>
                    </m:ctrlPr>
                  </m:fPr>
                  <m:num>
                    <m:r>
                      <w:rPr>
                        <w:rFonts w:ascii="Cambria Math" w:hAnsi="Cambria Math"/>
                        <w:szCs w:val="21"/>
                      </w:rPr>
                      <m:t>-</m:t>
                    </m:r>
                    <m:r>
                      <m:rPr>
                        <m:sty m:val="p"/>
                      </m:rPr>
                      <w:rPr>
                        <w:rFonts w:ascii="Cambria Math" w:hAnsi="Cambria Math"/>
                        <w:szCs w:val="21"/>
                      </w:rPr>
                      <m:t>33</m:t>
                    </m:r>
                    <m:r>
                      <w:rPr>
                        <w:rFonts w:ascii="Cambria Math" w:hAnsi="Cambria Math"/>
                        <w:szCs w:val="21"/>
                      </w:rPr>
                      <m:t>~</m:t>
                    </m:r>
                    <m:r>
                      <m:rPr>
                        <m:sty m:val="p"/>
                      </m:rPr>
                      <w:rPr>
                        <w:rFonts w:ascii="Cambria Math" w:hAnsi="Cambria Math"/>
                        <w:szCs w:val="21"/>
                      </w:rPr>
                      <m:t>81.5</m:t>
                    </m:r>
                    <m:ctrlPr>
                      <w:rPr>
                        <w:rFonts w:ascii="Cambria Math" w:hAnsi="Cambria Math"/>
                        <w:szCs w:val="21"/>
                      </w:rPr>
                    </m:ctrlPr>
                  </m:num>
                  <m:den>
                    <m:r>
                      <w:rPr>
                        <w:rFonts w:ascii="Cambria Math" w:hAnsi="Cambria Math"/>
                        <w:szCs w:val="21"/>
                      </w:rPr>
                      <m:t>26.2</m:t>
                    </m:r>
                    <m:r>
                      <m:rPr>
                        <m:sty m:val="p"/>
                      </m:rPr>
                      <w:rPr>
                        <w:rFonts w:ascii="Cambria Math" w:hAnsi="Cambria Math"/>
                        <w:szCs w:val="21"/>
                      </w:rPr>
                      <m:t>（25）</m:t>
                    </m:r>
                    <m:ctrlPr>
                      <w:rPr>
                        <w:rFonts w:ascii="Cambria Math" w:hAnsi="Cambria Math"/>
                        <w:szCs w:val="21"/>
                      </w:rPr>
                    </m:ctrlPr>
                  </m:den>
                </m:f>
              </m:oMath>
            </m:oMathPara>
          </w:p>
        </w:tc>
        <w:tc>
          <w:tcPr>
            <w:tcW w:w="1495" w:type="dxa"/>
            <w:vAlign w:val="center"/>
          </w:tcPr>
          <w:p>
            <w:pPr>
              <w:adjustRightInd w:val="0"/>
              <w:snapToGrid w:val="0"/>
              <w:jc w:val="center"/>
              <w:rPr>
                <w:szCs w:val="21"/>
              </w:rPr>
            </w:pPr>
            <w:r>
              <w:rPr>
                <w:szCs w:val="21"/>
              </w:rPr>
              <w:drawing>
                <wp:inline distT="0" distB="0" distL="114300" distR="114300">
                  <wp:extent cx="906145" cy="924560"/>
                  <wp:effectExtent l="0" t="0" r="8255" b="8890"/>
                  <wp:docPr id="2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1"/>
                          <pic:cNvPicPr>
                            <a:picLocks noChangeAspect="1"/>
                          </pic:cNvPicPr>
                        </pic:nvPicPr>
                        <pic:blipFill>
                          <a:blip r:embed="rId11"/>
                          <a:srcRect l="24895" t="3839" r="26495" b="15172"/>
                          <a:stretch>
                            <a:fillRect/>
                          </a:stretch>
                        </pic:blipFill>
                        <pic:spPr>
                          <a:xfrm>
                            <a:off x="0" y="0"/>
                            <a:ext cx="906145" cy="924560"/>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57" w:type="dxa"/>
            <w:bottom w:w="0" w:type="dxa"/>
            <w:right w:w="57" w:type="dxa"/>
          </w:tblCellMar>
        </w:tblPrEx>
        <w:trPr>
          <w:trHeight w:val="1421" w:hRule="atLeast"/>
          <w:jc w:val="center"/>
        </w:trPr>
        <w:tc>
          <w:tcPr>
            <w:tcW w:w="627" w:type="dxa"/>
            <w:vAlign w:val="center"/>
          </w:tcPr>
          <w:p>
            <w:pPr>
              <w:adjustRightInd w:val="0"/>
              <w:snapToGrid w:val="0"/>
              <w:jc w:val="center"/>
              <w:rPr>
                <w:szCs w:val="21"/>
              </w:rPr>
            </w:pPr>
            <w:r>
              <w:rPr>
                <w:szCs w:val="21"/>
              </w:rPr>
              <w:t>K</w:t>
            </w:r>
            <w:r>
              <w:rPr>
                <w:szCs w:val="21"/>
                <w:vertAlign w:val="subscript"/>
              </w:rPr>
              <w:t>1</w:t>
            </w:r>
            <w:r>
              <w:rPr>
                <w:i/>
                <w:szCs w:val="21"/>
              </w:rPr>
              <w:t>m</w:t>
            </w:r>
          </w:p>
        </w:tc>
        <w:tc>
          <w:tcPr>
            <w:tcW w:w="425" w:type="dxa"/>
            <w:vAlign w:val="center"/>
          </w:tcPr>
          <w:p>
            <w:pPr>
              <w:adjustRightInd w:val="0"/>
              <w:snapToGrid w:val="0"/>
              <w:jc w:val="center"/>
              <w:rPr>
                <w:szCs w:val="21"/>
              </w:rPr>
            </w:pPr>
            <w:r>
              <w:rPr>
                <w:szCs w:val="21"/>
              </w:rPr>
              <w:t>钻孔样品</w:t>
            </w:r>
          </w:p>
        </w:tc>
        <w:tc>
          <w:tcPr>
            <w:tcW w:w="1081" w:type="dxa"/>
            <w:vAlign w:val="center"/>
          </w:tcPr>
          <w:p>
            <w:pPr>
              <w:adjustRightInd w:val="0"/>
              <w:snapToGrid w:val="0"/>
              <w:jc w:val="center"/>
              <w:rPr>
                <w:szCs w:val="21"/>
              </w:rPr>
            </w:pPr>
            <m:oMathPara>
              <m:oMath>
                <m:f>
                  <m:fPr>
                    <m:ctrlPr>
                      <w:rPr>
                        <w:rFonts w:ascii="Cambria Math" w:hAnsi="Cambria Math"/>
                        <w:szCs w:val="21"/>
                      </w:rPr>
                    </m:ctrlPr>
                  </m:fPr>
                  <m:num>
                    <m:r>
                      <w:rPr>
                        <w:rFonts w:ascii="Cambria Math" w:hAnsi="Cambria Math"/>
                        <w:szCs w:val="21"/>
                      </w:rPr>
                      <m:t>37~</m:t>
                    </m:r>
                    <m:r>
                      <m:rPr>
                        <m:sty m:val="p"/>
                      </m:rPr>
                      <w:rPr>
                        <w:rFonts w:ascii="Cambria Math" w:hAnsi="Cambria Math"/>
                        <w:szCs w:val="21"/>
                      </w:rPr>
                      <m:t>96</m:t>
                    </m:r>
                    <m:ctrlPr>
                      <w:rPr>
                        <w:rFonts w:ascii="Cambria Math" w:hAnsi="Cambria Math"/>
                        <w:szCs w:val="21"/>
                      </w:rPr>
                    </m:ctrlPr>
                  </m:num>
                  <m:den>
                    <m:r>
                      <w:rPr>
                        <w:rFonts w:ascii="Cambria Math" w:hAnsi="Cambria Math"/>
                        <w:szCs w:val="21"/>
                      </w:rPr>
                      <m:t>73.9</m:t>
                    </m:r>
                    <m:r>
                      <m:rPr>
                        <m:sty m:val="p"/>
                      </m:rPr>
                      <w:rPr>
                        <w:rFonts w:ascii="Cambria Math" w:hAnsi="Cambria Math"/>
                        <w:szCs w:val="21"/>
                      </w:rPr>
                      <m:t>（35）</m:t>
                    </m:r>
                    <m:ctrlPr>
                      <w:rPr>
                        <w:rFonts w:ascii="Cambria Math" w:hAnsi="Cambria Math"/>
                        <w:szCs w:val="21"/>
                      </w:rPr>
                    </m:ctrlPr>
                  </m:den>
                </m:f>
              </m:oMath>
            </m:oMathPara>
          </w:p>
        </w:tc>
        <w:tc>
          <w:tcPr>
            <w:tcW w:w="1133" w:type="dxa"/>
            <w:vAlign w:val="center"/>
          </w:tcPr>
          <w:p>
            <w:pPr>
              <w:adjustRightInd w:val="0"/>
              <w:snapToGrid w:val="0"/>
              <w:jc w:val="center"/>
              <w:rPr>
                <w:szCs w:val="21"/>
              </w:rPr>
            </w:pPr>
            <m:oMathPara>
              <m:oMath>
                <m:f>
                  <m:fPr>
                    <m:ctrlPr>
                      <w:rPr>
                        <w:rFonts w:ascii="Cambria Math" w:hAnsi="Cambria Math"/>
                        <w:szCs w:val="21"/>
                      </w:rPr>
                    </m:ctrlPr>
                  </m:fPr>
                  <m:num>
                    <m:r>
                      <w:rPr>
                        <w:rFonts w:ascii="Cambria Math" w:hAnsi="Cambria Math"/>
                        <w:szCs w:val="21"/>
                      </w:rPr>
                      <m:t>0~</m:t>
                    </m:r>
                    <m:r>
                      <m:rPr>
                        <m:sty m:val="p"/>
                      </m:rPr>
                      <w:rPr>
                        <w:rFonts w:ascii="Cambria Math" w:hAnsi="Cambria Math"/>
                        <w:szCs w:val="21"/>
                      </w:rPr>
                      <m:t>7</m:t>
                    </m:r>
                    <m:ctrlPr>
                      <w:rPr>
                        <w:rFonts w:ascii="Cambria Math" w:hAnsi="Cambria Math"/>
                        <w:szCs w:val="21"/>
                      </w:rPr>
                    </m:ctrlPr>
                  </m:num>
                  <m:den>
                    <m:r>
                      <w:rPr>
                        <w:rFonts w:ascii="Cambria Math" w:hAnsi="Cambria Math"/>
                        <w:szCs w:val="21"/>
                      </w:rPr>
                      <m:t>2.0</m:t>
                    </m:r>
                    <m:r>
                      <m:rPr>
                        <m:sty m:val="p"/>
                      </m:rPr>
                      <w:rPr>
                        <w:rFonts w:ascii="Cambria Math" w:hAnsi="Cambria Math"/>
                        <w:szCs w:val="21"/>
                      </w:rPr>
                      <m:t>（35）</m:t>
                    </m:r>
                    <m:ctrlPr>
                      <w:rPr>
                        <w:rFonts w:ascii="Cambria Math" w:hAnsi="Cambria Math"/>
                        <w:szCs w:val="21"/>
                      </w:rPr>
                    </m:ctrlPr>
                  </m:den>
                </m:f>
              </m:oMath>
            </m:oMathPara>
          </w:p>
        </w:tc>
        <w:tc>
          <w:tcPr>
            <w:tcW w:w="1044" w:type="dxa"/>
            <w:vAlign w:val="center"/>
          </w:tcPr>
          <w:p>
            <w:pPr>
              <w:adjustRightInd w:val="0"/>
              <w:snapToGrid w:val="0"/>
              <w:jc w:val="center"/>
              <w:rPr>
                <w:szCs w:val="21"/>
              </w:rPr>
            </w:pPr>
            <m:oMathPara>
              <m:oMath>
                <m:f>
                  <m:fPr>
                    <m:ctrlPr>
                      <w:rPr>
                        <w:rFonts w:ascii="Cambria Math" w:hAnsi="Cambria Math"/>
                        <w:szCs w:val="21"/>
                      </w:rPr>
                    </m:ctrlPr>
                  </m:fPr>
                  <m:num>
                    <m:r>
                      <w:rPr>
                        <w:rFonts w:ascii="Cambria Math" w:hAnsi="Cambria Math"/>
                        <w:szCs w:val="21"/>
                      </w:rPr>
                      <m:t>1~</m:t>
                    </m:r>
                    <m:r>
                      <m:rPr>
                        <m:sty m:val="p"/>
                      </m:rPr>
                      <w:rPr>
                        <w:rFonts w:ascii="Cambria Math" w:hAnsi="Cambria Math"/>
                        <w:szCs w:val="21"/>
                      </w:rPr>
                      <m:t>13</m:t>
                    </m:r>
                    <m:ctrlPr>
                      <w:rPr>
                        <w:rFonts w:ascii="Cambria Math" w:hAnsi="Cambria Math"/>
                        <w:szCs w:val="21"/>
                      </w:rPr>
                    </m:ctrlPr>
                  </m:num>
                  <m:den>
                    <m:r>
                      <w:rPr>
                        <w:rFonts w:ascii="Cambria Math" w:hAnsi="Cambria Math"/>
                        <w:szCs w:val="21"/>
                      </w:rPr>
                      <m:t>5</m:t>
                    </m:r>
                    <m:r>
                      <m:rPr>
                        <m:sty m:val="p"/>
                      </m:rPr>
                      <w:rPr>
                        <w:rFonts w:ascii="Cambria Math" w:hAnsi="Cambria Math"/>
                        <w:szCs w:val="21"/>
                      </w:rPr>
                      <m:t>（35）</m:t>
                    </m:r>
                    <m:ctrlPr>
                      <w:rPr>
                        <w:rFonts w:ascii="Cambria Math" w:hAnsi="Cambria Math"/>
                        <w:szCs w:val="21"/>
                      </w:rPr>
                    </m:ctrlPr>
                  </m:den>
                </m:f>
              </m:oMath>
            </m:oMathPara>
          </w:p>
        </w:tc>
        <w:tc>
          <w:tcPr>
            <w:tcW w:w="1175" w:type="dxa"/>
            <w:vAlign w:val="center"/>
          </w:tcPr>
          <w:p>
            <w:pPr>
              <w:adjustRightInd w:val="0"/>
              <w:snapToGrid w:val="0"/>
              <w:jc w:val="center"/>
              <w:rPr>
                <w:szCs w:val="21"/>
              </w:rPr>
            </w:pPr>
            <m:oMathPara>
              <m:oMath>
                <m:f>
                  <m:fPr>
                    <m:ctrlPr>
                      <w:rPr>
                        <w:rFonts w:ascii="Cambria Math" w:hAnsi="Cambria Math"/>
                        <w:szCs w:val="21"/>
                      </w:rPr>
                    </m:ctrlPr>
                  </m:fPr>
                  <m:num>
                    <m:r>
                      <w:rPr>
                        <w:rFonts w:ascii="Cambria Math" w:hAnsi="Cambria Math"/>
                        <w:szCs w:val="21"/>
                      </w:rPr>
                      <m:t>3~</m:t>
                    </m:r>
                    <m:r>
                      <m:rPr>
                        <m:sty m:val="p"/>
                      </m:rPr>
                      <w:rPr>
                        <w:rFonts w:ascii="Cambria Math" w:hAnsi="Cambria Math"/>
                        <w:szCs w:val="21"/>
                      </w:rPr>
                      <m:t>53</m:t>
                    </m:r>
                    <m:ctrlPr>
                      <w:rPr>
                        <w:rFonts w:ascii="Cambria Math" w:hAnsi="Cambria Math"/>
                        <w:szCs w:val="21"/>
                      </w:rPr>
                    </m:ctrlPr>
                  </m:num>
                  <m:den>
                    <m:r>
                      <w:rPr>
                        <w:rFonts w:ascii="Cambria Math" w:hAnsi="Cambria Math"/>
                        <w:szCs w:val="21"/>
                      </w:rPr>
                      <m:t>19.6</m:t>
                    </m:r>
                    <m:r>
                      <m:rPr>
                        <m:sty m:val="p"/>
                      </m:rPr>
                      <w:rPr>
                        <w:rFonts w:ascii="Cambria Math" w:hAnsi="Cambria Math"/>
                        <w:szCs w:val="21"/>
                      </w:rPr>
                      <m:t>（35）</m:t>
                    </m:r>
                    <m:ctrlPr>
                      <w:rPr>
                        <w:rFonts w:ascii="Cambria Math" w:hAnsi="Cambria Math"/>
                        <w:szCs w:val="21"/>
                      </w:rPr>
                    </m:ctrlPr>
                  </m:den>
                </m:f>
              </m:oMath>
            </m:oMathPara>
          </w:p>
        </w:tc>
        <w:tc>
          <w:tcPr>
            <w:tcW w:w="1440" w:type="dxa"/>
            <w:vAlign w:val="center"/>
          </w:tcPr>
          <w:p>
            <w:pPr>
              <w:adjustRightInd w:val="0"/>
              <w:snapToGrid w:val="0"/>
              <w:jc w:val="center"/>
              <w:rPr>
                <w:szCs w:val="21"/>
              </w:rPr>
            </w:pPr>
            <m:oMathPara>
              <m:oMath>
                <m:f>
                  <m:fPr>
                    <m:ctrlPr>
                      <w:rPr>
                        <w:rFonts w:ascii="Cambria Math" w:hAnsi="Cambria Math"/>
                        <w:szCs w:val="21"/>
                      </w:rPr>
                    </m:ctrlPr>
                  </m:fPr>
                  <m:num>
                    <m:r>
                      <w:rPr>
                        <w:rFonts w:ascii="Cambria Math" w:hAnsi="Cambria Math"/>
                        <w:szCs w:val="21"/>
                      </w:rPr>
                      <m:t>-</m:t>
                    </m:r>
                    <m:r>
                      <m:rPr>
                        <m:sty m:val="p"/>
                      </m:rPr>
                      <w:rPr>
                        <w:rFonts w:ascii="Cambria Math" w:hAnsi="Cambria Math"/>
                        <w:szCs w:val="21"/>
                      </w:rPr>
                      <m:t>18.5</m:t>
                    </m:r>
                    <m:r>
                      <w:rPr>
                        <w:rFonts w:ascii="Cambria Math" w:hAnsi="Cambria Math"/>
                        <w:szCs w:val="21"/>
                      </w:rPr>
                      <m:t>~</m:t>
                    </m:r>
                    <m:r>
                      <m:rPr>
                        <m:sty m:val="p"/>
                      </m:rPr>
                      <w:rPr>
                        <w:rFonts w:ascii="Cambria Math" w:hAnsi="Cambria Math"/>
                        <w:szCs w:val="21"/>
                      </w:rPr>
                      <m:t>92.25</m:t>
                    </m:r>
                    <m:ctrlPr>
                      <w:rPr>
                        <w:rFonts w:ascii="Cambria Math" w:hAnsi="Cambria Math"/>
                        <w:szCs w:val="21"/>
                      </w:rPr>
                    </m:ctrlPr>
                  </m:num>
                  <m:den>
                    <m:r>
                      <w:rPr>
                        <w:rFonts w:ascii="Cambria Math" w:hAnsi="Cambria Math"/>
                        <w:szCs w:val="21"/>
                      </w:rPr>
                      <m:t>51.6</m:t>
                    </m:r>
                    <m:r>
                      <m:rPr>
                        <m:sty m:val="p"/>
                      </m:rPr>
                      <w:rPr>
                        <w:rFonts w:ascii="Cambria Math" w:hAnsi="Cambria Math"/>
                        <w:szCs w:val="21"/>
                      </w:rPr>
                      <m:t>（35）</m:t>
                    </m:r>
                    <m:ctrlPr>
                      <w:rPr>
                        <w:rFonts w:ascii="Cambria Math" w:hAnsi="Cambria Math"/>
                        <w:szCs w:val="21"/>
                      </w:rPr>
                    </m:ctrlPr>
                  </m:den>
                </m:f>
              </m:oMath>
            </m:oMathPara>
          </w:p>
        </w:tc>
        <w:tc>
          <w:tcPr>
            <w:tcW w:w="1495" w:type="dxa"/>
            <w:vAlign w:val="center"/>
          </w:tcPr>
          <w:p>
            <w:pPr>
              <w:adjustRightInd w:val="0"/>
              <w:snapToGrid w:val="0"/>
              <w:jc w:val="center"/>
              <w:rPr>
                <w:szCs w:val="21"/>
              </w:rPr>
            </w:pPr>
            <w:r>
              <w:rPr>
                <w:szCs w:val="21"/>
              </w:rPr>
              <w:drawing>
                <wp:inline distT="0" distB="0" distL="114300" distR="114300">
                  <wp:extent cx="836295" cy="818515"/>
                  <wp:effectExtent l="0" t="0" r="1905" b="635"/>
                  <wp:docPr id="20"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7"/>
                          <pic:cNvPicPr>
                            <a:picLocks noChangeAspect="1"/>
                          </pic:cNvPicPr>
                        </pic:nvPicPr>
                        <pic:blipFill>
                          <a:blip r:embed="rId12"/>
                          <a:srcRect l="24722" t="12778" r="25092" b="13333"/>
                          <a:stretch>
                            <a:fillRect/>
                          </a:stretch>
                        </pic:blipFill>
                        <pic:spPr>
                          <a:xfrm>
                            <a:off x="0" y="0"/>
                            <a:ext cx="836295" cy="818515"/>
                          </a:xfrm>
                          <a:prstGeom prst="rect">
                            <a:avLst/>
                          </a:prstGeom>
                          <a:noFill/>
                          <a:ln w="9525">
                            <a:noFill/>
                          </a:ln>
                        </pic:spPr>
                      </pic:pic>
                    </a:graphicData>
                  </a:graphic>
                </wp:inline>
              </w:drawing>
            </w:r>
          </w:p>
        </w:tc>
      </w:tr>
    </w:tbl>
    <w:p>
      <w:pPr>
        <w:spacing w:line="360" w:lineRule="auto"/>
        <w:ind w:firstLine="480" w:firstLineChars="200"/>
        <w:rPr>
          <w:rFonts w:hint="eastAsia"/>
          <w:sz w:val="24"/>
          <w:szCs w:val="22"/>
        </w:rPr>
      </w:pPr>
      <w:r>
        <w:rPr>
          <w:rFonts w:ascii="宋体" w:hAnsi="宋体"/>
          <w:sz w:val="24"/>
        </w:rPr>
        <w:t>具体来说，露头样品干酪根类型指数为-33</w:t>
      </w:r>
      <w:r>
        <w:rPr>
          <w:rFonts w:hint="eastAsia" w:ascii="宋体" w:hAnsi="宋体"/>
          <w:sz w:val="24"/>
        </w:rPr>
        <w:t>～</w:t>
      </w:r>
      <w:r>
        <w:rPr>
          <w:rFonts w:ascii="宋体" w:hAnsi="宋体"/>
          <w:sz w:val="24"/>
        </w:rPr>
        <w:t>81.5，均值</w:t>
      </w:r>
      <w:r>
        <w:rPr>
          <w:rFonts w:hint="eastAsia" w:ascii="宋体" w:hAnsi="宋体"/>
          <w:sz w:val="24"/>
          <w:lang w:val="en-US" w:eastAsia="zh-CN"/>
        </w:rPr>
        <w:t>26.2</w:t>
      </w:r>
      <w:r>
        <w:rPr>
          <w:rFonts w:ascii="宋体" w:hAnsi="宋体"/>
          <w:sz w:val="24"/>
        </w:rPr>
        <w:t>；</w:t>
      </w:r>
      <w:r>
        <w:rPr>
          <w:rFonts w:hint="eastAsia" w:ascii="宋体" w:hAnsi="宋体"/>
          <w:sz w:val="24"/>
        </w:rPr>
        <w:t>类</w:t>
      </w:r>
      <w:r>
        <w:rPr>
          <w:rFonts w:ascii="宋体" w:hAnsi="宋体"/>
          <w:sz w:val="24"/>
        </w:rPr>
        <w:t>型以</w:t>
      </w:r>
      <w:r>
        <w:rPr>
          <w:rFonts w:hint="eastAsia" w:ascii="宋体" w:hAnsi="宋体" w:cs="宋体"/>
          <w:sz w:val="24"/>
        </w:rPr>
        <w:t>Ⅱ</w:t>
      </w:r>
      <w:r>
        <w:rPr>
          <w:rFonts w:ascii="宋体" w:hAnsi="宋体"/>
          <w:sz w:val="24"/>
          <w:vertAlign w:val="subscript"/>
        </w:rPr>
        <w:t>1</w:t>
      </w:r>
      <w:r>
        <w:rPr>
          <w:rFonts w:ascii="宋体" w:hAnsi="宋体"/>
          <w:sz w:val="24"/>
        </w:rPr>
        <w:t>型（52%）和</w:t>
      </w:r>
      <w:r>
        <w:rPr>
          <w:rFonts w:hint="eastAsia" w:ascii="宋体" w:hAnsi="宋体" w:cs="宋体"/>
          <w:sz w:val="24"/>
        </w:rPr>
        <w:t>Ⅲ</w:t>
      </w:r>
      <w:r>
        <w:rPr>
          <w:rFonts w:ascii="宋体" w:hAnsi="宋体"/>
          <w:sz w:val="24"/>
        </w:rPr>
        <w:t>（36%）型为主，</w:t>
      </w:r>
      <w:r>
        <w:rPr>
          <w:rFonts w:hint="eastAsia" w:ascii="宋体" w:hAnsi="宋体" w:cs="宋体"/>
          <w:sz w:val="24"/>
        </w:rPr>
        <w:t>Ⅱ</w:t>
      </w:r>
      <w:r>
        <w:rPr>
          <w:rFonts w:ascii="宋体" w:hAnsi="宋体"/>
          <w:sz w:val="24"/>
          <w:vertAlign w:val="subscript"/>
        </w:rPr>
        <w:t>2</w:t>
      </w:r>
      <w:r>
        <w:rPr>
          <w:rFonts w:ascii="宋体" w:hAnsi="宋体"/>
          <w:sz w:val="24"/>
        </w:rPr>
        <w:t>型（8%）次之，</w:t>
      </w:r>
      <w:r>
        <w:rPr>
          <w:rFonts w:hint="eastAsia" w:ascii="宋体" w:hAnsi="宋体" w:cs="宋体"/>
          <w:sz w:val="24"/>
        </w:rPr>
        <w:t>Ⅰ</w:t>
      </w:r>
      <w:r>
        <w:rPr>
          <w:rFonts w:ascii="宋体" w:hAnsi="宋体"/>
          <w:sz w:val="24"/>
        </w:rPr>
        <w:t>型（4%）最少；钻孔样品干酪根类型指数为-18.5</w:t>
      </w:r>
      <w:r>
        <w:rPr>
          <w:rFonts w:hint="eastAsia" w:ascii="宋体" w:hAnsi="宋体"/>
          <w:sz w:val="24"/>
        </w:rPr>
        <w:t>～</w:t>
      </w:r>
      <w:r>
        <w:rPr>
          <w:rFonts w:ascii="宋体" w:hAnsi="宋体"/>
          <w:sz w:val="24"/>
        </w:rPr>
        <w:t>92.25，均值51,6，干酪根类型以</w:t>
      </w:r>
      <w:r>
        <w:rPr>
          <w:rFonts w:hint="eastAsia" w:ascii="宋体" w:hAnsi="宋体" w:cs="宋体"/>
          <w:sz w:val="24"/>
        </w:rPr>
        <w:t>Ⅱ</w:t>
      </w:r>
      <w:r>
        <w:rPr>
          <w:rFonts w:ascii="宋体" w:hAnsi="宋体"/>
          <w:sz w:val="24"/>
          <w:vertAlign w:val="subscript"/>
        </w:rPr>
        <w:t>1</w:t>
      </w:r>
      <w:r>
        <w:rPr>
          <w:rFonts w:ascii="宋体" w:hAnsi="宋体"/>
          <w:sz w:val="24"/>
        </w:rPr>
        <w:t>型（49%）和</w:t>
      </w:r>
      <w:r>
        <w:rPr>
          <w:rFonts w:hint="eastAsia" w:ascii="宋体" w:hAnsi="宋体" w:cs="宋体"/>
          <w:sz w:val="24"/>
        </w:rPr>
        <w:t>Ⅰ</w:t>
      </w:r>
      <w:r>
        <w:rPr>
          <w:rFonts w:ascii="宋体" w:hAnsi="宋体"/>
          <w:sz w:val="24"/>
        </w:rPr>
        <w:t>（36%）型为主，</w:t>
      </w:r>
      <w:r>
        <w:rPr>
          <w:rFonts w:hint="eastAsia" w:ascii="宋体" w:hAnsi="宋体" w:cs="宋体"/>
          <w:sz w:val="24"/>
        </w:rPr>
        <w:t>Ⅲ</w:t>
      </w:r>
      <w:r>
        <w:rPr>
          <w:rFonts w:ascii="宋体" w:hAnsi="宋体"/>
          <w:sz w:val="24"/>
        </w:rPr>
        <w:t>型（14%）次之，</w:t>
      </w:r>
      <w:r>
        <w:rPr>
          <w:rFonts w:hint="eastAsia" w:ascii="宋体" w:hAnsi="宋体" w:cs="宋体"/>
          <w:sz w:val="24"/>
        </w:rPr>
        <w:t>Ⅱ</w:t>
      </w:r>
      <w:r>
        <w:rPr>
          <w:rFonts w:ascii="宋体" w:hAnsi="宋体"/>
          <w:sz w:val="24"/>
          <w:vertAlign w:val="subscript"/>
        </w:rPr>
        <w:t>2</w:t>
      </w:r>
      <w:r>
        <w:rPr>
          <w:rFonts w:ascii="宋体" w:hAnsi="宋体"/>
          <w:sz w:val="24"/>
        </w:rPr>
        <w:t>型（11%）最少。</w:t>
      </w:r>
      <w:r>
        <w:rPr>
          <w:rFonts w:hint="eastAsia" w:ascii="宋体" w:hAnsi="宋体"/>
          <w:sz w:val="24"/>
        </w:rPr>
        <w:t>这一结果与野外露头结果相似，Ⅱ</w:t>
      </w:r>
      <w:r>
        <w:rPr>
          <w:rFonts w:hint="eastAsia" w:ascii="宋体" w:hAnsi="宋体"/>
          <w:sz w:val="24"/>
          <w:vertAlign w:val="subscript"/>
        </w:rPr>
        <w:t>1</w:t>
      </w:r>
      <w:r>
        <w:rPr>
          <w:rFonts w:hint="eastAsia" w:ascii="宋体" w:hAnsi="宋体"/>
          <w:sz w:val="24"/>
        </w:rPr>
        <w:t>型和Ⅱ</w:t>
      </w:r>
      <w:r>
        <w:rPr>
          <w:rFonts w:hint="eastAsia" w:ascii="宋体" w:hAnsi="宋体"/>
          <w:sz w:val="24"/>
          <w:vertAlign w:val="subscript"/>
        </w:rPr>
        <w:t>2</w:t>
      </w:r>
      <w:r>
        <w:rPr>
          <w:rFonts w:hint="eastAsia" w:ascii="宋体" w:hAnsi="宋体"/>
          <w:sz w:val="24"/>
        </w:rPr>
        <w:t>型干酪根都占总数的60%，相比之下有差异的是Ⅰ型和Ⅲ型干酪根，但两者之和所占比例Ⅰ型为40%，Ⅲ型为50%。</w:t>
      </w:r>
    </w:p>
    <w:p>
      <w:pPr>
        <w:spacing w:line="360" w:lineRule="auto"/>
        <w:ind w:firstLine="480"/>
        <w:rPr>
          <w:rFonts w:hint="eastAsia" w:eastAsia="宋体"/>
          <w:b/>
          <w:sz w:val="24"/>
          <w:lang w:eastAsia="zh-CN"/>
        </w:rPr>
      </w:pPr>
      <w:r>
        <w:rPr>
          <w:rFonts w:hint="eastAsia"/>
          <w:b/>
          <w:sz w:val="24"/>
          <w:lang w:eastAsia="zh-CN"/>
        </w:rPr>
        <w:t>三、有机质成熟度</w:t>
      </w:r>
    </w:p>
    <w:p>
      <w:pPr>
        <w:spacing w:line="360" w:lineRule="auto"/>
        <w:ind w:firstLine="480"/>
        <w:rPr>
          <w:b/>
          <w:bCs/>
          <w:sz w:val="30"/>
          <w:szCs w:val="30"/>
        </w:rPr>
      </w:pPr>
      <w:r>
        <w:rPr>
          <w:rFonts w:hint="eastAsia"/>
          <w:sz w:val="24"/>
        </w:rPr>
        <w:t>根据马东山组泥页岩色谱分析数据（表</w:t>
      </w:r>
      <w:r>
        <w:rPr>
          <w:sz w:val="24"/>
        </w:rPr>
        <w:t>3</w:t>
      </w:r>
      <w:r>
        <w:rPr>
          <w:rFonts w:hint="eastAsia"/>
          <w:sz w:val="24"/>
        </w:rPr>
        <w:t>）：碳优势指数（CPI）是反映有机质热演化程度的指标之一，一般越趋近于1.0，则泥页岩热演化程度越高；马东山组泥页岩CPI介于0.85~2.79，均值1.50（16），整体属于未成熟的生物化学生气阶；个别样品CPI&lt;1.20，到达热催化生油气的阶段。奇偶优势指数（OEP）也是反映有机质热演化程度指标，一般认为OEP&lt;1.2时，生油岩进入成熟阶段。</w:t>
      </w:r>
    </w:p>
    <w:p>
      <w:pPr>
        <w:spacing w:line="360" w:lineRule="auto"/>
        <w:rPr>
          <w:sz w:val="24"/>
        </w:rPr>
      </w:pPr>
      <w:r>
        <w:rPr>
          <w:rFonts w:hint="eastAsia"/>
          <w:sz w:val="24"/>
        </w:rPr>
        <w:t>马东山组泥页岩OEP介于1.07~1.59，均值1.28（16），其中六个样品OEP小于1.2，说明马东山组泥页岩整体属于未成熟-成熟阶段。马东山组</w:t>
      </w:r>
      <w:r>
        <w:rPr>
          <w:sz w:val="24"/>
        </w:rPr>
        <w:t>Pr/ nC</w:t>
      </w:r>
      <w:r>
        <w:rPr>
          <w:sz w:val="24"/>
          <w:vertAlign w:val="subscript"/>
        </w:rPr>
        <w:t>17</w:t>
      </w:r>
      <w:r>
        <w:rPr>
          <w:rFonts w:hint="eastAsia"/>
          <w:sz w:val="24"/>
        </w:rPr>
        <w:t>介于0.75~3.11，均值1.71（16），仅2个值小于1.0，反映了该泥页岩为有藻类输入的厌氧沉积环境，其较高的均值亦反映了整体成熟度较低的特征。马东山组</w:t>
      </w:r>
      <w:r>
        <w:rPr>
          <w:sz w:val="24"/>
        </w:rPr>
        <w:t>Ph/nC</w:t>
      </w:r>
      <w:r>
        <w:rPr>
          <w:sz w:val="24"/>
          <w:vertAlign w:val="subscript"/>
        </w:rPr>
        <w:t>18</w:t>
      </w:r>
      <w:r>
        <w:rPr>
          <w:rFonts w:hint="eastAsia"/>
          <w:sz w:val="24"/>
        </w:rPr>
        <w:t>介于0.91~19.75，均值7.07（16），仅1个值小于1.0，反映了该泥页岩沉积于较强的还原环境，并且曾经有古细菌侵入的埋藏特征。马东山组</w:t>
      </w:r>
      <w:r>
        <w:rPr>
          <w:sz w:val="24"/>
        </w:rPr>
        <w:t>Pr/Ph</w:t>
      </w:r>
      <w:r>
        <w:rPr>
          <w:rFonts w:hint="eastAsia"/>
          <w:sz w:val="24"/>
        </w:rPr>
        <w:t>介于0.1~0.86，均值0.36（16），反映了马东山组泥页岩为度较高的湖相还原环境沉积产物，处于低成熟阶段。</w:t>
      </w:r>
      <w:r>
        <w:rPr>
          <w:rFonts w:hint="eastAsia"/>
          <w:b/>
          <w:bCs/>
          <w:sz w:val="18"/>
          <w:szCs w:val="18"/>
        </w:rPr>
        <w:t xml:space="preserve"> </w:t>
      </w:r>
      <w:r>
        <w:rPr>
          <w:rFonts w:hint="eastAsia"/>
          <w:sz w:val="24"/>
        </w:rPr>
        <w:t>马东山组泥页岩有机质主碳峰为C</w:t>
      </w:r>
      <w:r>
        <w:rPr>
          <w:rFonts w:hint="eastAsia"/>
          <w:sz w:val="24"/>
          <w:vertAlign w:val="subscript"/>
        </w:rPr>
        <w:t>23</w:t>
      </w:r>
      <w:r>
        <w:rPr>
          <w:rFonts w:hint="eastAsia"/>
          <w:sz w:val="24"/>
        </w:rPr>
        <w:t>，反映了有机质来源以沉水和浮叶维管植物为主，现今以正构烷烃为主的特征。另外，</w:t>
      </w:r>
      <w:r>
        <w:rPr>
          <w:sz w:val="24"/>
          <w:szCs w:val="21"/>
        </w:rPr>
        <w:t>C</w:t>
      </w:r>
      <w:r>
        <w:rPr>
          <w:sz w:val="24"/>
          <w:szCs w:val="21"/>
          <w:vertAlign w:val="subscript"/>
        </w:rPr>
        <w:t>21</w:t>
      </w:r>
      <w:r>
        <w:rPr>
          <w:sz w:val="24"/>
          <w:szCs w:val="21"/>
        </w:rPr>
        <w:t>+C</w:t>
      </w:r>
      <w:r>
        <w:rPr>
          <w:sz w:val="24"/>
          <w:szCs w:val="21"/>
          <w:vertAlign w:val="subscript"/>
        </w:rPr>
        <w:t>22</w:t>
      </w:r>
      <w:r>
        <w:rPr>
          <w:rFonts w:hint="eastAsia"/>
          <w:sz w:val="24"/>
          <w:szCs w:val="21"/>
        </w:rPr>
        <w:t>/</w:t>
      </w:r>
      <w:r>
        <w:rPr>
          <w:sz w:val="24"/>
          <w:szCs w:val="21"/>
        </w:rPr>
        <w:t>C</w:t>
      </w:r>
      <w:r>
        <w:rPr>
          <w:sz w:val="24"/>
          <w:szCs w:val="21"/>
          <w:vertAlign w:val="subscript"/>
        </w:rPr>
        <w:t>28</w:t>
      </w:r>
      <w:r>
        <w:rPr>
          <w:sz w:val="24"/>
          <w:szCs w:val="21"/>
        </w:rPr>
        <w:t>+C</w:t>
      </w:r>
      <w:r>
        <w:rPr>
          <w:sz w:val="24"/>
          <w:szCs w:val="21"/>
          <w:vertAlign w:val="subscript"/>
        </w:rPr>
        <w:t>29</w:t>
      </w:r>
      <w:r>
        <w:rPr>
          <w:rFonts w:hint="eastAsia"/>
          <w:sz w:val="24"/>
          <w:szCs w:val="21"/>
        </w:rPr>
        <w:t>介于0.90~3.65，均值1.68；</w:t>
      </w:r>
      <w:r>
        <w:rPr>
          <w:sz w:val="24"/>
          <w:szCs w:val="21"/>
        </w:rPr>
        <w:sym w:font="Symbol" w:char="F053"/>
      </w:r>
      <w:r>
        <w:rPr>
          <w:sz w:val="24"/>
          <w:szCs w:val="21"/>
        </w:rPr>
        <w:t>C</w:t>
      </w:r>
      <w:r>
        <w:rPr>
          <w:sz w:val="24"/>
          <w:szCs w:val="21"/>
          <w:vertAlign w:val="subscript"/>
        </w:rPr>
        <w:t>21</w:t>
      </w:r>
      <w:r>
        <w:rPr>
          <w:sz w:val="24"/>
          <w:szCs w:val="21"/>
          <w:vertAlign w:val="superscript"/>
        </w:rPr>
        <w:t>-</w:t>
      </w:r>
      <w:r>
        <w:rPr>
          <w:rFonts w:hint="eastAsia"/>
          <w:sz w:val="24"/>
          <w:szCs w:val="21"/>
        </w:rPr>
        <w:t>/</w:t>
      </w:r>
      <w:r>
        <w:rPr>
          <w:sz w:val="24"/>
          <w:szCs w:val="21"/>
        </w:rPr>
        <w:sym w:font="Symbol" w:char="F053"/>
      </w:r>
      <w:r>
        <w:rPr>
          <w:sz w:val="24"/>
          <w:szCs w:val="21"/>
        </w:rPr>
        <w:t>C</w:t>
      </w:r>
      <w:r>
        <w:rPr>
          <w:sz w:val="24"/>
          <w:szCs w:val="21"/>
          <w:vertAlign w:val="subscript"/>
        </w:rPr>
        <w:t>22</w:t>
      </w:r>
      <w:r>
        <w:rPr>
          <w:sz w:val="24"/>
          <w:szCs w:val="21"/>
          <w:vertAlign w:val="superscript"/>
        </w:rPr>
        <w:t>+</w:t>
      </w:r>
      <w:r>
        <w:rPr>
          <w:rFonts w:hint="eastAsia"/>
          <w:sz w:val="24"/>
          <w:szCs w:val="21"/>
        </w:rPr>
        <w:t>介于0.40~0.74，均值0.56。</w:t>
      </w:r>
    </w:p>
    <w:p>
      <w:pPr>
        <w:spacing w:before="156" w:beforeLines="50" w:after="156" w:afterLines="50" w:line="360" w:lineRule="auto"/>
        <w:ind w:firstLine="103" w:firstLineChars="49"/>
        <w:jc w:val="center"/>
        <w:rPr>
          <w:rFonts w:ascii="宋体" w:hAnsi="宋体"/>
          <w:b/>
          <w:szCs w:val="21"/>
        </w:rPr>
      </w:pPr>
      <w:r>
        <w:rPr>
          <w:rFonts w:hint="eastAsia" w:ascii="宋体" w:hAnsi="宋体"/>
          <w:b/>
          <w:szCs w:val="21"/>
        </w:rPr>
        <w:t>表</w:t>
      </w:r>
      <w:r>
        <w:rPr>
          <w:rFonts w:ascii="宋体" w:hAnsi="宋体"/>
          <w:b/>
          <w:szCs w:val="21"/>
        </w:rPr>
        <w:t xml:space="preserve">3 </w:t>
      </w:r>
      <w:r>
        <w:rPr>
          <w:rFonts w:hint="eastAsia" w:ascii="宋体" w:hAnsi="宋体"/>
          <w:b/>
          <w:szCs w:val="21"/>
        </w:rPr>
        <w:t xml:space="preserve"> 马东山组泥页岩饱和烃色谱数据统计表  </w:t>
      </w:r>
    </w:p>
    <w:tbl>
      <w:tblPr>
        <w:tblStyle w:val="5"/>
        <w:tblW w:w="8306"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595"/>
        <w:gridCol w:w="613"/>
        <w:gridCol w:w="980"/>
        <w:gridCol w:w="985"/>
        <w:gridCol w:w="980"/>
        <w:gridCol w:w="997"/>
        <w:gridCol w:w="1081"/>
        <w:gridCol w:w="1100"/>
        <w:gridCol w:w="97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c>
          <w:tcPr>
            <w:tcW w:w="595" w:type="dxa"/>
            <w:shd w:val="clear" w:color="auto" w:fill="auto"/>
            <w:vAlign w:val="center"/>
          </w:tcPr>
          <w:p>
            <w:pPr>
              <w:jc w:val="center"/>
              <w:rPr>
                <w:szCs w:val="21"/>
              </w:rPr>
            </w:pPr>
            <w:r>
              <w:rPr>
                <w:szCs w:val="21"/>
              </w:rPr>
              <w:t>层位</w:t>
            </w:r>
          </w:p>
        </w:tc>
        <w:tc>
          <w:tcPr>
            <w:tcW w:w="613" w:type="dxa"/>
            <w:shd w:val="clear" w:color="auto" w:fill="auto"/>
            <w:vAlign w:val="center"/>
          </w:tcPr>
          <w:p>
            <w:pPr>
              <w:jc w:val="center"/>
              <w:rPr>
                <w:szCs w:val="21"/>
              </w:rPr>
            </w:pPr>
            <w:r>
              <w:rPr>
                <w:szCs w:val="21"/>
              </w:rPr>
              <w:t>主峰碳</w:t>
            </w:r>
          </w:p>
        </w:tc>
        <w:tc>
          <w:tcPr>
            <w:tcW w:w="980" w:type="dxa"/>
            <w:shd w:val="clear" w:color="auto" w:fill="auto"/>
            <w:vAlign w:val="center"/>
          </w:tcPr>
          <w:p>
            <w:pPr>
              <w:jc w:val="center"/>
              <w:rPr>
                <w:szCs w:val="21"/>
              </w:rPr>
            </w:pPr>
            <w:r>
              <w:rPr>
                <w:szCs w:val="21"/>
              </w:rPr>
              <w:t>CPI</w:t>
            </w:r>
          </w:p>
        </w:tc>
        <w:tc>
          <w:tcPr>
            <w:tcW w:w="985" w:type="dxa"/>
            <w:shd w:val="clear" w:color="auto" w:fill="auto"/>
            <w:vAlign w:val="center"/>
          </w:tcPr>
          <w:p>
            <w:pPr>
              <w:jc w:val="center"/>
              <w:rPr>
                <w:szCs w:val="21"/>
              </w:rPr>
            </w:pPr>
            <w:r>
              <w:rPr>
                <w:szCs w:val="21"/>
              </w:rPr>
              <w:t>OEP</w:t>
            </w:r>
          </w:p>
        </w:tc>
        <w:tc>
          <w:tcPr>
            <w:tcW w:w="980" w:type="dxa"/>
            <w:shd w:val="clear" w:color="auto" w:fill="auto"/>
            <w:vAlign w:val="center"/>
          </w:tcPr>
          <w:p>
            <w:pPr>
              <w:jc w:val="center"/>
              <w:rPr>
                <w:szCs w:val="21"/>
                <w:u w:val="single"/>
              </w:rPr>
            </w:pPr>
            <w:r>
              <w:rPr>
                <w:szCs w:val="21"/>
                <w:u w:val="single"/>
              </w:rPr>
              <w:t>C</w:t>
            </w:r>
            <w:r>
              <w:rPr>
                <w:szCs w:val="21"/>
                <w:u w:val="single"/>
                <w:vertAlign w:val="subscript"/>
              </w:rPr>
              <w:t>21</w:t>
            </w:r>
            <w:r>
              <w:rPr>
                <w:szCs w:val="21"/>
                <w:u w:val="single"/>
              </w:rPr>
              <w:t>+C</w:t>
            </w:r>
            <w:r>
              <w:rPr>
                <w:szCs w:val="21"/>
                <w:u w:val="single"/>
                <w:vertAlign w:val="subscript"/>
              </w:rPr>
              <w:t>22</w:t>
            </w:r>
          </w:p>
          <w:p>
            <w:pPr>
              <w:jc w:val="center"/>
              <w:rPr>
                <w:szCs w:val="21"/>
              </w:rPr>
            </w:pPr>
            <w:r>
              <w:rPr>
                <w:szCs w:val="21"/>
              </w:rPr>
              <w:t>C</w:t>
            </w:r>
            <w:r>
              <w:rPr>
                <w:szCs w:val="21"/>
                <w:vertAlign w:val="subscript"/>
              </w:rPr>
              <w:t>28</w:t>
            </w:r>
            <w:r>
              <w:rPr>
                <w:szCs w:val="21"/>
              </w:rPr>
              <w:t>+C</w:t>
            </w:r>
            <w:r>
              <w:rPr>
                <w:szCs w:val="21"/>
                <w:vertAlign w:val="subscript"/>
              </w:rPr>
              <w:t>29</w:t>
            </w:r>
          </w:p>
        </w:tc>
        <w:tc>
          <w:tcPr>
            <w:tcW w:w="997" w:type="dxa"/>
            <w:shd w:val="clear" w:color="auto" w:fill="auto"/>
            <w:vAlign w:val="center"/>
          </w:tcPr>
          <w:p>
            <w:pPr>
              <w:jc w:val="center"/>
              <w:rPr>
                <w:szCs w:val="21"/>
                <w:vertAlign w:val="superscript"/>
              </w:rPr>
            </w:pPr>
            <w:r>
              <w:rPr>
                <w:szCs w:val="21"/>
                <w:u w:val="single"/>
              </w:rPr>
              <w:sym w:font="Symbol" w:char="F053"/>
            </w:r>
            <w:r>
              <w:rPr>
                <w:szCs w:val="21"/>
                <w:u w:val="single"/>
              </w:rPr>
              <w:t>C</w:t>
            </w:r>
            <w:r>
              <w:rPr>
                <w:szCs w:val="21"/>
                <w:u w:val="single"/>
                <w:vertAlign w:val="subscript"/>
              </w:rPr>
              <w:t>21</w:t>
            </w:r>
            <w:r>
              <w:rPr>
                <w:szCs w:val="21"/>
                <w:vertAlign w:val="superscript"/>
              </w:rPr>
              <w:t>-</w:t>
            </w:r>
          </w:p>
          <w:p>
            <w:pPr>
              <w:jc w:val="center"/>
              <w:rPr>
                <w:szCs w:val="21"/>
              </w:rPr>
            </w:pPr>
            <w:r>
              <w:rPr>
                <w:szCs w:val="21"/>
              </w:rPr>
              <w:sym w:font="Symbol" w:char="F053"/>
            </w:r>
            <w:r>
              <w:rPr>
                <w:szCs w:val="21"/>
              </w:rPr>
              <w:t>C</w:t>
            </w:r>
            <w:r>
              <w:rPr>
                <w:szCs w:val="21"/>
                <w:vertAlign w:val="subscript"/>
              </w:rPr>
              <w:t>22</w:t>
            </w:r>
            <w:r>
              <w:rPr>
                <w:szCs w:val="21"/>
                <w:vertAlign w:val="superscript"/>
              </w:rPr>
              <w:t>+</w:t>
            </w:r>
          </w:p>
        </w:tc>
        <w:tc>
          <w:tcPr>
            <w:tcW w:w="1081" w:type="dxa"/>
            <w:shd w:val="clear" w:color="auto" w:fill="auto"/>
            <w:vAlign w:val="center"/>
          </w:tcPr>
          <w:p>
            <w:pPr>
              <w:jc w:val="center"/>
              <w:rPr>
                <w:szCs w:val="21"/>
              </w:rPr>
            </w:pPr>
            <w:r>
              <w:rPr>
                <w:szCs w:val="21"/>
              </w:rPr>
              <w:t>Pr/nC</w:t>
            </w:r>
            <w:r>
              <w:rPr>
                <w:szCs w:val="21"/>
                <w:vertAlign w:val="subscript"/>
              </w:rPr>
              <w:t>17</w:t>
            </w:r>
          </w:p>
        </w:tc>
        <w:tc>
          <w:tcPr>
            <w:tcW w:w="1100" w:type="dxa"/>
            <w:shd w:val="clear" w:color="auto" w:fill="auto"/>
            <w:vAlign w:val="center"/>
          </w:tcPr>
          <w:p>
            <w:pPr>
              <w:jc w:val="center"/>
              <w:rPr>
                <w:szCs w:val="21"/>
              </w:rPr>
            </w:pPr>
            <w:r>
              <w:rPr>
                <w:szCs w:val="21"/>
              </w:rPr>
              <w:t>Pr/nC</w:t>
            </w:r>
            <w:r>
              <w:rPr>
                <w:szCs w:val="21"/>
                <w:vertAlign w:val="subscript"/>
              </w:rPr>
              <w:t>18</w:t>
            </w:r>
          </w:p>
        </w:tc>
        <w:tc>
          <w:tcPr>
            <w:tcW w:w="975" w:type="dxa"/>
            <w:shd w:val="clear" w:color="auto" w:fill="auto"/>
            <w:vAlign w:val="center"/>
          </w:tcPr>
          <w:p>
            <w:pPr>
              <w:jc w:val="center"/>
              <w:rPr>
                <w:szCs w:val="21"/>
              </w:rPr>
            </w:pPr>
            <w:r>
              <w:rPr>
                <w:szCs w:val="21"/>
              </w:rPr>
              <w:t>Pr/Ph</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0" w:type="dxa"/>
            <w:bottom w:w="0" w:type="dxa"/>
            <w:right w:w="0" w:type="dxa"/>
          </w:tblCellMar>
        </w:tblPrEx>
        <w:tc>
          <w:tcPr>
            <w:tcW w:w="595" w:type="dxa"/>
            <w:shd w:val="clear" w:color="auto" w:fill="auto"/>
            <w:vAlign w:val="center"/>
          </w:tcPr>
          <w:p>
            <w:pPr>
              <w:jc w:val="center"/>
              <w:rPr>
                <w:szCs w:val="21"/>
              </w:rPr>
            </w:pPr>
            <w:r>
              <w:rPr>
                <w:szCs w:val="21"/>
              </w:rPr>
              <w:t>K</w:t>
            </w:r>
            <w:r>
              <w:rPr>
                <w:szCs w:val="21"/>
                <w:vertAlign w:val="subscript"/>
              </w:rPr>
              <w:t>1</w:t>
            </w:r>
            <w:r>
              <w:rPr>
                <w:i/>
                <w:szCs w:val="21"/>
              </w:rPr>
              <w:t>m</w:t>
            </w:r>
          </w:p>
        </w:tc>
        <w:tc>
          <w:tcPr>
            <w:tcW w:w="613" w:type="dxa"/>
            <w:shd w:val="clear" w:color="auto" w:fill="auto"/>
            <w:vAlign w:val="center"/>
          </w:tcPr>
          <w:p>
            <w:pPr>
              <w:jc w:val="center"/>
              <w:rPr>
                <w:szCs w:val="21"/>
              </w:rPr>
            </w:pPr>
            <w:r>
              <w:rPr>
                <w:szCs w:val="21"/>
              </w:rPr>
              <w:t>C</w:t>
            </w:r>
            <w:r>
              <w:rPr>
                <w:szCs w:val="21"/>
                <w:vertAlign w:val="subscript"/>
              </w:rPr>
              <w:t>23</w:t>
            </w:r>
          </w:p>
        </w:tc>
        <w:tc>
          <w:tcPr>
            <w:tcW w:w="980" w:type="dxa"/>
            <w:shd w:val="clear" w:color="auto" w:fill="auto"/>
            <w:vAlign w:val="center"/>
          </w:tcPr>
          <w:p>
            <w:pPr>
              <w:jc w:val="center"/>
              <w:rPr>
                <w:szCs w:val="21"/>
                <w:u w:val="single"/>
              </w:rPr>
            </w:pPr>
            <w:r>
              <w:rPr>
                <w:szCs w:val="21"/>
                <w:u w:val="single"/>
              </w:rPr>
              <w:t>0.85~2.79</w:t>
            </w:r>
          </w:p>
          <w:p>
            <w:pPr>
              <w:jc w:val="center"/>
              <w:rPr>
                <w:szCs w:val="21"/>
              </w:rPr>
            </w:pPr>
            <w:r>
              <w:rPr>
                <w:szCs w:val="21"/>
              </w:rPr>
              <w:t>1.50(16)</w:t>
            </w:r>
          </w:p>
        </w:tc>
        <w:tc>
          <w:tcPr>
            <w:tcW w:w="985" w:type="dxa"/>
            <w:shd w:val="clear" w:color="auto" w:fill="auto"/>
            <w:vAlign w:val="center"/>
          </w:tcPr>
          <w:p>
            <w:pPr>
              <w:jc w:val="center"/>
              <w:rPr>
                <w:szCs w:val="21"/>
                <w:u w:val="single"/>
              </w:rPr>
            </w:pPr>
            <w:r>
              <w:rPr>
                <w:szCs w:val="21"/>
                <w:u w:val="single"/>
              </w:rPr>
              <w:t>1.07~1.59</w:t>
            </w:r>
          </w:p>
          <w:p>
            <w:pPr>
              <w:jc w:val="center"/>
              <w:rPr>
                <w:b/>
                <w:szCs w:val="21"/>
              </w:rPr>
            </w:pPr>
            <w:r>
              <w:rPr>
                <w:szCs w:val="21"/>
              </w:rPr>
              <w:t>1.28(16)</w:t>
            </w:r>
          </w:p>
        </w:tc>
        <w:tc>
          <w:tcPr>
            <w:tcW w:w="980" w:type="dxa"/>
            <w:shd w:val="clear" w:color="auto" w:fill="auto"/>
            <w:vAlign w:val="center"/>
          </w:tcPr>
          <w:p>
            <w:pPr>
              <w:jc w:val="center"/>
              <w:rPr>
                <w:szCs w:val="21"/>
                <w:u w:val="single"/>
              </w:rPr>
            </w:pPr>
            <w:r>
              <w:rPr>
                <w:rFonts w:hint="eastAsia"/>
                <w:szCs w:val="21"/>
                <w:u w:val="single"/>
              </w:rPr>
              <w:t>0.90</w:t>
            </w:r>
            <w:r>
              <w:rPr>
                <w:szCs w:val="21"/>
                <w:u w:val="single"/>
              </w:rPr>
              <w:t>~</w:t>
            </w:r>
            <w:r>
              <w:rPr>
                <w:rFonts w:hint="eastAsia"/>
                <w:szCs w:val="21"/>
                <w:u w:val="single"/>
              </w:rPr>
              <w:t>3.65</w:t>
            </w:r>
          </w:p>
          <w:p>
            <w:pPr>
              <w:jc w:val="center"/>
              <w:rPr>
                <w:szCs w:val="21"/>
                <w:u w:val="single"/>
              </w:rPr>
            </w:pPr>
            <w:r>
              <w:rPr>
                <w:szCs w:val="21"/>
              </w:rPr>
              <w:t>1.</w:t>
            </w:r>
            <w:r>
              <w:rPr>
                <w:rFonts w:hint="eastAsia"/>
                <w:szCs w:val="21"/>
              </w:rPr>
              <w:t>68</w:t>
            </w:r>
            <w:r>
              <w:rPr>
                <w:szCs w:val="21"/>
              </w:rPr>
              <w:t>(16)</w:t>
            </w:r>
          </w:p>
        </w:tc>
        <w:tc>
          <w:tcPr>
            <w:tcW w:w="997" w:type="dxa"/>
            <w:shd w:val="clear" w:color="auto" w:fill="auto"/>
            <w:vAlign w:val="center"/>
          </w:tcPr>
          <w:p>
            <w:pPr>
              <w:jc w:val="center"/>
              <w:rPr>
                <w:szCs w:val="21"/>
                <w:u w:val="single"/>
              </w:rPr>
            </w:pPr>
            <w:r>
              <w:rPr>
                <w:szCs w:val="21"/>
                <w:u w:val="single"/>
              </w:rPr>
              <w:t>0.</w:t>
            </w:r>
            <w:r>
              <w:rPr>
                <w:rFonts w:hint="eastAsia"/>
                <w:szCs w:val="21"/>
                <w:u w:val="single"/>
              </w:rPr>
              <w:t>40</w:t>
            </w:r>
            <w:r>
              <w:rPr>
                <w:szCs w:val="21"/>
                <w:u w:val="single"/>
              </w:rPr>
              <w:t>~0.74</w:t>
            </w:r>
          </w:p>
          <w:p>
            <w:pPr>
              <w:jc w:val="center"/>
              <w:rPr>
                <w:szCs w:val="21"/>
                <w:u w:val="single"/>
              </w:rPr>
            </w:pPr>
            <w:r>
              <w:rPr>
                <w:szCs w:val="21"/>
              </w:rPr>
              <w:t>0.56(16)</w:t>
            </w:r>
          </w:p>
        </w:tc>
        <w:tc>
          <w:tcPr>
            <w:tcW w:w="1081" w:type="dxa"/>
            <w:shd w:val="clear" w:color="auto" w:fill="auto"/>
            <w:vAlign w:val="center"/>
          </w:tcPr>
          <w:p>
            <w:pPr>
              <w:jc w:val="center"/>
              <w:rPr>
                <w:szCs w:val="21"/>
                <w:u w:val="single"/>
              </w:rPr>
            </w:pPr>
            <w:r>
              <w:rPr>
                <w:rFonts w:hint="eastAsia"/>
                <w:szCs w:val="21"/>
                <w:u w:val="single"/>
              </w:rPr>
              <w:t>0.75</w:t>
            </w:r>
            <w:r>
              <w:rPr>
                <w:szCs w:val="21"/>
                <w:u w:val="single"/>
              </w:rPr>
              <w:t>~</w:t>
            </w:r>
            <w:r>
              <w:rPr>
                <w:rFonts w:hint="eastAsia"/>
                <w:szCs w:val="21"/>
                <w:u w:val="single"/>
              </w:rPr>
              <w:t>3.11</w:t>
            </w:r>
          </w:p>
          <w:p>
            <w:pPr>
              <w:jc w:val="center"/>
              <w:rPr>
                <w:szCs w:val="21"/>
              </w:rPr>
            </w:pPr>
            <w:r>
              <w:rPr>
                <w:szCs w:val="21"/>
              </w:rPr>
              <w:t>1.</w:t>
            </w:r>
            <w:r>
              <w:rPr>
                <w:rFonts w:hint="eastAsia"/>
                <w:szCs w:val="21"/>
              </w:rPr>
              <w:t>71</w:t>
            </w:r>
            <w:r>
              <w:rPr>
                <w:szCs w:val="21"/>
              </w:rPr>
              <w:t>(16)</w:t>
            </w:r>
          </w:p>
        </w:tc>
        <w:tc>
          <w:tcPr>
            <w:tcW w:w="1100" w:type="dxa"/>
            <w:shd w:val="clear" w:color="auto" w:fill="auto"/>
            <w:vAlign w:val="center"/>
          </w:tcPr>
          <w:p>
            <w:pPr>
              <w:jc w:val="center"/>
              <w:rPr>
                <w:szCs w:val="21"/>
                <w:u w:val="single"/>
              </w:rPr>
            </w:pPr>
            <w:r>
              <w:rPr>
                <w:rFonts w:hint="eastAsia"/>
                <w:szCs w:val="21"/>
                <w:u w:val="single"/>
              </w:rPr>
              <w:t>0.91</w:t>
            </w:r>
            <w:r>
              <w:rPr>
                <w:szCs w:val="21"/>
                <w:u w:val="single"/>
              </w:rPr>
              <w:t>~</w:t>
            </w:r>
            <w:r>
              <w:rPr>
                <w:rFonts w:hint="eastAsia"/>
                <w:szCs w:val="21"/>
                <w:u w:val="single"/>
              </w:rPr>
              <w:t>19.75</w:t>
            </w:r>
          </w:p>
          <w:p>
            <w:pPr>
              <w:jc w:val="center"/>
              <w:rPr>
                <w:szCs w:val="21"/>
              </w:rPr>
            </w:pPr>
            <w:r>
              <w:rPr>
                <w:rFonts w:hint="eastAsia"/>
                <w:szCs w:val="21"/>
              </w:rPr>
              <w:t>7.07</w:t>
            </w:r>
            <w:r>
              <w:rPr>
                <w:szCs w:val="21"/>
              </w:rPr>
              <w:t>(16)</w:t>
            </w:r>
          </w:p>
        </w:tc>
        <w:tc>
          <w:tcPr>
            <w:tcW w:w="975" w:type="dxa"/>
            <w:shd w:val="clear" w:color="auto" w:fill="auto"/>
            <w:vAlign w:val="center"/>
          </w:tcPr>
          <w:p>
            <w:pPr>
              <w:jc w:val="center"/>
              <w:rPr>
                <w:szCs w:val="21"/>
                <w:u w:val="single"/>
              </w:rPr>
            </w:pPr>
            <w:r>
              <w:rPr>
                <w:rFonts w:hint="eastAsia"/>
                <w:szCs w:val="21"/>
                <w:u w:val="single"/>
              </w:rPr>
              <w:t>0.10</w:t>
            </w:r>
            <w:r>
              <w:rPr>
                <w:szCs w:val="21"/>
                <w:u w:val="single"/>
              </w:rPr>
              <w:t>~</w:t>
            </w:r>
            <w:r>
              <w:rPr>
                <w:rFonts w:hint="eastAsia"/>
                <w:szCs w:val="21"/>
                <w:u w:val="single"/>
              </w:rPr>
              <w:t>0.86</w:t>
            </w:r>
          </w:p>
          <w:p>
            <w:pPr>
              <w:jc w:val="center"/>
              <w:rPr>
                <w:szCs w:val="21"/>
              </w:rPr>
            </w:pPr>
            <w:r>
              <w:rPr>
                <w:rFonts w:hint="eastAsia"/>
                <w:szCs w:val="21"/>
              </w:rPr>
              <w:t>0.36</w:t>
            </w:r>
            <w:r>
              <w:rPr>
                <w:szCs w:val="21"/>
              </w:rPr>
              <w:t>(16)</w:t>
            </w:r>
          </w:p>
        </w:tc>
      </w:tr>
    </w:tbl>
    <w:p>
      <w:pPr>
        <w:spacing w:before="156" w:beforeLines="50" w:line="360" w:lineRule="auto"/>
        <w:ind w:firstLine="480" w:firstLineChars="200"/>
        <w:rPr>
          <w:sz w:val="24"/>
        </w:rPr>
      </w:pPr>
      <w:r>
        <w:rPr>
          <w:rFonts w:hint="eastAsia"/>
          <w:sz w:val="24"/>
        </w:rPr>
        <w:t>根据图</w:t>
      </w:r>
      <w:r>
        <w:rPr>
          <w:rFonts w:hint="eastAsia"/>
          <w:sz w:val="24"/>
          <w:lang w:val="en-US" w:eastAsia="zh-CN"/>
        </w:rPr>
        <w:t>2</w:t>
      </w:r>
      <w:r>
        <w:rPr>
          <w:rFonts w:hint="eastAsia"/>
          <w:sz w:val="24"/>
        </w:rPr>
        <w:t>可知，马东山组泥页岩中的</w:t>
      </w:r>
      <w:r>
        <w:rPr>
          <w:rFonts w:hint="eastAsia" w:ascii="宋体" w:hAnsi="宋体"/>
          <w:sz w:val="24"/>
        </w:rPr>
        <w:t>Ⅲ型和Ⅱ</w:t>
      </w:r>
      <w:r>
        <w:rPr>
          <w:rFonts w:hint="eastAsia"/>
          <w:sz w:val="24"/>
          <w:vertAlign w:val="subscript"/>
        </w:rPr>
        <w:t>1</w:t>
      </w:r>
      <w:r>
        <w:rPr>
          <w:rFonts w:hint="eastAsia"/>
          <w:sz w:val="24"/>
        </w:rPr>
        <w:t>型</w:t>
      </w:r>
      <w:r>
        <w:rPr>
          <w:rFonts w:hint="eastAsia" w:ascii="宋体" w:hAnsi="宋体"/>
          <w:sz w:val="24"/>
        </w:rPr>
        <w:t>干酪根基本进入第一个热成因气产气高峰。因此</w:t>
      </w:r>
      <w:r>
        <w:rPr>
          <w:rFonts w:hint="eastAsia" w:ascii="宋体" w:hAnsi="宋体"/>
          <w:sz w:val="24"/>
          <w:lang w:val="en-US" w:eastAsia="zh-CN"/>
        </w:rPr>
        <w:t>，</w:t>
      </w:r>
      <w:r>
        <w:rPr>
          <w:rFonts w:hint="eastAsia" w:ascii="宋体" w:hAnsi="宋体"/>
          <w:sz w:val="24"/>
        </w:rPr>
        <w:t>马东山组泥页岩中所富集的烃类气体应当为生物成因气和部分热成因气的混合产物，加之早期生成的油尚未裂解成气，所以马东山组泥页岩为一套</w:t>
      </w:r>
      <w:r>
        <w:rPr>
          <w:sz w:val="24"/>
        </w:rPr>
        <w:t>油气共生</w:t>
      </w:r>
      <w:r>
        <w:rPr>
          <w:rFonts w:hint="eastAsia"/>
          <w:sz w:val="24"/>
        </w:rPr>
        <w:t>的非常规油气储层</w:t>
      </w:r>
      <w:r>
        <w:rPr>
          <w:sz w:val="24"/>
        </w:rPr>
        <w:t>，不排斥局部埋藏较深部位达到高成熟度阶段</w:t>
      </w:r>
      <w:r>
        <w:rPr>
          <w:rFonts w:hint="eastAsia"/>
          <w:sz w:val="24"/>
        </w:rPr>
        <w:t>而成气藏的可能性</w:t>
      </w:r>
      <w:r>
        <w:rPr>
          <w:sz w:val="24"/>
        </w:rPr>
        <w:t>。</w:t>
      </w:r>
    </w:p>
    <w:p>
      <w:pPr>
        <w:spacing w:line="360" w:lineRule="auto"/>
        <w:jc w:val="center"/>
        <w:rPr>
          <w:sz w:val="24"/>
        </w:rPr>
      </w:pPr>
      <w:r>
        <w:rPr>
          <w:sz w:val="24"/>
        </w:rPr>
        <w:drawing>
          <wp:inline distT="0" distB="0" distL="114300" distR="114300">
            <wp:extent cx="4201795" cy="2075815"/>
            <wp:effectExtent l="0" t="0" r="8255" b="635"/>
            <wp:docPr id="19" name="图片 29" descr="C:\Users\lenovo\Desktop\不同类型干酪根生气强度.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9" descr="C:\Users\lenovo\Desktop\不同类型干酪根生气强度.JPG"/>
                    <pic:cNvPicPr>
                      <a:picLocks noChangeAspect="1"/>
                    </pic:cNvPicPr>
                  </pic:nvPicPr>
                  <pic:blipFill>
                    <a:blip r:embed="rId13"/>
                    <a:stretch>
                      <a:fillRect/>
                    </a:stretch>
                  </pic:blipFill>
                  <pic:spPr>
                    <a:xfrm>
                      <a:off x="0" y="0"/>
                      <a:ext cx="4201795" cy="2075815"/>
                    </a:xfrm>
                    <a:prstGeom prst="rect">
                      <a:avLst/>
                    </a:prstGeom>
                    <a:noFill/>
                    <a:ln w="9525">
                      <a:noFill/>
                    </a:ln>
                  </pic:spPr>
                </pic:pic>
              </a:graphicData>
            </a:graphic>
          </wp:inline>
        </w:drawing>
      </w:r>
    </w:p>
    <w:p>
      <w:pPr>
        <w:spacing w:line="480" w:lineRule="auto"/>
        <w:ind w:firstLine="103" w:firstLineChars="49"/>
        <w:jc w:val="center"/>
        <w:rPr>
          <w:rFonts w:ascii="宋体" w:hAnsi="宋体"/>
          <w:b/>
          <w:szCs w:val="21"/>
        </w:rPr>
      </w:pPr>
      <w:r>
        <w:rPr>
          <w:rFonts w:hint="eastAsia" w:ascii="宋体" w:hAnsi="宋体"/>
          <w:b/>
          <w:szCs w:val="21"/>
        </w:rPr>
        <w:t>图</w:t>
      </w:r>
      <w:r>
        <w:rPr>
          <w:rFonts w:hint="eastAsia" w:ascii="宋体" w:hAnsi="宋体"/>
          <w:b/>
          <w:szCs w:val="21"/>
          <w:lang w:val="en-US" w:eastAsia="zh-CN"/>
        </w:rPr>
        <w:t>2</w:t>
      </w:r>
      <w:r>
        <w:rPr>
          <w:rFonts w:ascii="宋体" w:hAnsi="宋体"/>
          <w:b/>
          <w:szCs w:val="21"/>
        </w:rPr>
        <w:t xml:space="preserve"> </w:t>
      </w:r>
      <w:r>
        <w:rPr>
          <w:rFonts w:hint="eastAsia" w:ascii="宋体" w:hAnsi="宋体"/>
          <w:b/>
          <w:szCs w:val="21"/>
        </w:rPr>
        <w:t>不同类型有机质生气模式图（</w:t>
      </w:r>
      <w:r>
        <w:rPr>
          <w:rFonts w:ascii="宋体" w:hAnsi="宋体"/>
          <w:b/>
          <w:szCs w:val="21"/>
        </w:rPr>
        <w:t>2012,</w:t>
      </w:r>
      <w:r>
        <w:rPr>
          <w:rFonts w:hint="eastAsia" w:ascii="宋体" w:hAnsi="宋体"/>
          <w:b/>
          <w:szCs w:val="21"/>
        </w:rPr>
        <w:t>林腊梅）</w:t>
      </w:r>
    </w:p>
    <w:p>
      <w:pPr>
        <w:spacing w:line="360" w:lineRule="auto"/>
        <w:ind w:firstLine="480"/>
        <w:rPr>
          <w:rFonts w:hint="eastAsia"/>
          <w:b/>
          <w:sz w:val="24"/>
          <w:lang w:eastAsia="zh-CN"/>
        </w:rPr>
      </w:pPr>
      <w:r>
        <w:rPr>
          <w:rFonts w:hint="eastAsia"/>
          <w:b/>
          <w:sz w:val="24"/>
          <w:lang w:eastAsia="zh-CN"/>
        </w:rPr>
        <w:t>四．结论</w:t>
      </w:r>
    </w:p>
    <w:p>
      <w:pPr>
        <w:spacing w:line="360" w:lineRule="auto"/>
        <w:ind w:firstLine="480" w:firstLineChars="200"/>
        <w:rPr>
          <w:sz w:val="24"/>
        </w:rPr>
      </w:pPr>
      <w:r>
        <w:rPr>
          <w:rFonts w:hint="eastAsia"/>
          <w:sz w:val="24"/>
        </w:rPr>
        <w:t>总体来说，</w:t>
      </w:r>
      <w:r>
        <w:rPr>
          <w:rFonts w:hint="eastAsia" w:ascii="Calibri" w:hAnsi="Calibri"/>
          <w:sz w:val="24"/>
          <w:lang w:eastAsia="zh-CN"/>
        </w:rPr>
        <w:t>六盘山盆地马东山组</w:t>
      </w:r>
      <w:r>
        <w:rPr>
          <w:rFonts w:hint="eastAsia" w:ascii="Calibri" w:hAnsi="Calibri"/>
          <w:sz w:val="24"/>
        </w:rPr>
        <w:t>泥页岩总体上属中等-较好烃源岩</w:t>
      </w:r>
      <w:r>
        <w:rPr>
          <w:rFonts w:hint="eastAsia" w:ascii="Calibri" w:hAnsi="Calibri"/>
          <w:sz w:val="24"/>
          <w:lang w:eastAsia="zh-CN"/>
        </w:rPr>
        <w:t>，具</w:t>
      </w:r>
      <w:r>
        <w:rPr>
          <w:rFonts w:hint="eastAsia" w:ascii="Calibri" w:hAnsi="Calibri"/>
          <w:sz w:val="24"/>
        </w:rPr>
        <w:t>有一定的生烃潜力</w:t>
      </w:r>
      <w:r>
        <w:rPr>
          <w:rFonts w:hint="eastAsia" w:ascii="Calibri" w:hAnsi="Calibri"/>
          <w:sz w:val="24"/>
          <w:lang w:eastAsia="zh-CN"/>
        </w:rPr>
        <w:t>，</w:t>
      </w:r>
      <w:r>
        <w:rPr>
          <w:rFonts w:hint="eastAsia"/>
          <w:sz w:val="24"/>
        </w:rPr>
        <w:t>干酪根类型以Ⅱ1型为主，Ⅲ型和Ⅰ型相当</w:t>
      </w:r>
      <w:r>
        <w:rPr>
          <w:rFonts w:hint="eastAsia"/>
          <w:sz w:val="24"/>
          <w:lang w:eastAsia="zh-CN"/>
        </w:rPr>
        <w:t>，</w:t>
      </w:r>
      <w:r>
        <w:rPr>
          <w:rFonts w:hint="eastAsia"/>
          <w:sz w:val="24"/>
        </w:rPr>
        <w:t>六盘山地区白垩系泥页岩主体处于低成熟-成熟演化阶段。</w:t>
      </w:r>
      <w:r>
        <w:rPr>
          <w:rFonts w:hint="eastAsia"/>
          <w:sz w:val="24"/>
          <w:lang w:eastAsia="zh-CN"/>
        </w:rPr>
        <w:t>因此，六盘山盆地马东山组</w:t>
      </w:r>
      <w:r>
        <w:rPr>
          <w:rFonts w:hint="eastAsia"/>
          <w:sz w:val="24"/>
        </w:rPr>
        <w:t>具备页岩油气形成的地质条件，资源潜力较大，有希望取得页岩气找矿工作的</w:t>
      </w:r>
      <w:r>
        <w:rPr>
          <w:rFonts w:hint="eastAsia"/>
          <w:sz w:val="24"/>
          <w:lang w:eastAsia="zh-CN"/>
        </w:rPr>
        <w:t>重大</w:t>
      </w:r>
      <w:r>
        <w:rPr>
          <w:rFonts w:hint="eastAsia"/>
          <w:sz w:val="24"/>
        </w:rPr>
        <w:t>突破。</w:t>
      </w:r>
    </w:p>
    <w:p>
      <w:pPr>
        <w:spacing w:line="360" w:lineRule="auto"/>
        <w:rPr>
          <w:rFonts w:hint="eastAsia" w:ascii="宋体" w:hAnsi="宋体"/>
          <w:sz w:val="24"/>
        </w:rPr>
      </w:pPr>
      <w:r>
        <w:rPr>
          <w:rFonts w:hint="eastAsia" w:ascii="宋体" w:hAnsi="宋体"/>
          <w:sz w:val="24"/>
        </w:rPr>
        <w:t>参考文献</w:t>
      </w:r>
    </w:p>
    <w:p>
      <w:pPr>
        <w:numPr>
          <w:ilvl w:val="0"/>
          <w:numId w:val="1"/>
        </w:numPr>
        <w:spacing w:line="360" w:lineRule="auto"/>
        <w:ind w:left="240" w:hanging="240" w:hangingChars="100"/>
        <w:rPr>
          <w:rFonts w:hint="eastAsia" w:ascii="宋体" w:hAnsi="宋体"/>
          <w:sz w:val="24"/>
          <w:lang w:val="en-US" w:eastAsia="zh-CN"/>
        </w:rPr>
      </w:pPr>
      <w:r>
        <w:rPr>
          <w:rFonts w:hint="eastAsia" w:ascii="宋体" w:hAnsi="宋体"/>
          <w:sz w:val="24"/>
          <w:lang w:eastAsia="zh-CN"/>
        </w:rPr>
        <w:t>潘进礼，马风华，张勇</w:t>
      </w:r>
      <w:r>
        <w:rPr>
          <w:rFonts w:hint="eastAsia" w:ascii="宋体" w:hAnsi="宋体"/>
          <w:sz w:val="24"/>
        </w:rPr>
        <w:t>.</w:t>
      </w:r>
      <w:r>
        <w:rPr>
          <w:rFonts w:hint="eastAsia" w:ascii="宋体" w:hAnsi="宋体"/>
          <w:sz w:val="24"/>
          <w:lang w:eastAsia="zh-CN"/>
        </w:rPr>
        <w:t>六盘山盆地页岩气地质特征及含油气评价</w:t>
      </w:r>
      <w:r>
        <w:rPr>
          <w:rFonts w:hint="eastAsia" w:ascii="宋体" w:hAnsi="宋体"/>
          <w:sz w:val="24"/>
          <w:lang w:val="en-US" w:eastAsia="zh-CN"/>
        </w:rPr>
        <w:t>［J］．</w:t>
      </w:r>
      <w:r>
        <w:rPr>
          <w:rFonts w:hint="eastAsia" w:ascii="宋体" w:hAnsi="宋体"/>
          <w:sz w:val="24"/>
          <w:lang w:eastAsia="zh-CN"/>
        </w:rPr>
        <w:t>内江科技，</w:t>
      </w:r>
      <w:r>
        <w:rPr>
          <w:rFonts w:hint="eastAsia" w:ascii="宋体" w:hAnsi="宋体"/>
          <w:sz w:val="24"/>
        </w:rPr>
        <w:t>20</w:t>
      </w:r>
      <w:r>
        <w:rPr>
          <w:rFonts w:hint="eastAsia" w:ascii="宋体" w:hAnsi="宋体"/>
          <w:sz w:val="24"/>
          <w:lang w:val="en-US" w:eastAsia="zh-CN"/>
        </w:rPr>
        <w:t>16年，第2期.</w:t>
      </w:r>
    </w:p>
    <w:p>
      <w:pPr>
        <w:numPr>
          <w:ilvl w:val="0"/>
          <w:numId w:val="1"/>
        </w:numPr>
        <w:tabs>
          <w:tab w:val="clear" w:pos="312"/>
        </w:tabs>
        <w:spacing w:line="360" w:lineRule="auto"/>
        <w:ind w:left="240" w:leftChars="0" w:hanging="240" w:hangingChars="100"/>
        <w:rPr>
          <w:rFonts w:hint="eastAsia" w:ascii="宋体" w:hAnsi="宋体"/>
          <w:sz w:val="24"/>
          <w:lang w:val="en-US" w:eastAsia="zh-CN"/>
        </w:rPr>
      </w:pPr>
      <w:r>
        <w:rPr>
          <w:rFonts w:hint="eastAsia" w:ascii="宋体" w:hAnsi="宋体"/>
          <w:sz w:val="24"/>
          <w:lang w:val="en-US" w:eastAsia="zh-CN"/>
        </w:rPr>
        <w:t>关德师</w:t>
      </w:r>
      <w:r>
        <w:rPr>
          <w:rFonts w:hint="eastAsia" w:ascii="宋体" w:hAnsi="宋体"/>
          <w:sz w:val="24"/>
          <w:lang w:eastAsia="zh-CN"/>
        </w:rPr>
        <w:t>，</w:t>
      </w:r>
      <w:r>
        <w:rPr>
          <w:rFonts w:hint="eastAsia" w:ascii="宋体" w:hAnsi="宋体"/>
          <w:sz w:val="24"/>
          <w:lang w:val="en-US" w:eastAsia="zh-CN"/>
        </w:rPr>
        <w:t>牛嘉玉</w:t>
      </w:r>
      <w:r>
        <w:rPr>
          <w:rFonts w:hint="eastAsia" w:ascii="宋体" w:hAnsi="宋体"/>
          <w:sz w:val="24"/>
          <w:lang w:eastAsia="zh-CN"/>
        </w:rPr>
        <w:t>，</w:t>
      </w:r>
      <w:r>
        <w:rPr>
          <w:rFonts w:hint="eastAsia" w:ascii="宋体" w:hAnsi="宋体"/>
          <w:sz w:val="24"/>
          <w:lang w:val="en-US" w:eastAsia="zh-CN"/>
        </w:rPr>
        <w:t>郭丽娜.中国非常规油气地质[M].北京:石油工业出版社</w:t>
      </w:r>
      <w:r>
        <w:rPr>
          <w:rFonts w:hint="eastAsia" w:ascii="宋体" w:hAnsi="宋体"/>
          <w:sz w:val="24"/>
          <w:lang w:eastAsia="zh-CN"/>
        </w:rPr>
        <w:t>，</w:t>
      </w:r>
      <w:r>
        <w:rPr>
          <w:rFonts w:hint="eastAsia" w:ascii="宋体" w:hAnsi="宋体"/>
          <w:sz w:val="24"/>
          <w:lang w:val="en-US" w:eastAsia="zh-CN"/>
        </w:rPr>
        <w:t xml:space="preserve"> 1995.</w:t>
      </w:r>
    </w:p>
    <w:p>
      <w:pPr>
        <w:numPr>
          <w:ilvl w:val="0"/>
          <w:numId w:val="1"/>
        </w:numPr>
        <w:tabs>
          <w:tab w:val="clear" w:pos="312"/>
        </w:tabs>
        <w:spacing w:line="360" w:lineRule="auto"/>
        <w:ind w:left="240" w:leftChars="0" w:hanging="240" w:hangingChars="100"/>
        <w:rPr>
          <w:rFonts w:hint="eastAsia" w:ascii="宋体" w:hAnsi="宋体"/>
          <w:sz w:val="24"/>
          <w:lang w:val="en-US" w:eastAsia="zh-CN"/>
        </w:rPr>
      </w:pPr>
      <w:r>
        <w:rPr>
          <w:rFonts w:hint="eastAsia" w:ascii="宋体" w:hAnsi="宋体"/>
          <w:sz w:val="24"/>
          <w:lang w:val="en-US" w:eastAsia="zh-CN"/>
        </w:rPr>
        <w:t>张金川</w:t>
      </w:r>
      <w:r>
        <w:rPr>
          <w:rFonts w:hint="eastAsia" w:ascii="宋体" w:hAnsi="宋体"/>
          <w:sz w:val="24"/>
          <w:lang w:eastAsia="zh-CN"/>
        </w:rPr>
        <w:t>，</w:t>
      </w:r>
      <w:r>
        <w:rPr>
          <w:rFonts w:hint="eastAsia" w:ascii="宋体" w:hAnsi="宋体"/>
          <w:sz w:val="24"/>
          <w:lang w:val="en-US" w:eastAsia="zh-CN"/>
        </w:rPr>
        <w:t>金之钧</w:t>
      </w:r>
      <w:r>
        <w:rPr>
          <w:rFonts w:hint="eastAsia" w:ascii="宋体" w:hAnsi="宋体"/>
          <w:sz w:val="24"/>
          <w:lang w:eastAsia="zh-CN"/>
        </w:rPr>
        <w:t>，</w:t>
      </w:r>
      <w:r>
        <w:rPr>
          <w:rFonts w:hint="eastAsia" w:ascii="宋体" w:hAnsi="宋体"/>
          <w:sz w:val="24"/>
          <w:lang w:val="en-US" w:eastAsia="zh-CN"/>
        </w:rPr>
        <w:t>袁明生.页岩气成藏机理和分布[J].天然气工业</w:t>
      </w:r>
      <w:r>
        <w:rPr>
          <w:rFonts w:hint="eastAsia" w:ascii="宋体" w:hAnsi="宋体"/>
          <w:sz w:val="24"/>
          <w:lang w:eastAsia="zh-CN"/>
        </w:rPr>
        <w:t>，</w:t>
      </w:r>
      <w:r>
        <w:rPr>
          <w:rFonts w:hint="eastAsia" w:ascii="宋体" w:hAnsi="宋体"/>
          <w:sz w:val="24"/>
          <w:lang w:val="en-US" w:eastAsia="zh-CN"/>
        </w:rPr>
        <w:t>2004.</w:t>
      </w:r>
    </w:p>
    <w:p>
      <w:pPr>
        <w:numPr>
          <w:ilvl w:val="0"/>
          <w:numId w:val="1"/>
        </w:numPr>
        <w:spacing w:line="360" w:lineRule="auto"/>
        <w:ind w:left="240" w:leftChars="0" w:hanging="240" w:hangingChars="100"/>
        <w:rPr>
          <w:rFonts w:hint="eastAsia" w:ascii="宋体" w:hAnsi="宋体"/>
          <w:sz w:val="24"/>
          <w:lang w:val="en-US" w:eastAsia="zh-CN"/>
        </w:rPr>
      </w:pPr>
      <w:r>
        <w:rPr>
          <w:rFonts w:hint="eastAsia" w:ascii="宋体" w:hAnsi="宋体"/>
          <w:sz w:val="24"/>
        </w:rPr>
        <w:t>赛启权</w:t>
      </w:r>
      <w:r>
        <w:rPr>
          <w:rFonts w:hint="eastAsia" w:ascii="宋体" w:hAnsi="宋体"/>
          <w:sz w:val="24"/>
          <w:lang w:val="en-US" w:eastAsia="zh-CN"/>
        </w:rPr>
        <w:t>.</w:t>
      </w:r>
      <w:r>
        <w:rPr>
          <w:rFonts w:hint="eastAsia" w:ascii="宋体" w:hAnsi="宋体"/>
          <w:sz w:val="24"/>
        </w:rPr>
        <w:t>六盘山盆地的含油气远景</w:t>
      </w:r>
      <w:r>
        <w:rPr>
          <w:rFonts w:hint="eastAsia" w:ascii="宋体" w:hAnsi="宋体"/>
          <w:sz w:val="24"/>
          <w:lang w:val="en-US" w:eastAsia="zh-CN"/>
        </w:rPr>
        <w:t>.</w:t>
      </w:r>
      <w:r>
        <w:rPr>
          <w:rFonts w:hint="eastAsia" w:ascii="宋体" w:hAnsi="宋体"/>
          <w:sz w:val="24"/>
        </w:rPr>
        <w:t>天然气工业</w:t>
      </w:r>
      <w:r>
        <w:rPr>
          <w:rFonts w:hint="eastAsia" w:ascii="宋体" w:hAnsi="宋体"/>
          <w:sz w:val="24"/>
          <w:lang w:eastAsia="zh-CN"/>
        </w:rPr>
        <w:t>，</w:t>
      </w:r>
      <w:r>
        <w:rPr>
          <w:rFonts w:hint="eastAsia" w:ascii="宋体" w:hAnsi="宋体"/>
          <w:sz w:val="24"/>
        </w:rPr>
        <w:t>1986年</w:t>
      </w:r>
      <w:r>
        <w:rPr>
          <w:rFonts w:hint="eastAsia" w:ascii="宋体" w:hAnsi="宋体"/>
          <w:sz w:val="24"/>
          <w:lang w:eastAsia="zh-CN"/>
        </w:rPr>
        <w:t>，</w:t>
      </w:r>
      <w:r>
        <w:rPr>
          <w:rFonts w:hint="eastAsia" w:ascii="宋体" w:hAnsi="宋体"/>
          <w:sz w:val="24"/>
        </w:rPr>
        <w:t>第2期</w:t>
      </w:r>
      <w:r>
        <w:rPr>
          <w:rFonts w:hint="eastAsia" w:ascii="宋体" w:hAnsi="宋体"/>
          <w:sz w:val="24"/>
          <w:lang w:val="en-US" w:eastAsia="zh-CN"/>
        </w:rPr>
        <w:t>.</w:t>
      </w:r>
    </w:p>
    <w:p>
      <w:pPr>
        <w:numPr>
          <w:ilvl w:val="0"/>
          <w:numId w:val="1"/>
        </w:numPr>
        <w:spacing w:line="360" w:lineRule="auto"/>
        <w:ind w:left="240" w:leftChars="0" w:hanging="240" w:hangingChars="100"/>
        <w:rPr>
          <w:rFonts w:hint="eastAsia" w:ascii="宋体" w:hAnsi="宋体"/>
          <w:sz w:val="24"/>
          <w:lang w:val="en-US" w:eastAsia="zh-CN"/>
        </w:rPr>
      </w:pPr>
      <w:r>
        <w:rPr>
          <w:rFonts w:hint="eastAsia" w:ascii="宋体" w:hAnsi="宋体"/>
          <w:sz w:val="24"/>
          <w:lang w:val="en-US" w:eastAsia="zh-CN"/>
        </w:rPr>
        <w:t>李新景，吕宗刚，董大忠，等． 北美页岩气资源形成的地质条件［J］．天然气工业，2009，29( 5):28-35.</w:t>
      </w:r>
    </w:p>
    <w:p>
      <w:pPr>
        <w:numPr>
          <w:ilvl w:val="0"/>
          <w:numId w:val="1"/>
        </w:numPr>
        <w:spacing w:line="360" w:lineRule="auto"/>
        <w:ind w:left="240" w:leftChars="0" w:hanging="240" w:hangingChars="100"/>
        <w:rPr>
          <w:rFonts w:hint="eastAsia" w:ascii="宋体" w:hAnsi="宋体"/>
          <w:sz w:val="24"/>
          <w:lang w:val="en-US" w:eastAsia="zh-CN"/>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720" w:num="1"/>
          <w:docGrid w:type="lines" w:linePitch="312" w:charSpace="0"/>
        </w:sectPr>
      </w:pPr>
      <w:r>
        <w:rPr>
          <w:rFonts w:hint="eastAsia" w:ascii="宋体" w:hAnsi="宋体"/>
          <w:sz w:val="24"/>
          <w:lang w:val="en-US" w:eastAsia="zh-CN"/>
        </w:rPr>
        <w:t>李志明，徐二社，秦建中，等． 烃源岩评价中的若干问题［J］．西安石油大学学报: 自然科学版，2010，25 ( 6):8-12.</w:t>
      </w:r>
    </w:p>
    <w:p>
      <w:pPr>
        <w:spacing w:before="156" w:beforeLines="50" w:line="360" w:lineRule="auto"/>
        <w:rPr>
          <w:rFonts w:hint="eastAsia"/>
          <w:sz w:val="24"/>
        </w:rPr>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auto"/>
    <w:pitch w:val="default"/>
    <w:sig w:usb0="A00002EF" w:usb1="420020E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5816" w:y="12"/>
      <w:rPr>
        <w:rStyle w:val="7"/>
      </w:rPr>
    </w:pPr>
    <w:r>
      <w:fldChar w:fldCharType="begin"/>
    </w:r>
    <w:r>
      <w:rPr>
        <w:rStyle w:val="7"/>
      </w:rPr>
      <w:instrText xml:space="preserve">PAGE  </w:instrText>
    </w:r>
    <w:r>
      <w:fldChar w:fldCharType="separate"/>
    </w:r>
    <w:r>
      <w:rPr>
        <w:rStyle w:val="7"/>
      </w:rPr>
      <w:t>1</w:t>
    </w:r>
    <w:r>
      <w:fldChar w:fldCharType="end"/>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D063E"/>
    <w:multiLevelType w:val="singleLevel"/>
    <w:tmpl w:val="023D063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4178DA"/>
    <w:rsid w:val="0B4A3E79"/>
    <w:rsid w:val="16B20D7F"/>
    <w:rsid w:val="1976323E"/>
    <w:rsid w:val="264178DA"/>
    <w:rsid w:val="4A2D317C"/>
    <w:rsid w:val="4BC56C76"/>
    <w:rsid w:val="4DF80F2D"/>
    <w:rsid w:val="565E09ED"/>
    <w:rsid w:val="5877499D"/>
    <w:rsid w:val="5CCC0A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2"/>
      <w:szCs w:val="32"/>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jpeg"/><Relationship Id="rId12" Type="http://schemas.openxmlformats.org/officeDocument/2006/relationships/image" Target="media/image3.emf"/><Relationship Id="rId11" Type="http://schemas.openxmlformats.org/officeDocument/2006/relationships/image" Target="media/image2.emf"/><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2018-12-20T02:42:00Z</dcterms:created>
  <dc:creator>Administrator</dc:creator>
  <cp:lastModifiedBy>Administrator</cp:lastModifiedBy>
  <dcterms:modified xsi:type="dcterms:W3CDTF">2019-05-16T07:35:02Z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