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ajorEastAsia" w:hAnsiTheme="majorEastAsia" w:eastAsiaTheme="majorEastAsia" w:cstheme="majorEastAsia"/>
          <w:b/>
          <w:bCs/>
          <w:sz w:val="32"/>
          <w:szCs w:val="32"/>
        </w:rPr>
      </w:pPr>
      <w:r>
        <w:rPr>
          <w:rFonts w:hint="eastAsia" w:asciiTheme="majorEastAsia" w:hAnsiTheme="majorEastAsia" w:eastAsiaTheme="majorEastAsia" w:cstheme="majorEastAsia"/>
          <w:b/>
          <w:bCs/>
          <w:sz w:val="32"/>
          <w:szCs w:val="32"/>
        </w:rPr>
        <w:t>高等职业院校思政课堂教学有效性提升探究</w:t>
      </w:r>
    </w:p>
    <w:p>
      <w:pPr>
        <w:rPr>
          <w:rFonts w:hint="eastAsia" w:asciiTheme="minorEastAsia" w:hAnsiTheme="minorEastAsia" w:eastAsiaTheme="minorEastAsia" w:cstheme="minorEastAsia"/>
          <w:sz w:val="21"/>
          <w:szCs w:val="21"/>
        </w:rPr>
      </w:pPr>
      <w:r>
        <w:rPr>
          <w:rFonts w:hint="eastAsia" w:ascii="仿宋" w:hAnsi="仿宋" w:eastAsia="仿宋"/>
          <w:sz w:val="28"/>
          <w:szCs w:val="28"/>
        </w:rPr>
        <w:t xml:space="preserve">                      </w:t>
      </w:r>
      <w:r>
        <w:rPr>
          <w:rFonts w:hint="eastAsia" w:asciiTheme="minorEastAsia" w:hAnsiTheme="minorEastAsia" w:eastAsiaTheme="minorEastAsia" w:cstheme="minorEastAsia"/>
          <w:sz w:val="21"/>
          <w:szCs w:val="21"/>
        </w:rPr>
        <w:t xml:space="preserve">  </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 xml:space="preserve"> 张瑞琪</w:t>
      </w:r>
    </w:p>
    <w:p>
      <w:pPr>
        <w:ind w:firstLine="422" w:firstLineChars="2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bCs/>
          <w:sz w:val="21"/>
          <w:szCs w:val="21"/>
        </w:rPr>
        <w:t>摘要：</w:t>
      </w:r>
      <w:r>
        <w:rPr>
          <w:rFonts w:hint="eastAsia" w:asciiTheme="minorEastAsia" w:hAnsiTheme="minorEastAsia" w:eastAsiaTheme="minorEastAsia" w:cstheme="minorEastAsia"/>
          <w:sz w:val="21"/>
          <w:szCs w:val="21"/>
        </w:rPr>
        <w:t>随着思政理论课重要性的不断提升，进一步提升思政理论课的意识形态主阵地作用和育人功能就成为题中应有之义。本研究对合肥部分高校思想政治理论课教学效果进行了问卷调查，从课程认知度、课堂学习效率、课堂教学内容、课程参与度等方面进行了有针对性的研究和分析，并探讨了全面提升高等职业院校思政课堂教学有效性的对策和路径。</w:t>
      </w:r>
    </w:p>
    <w:p>
      <w:pPr>
        <w:ind w:firstLine="422" w:firstLineChars="2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bCs/>
          <w:sz w:val="21"/>
          <w:szCs w:val="21"/>
        </w:rPr>
        <w:t>关键词：</w:t>
      </w:r>
      <w:r>
        <w:rPr>
          <w:rFonts w:hint="eastAsia" w:asciiTheme="minorEastAsia" w:hAnsiTheme="minorEastAsia" w:eastAsiaTheme="minorEastAsia" w:cstheme="minorEastAsia"/>
          <w:sz w:val="21"/>
          <w:szCs w:val="21"/>
        </w:rPr>
        <w:t>高职院校；思政理论课；课堂教学；有效性</w:t>
      </w:r>
    </w:p>
    <w:p>
      <w:pPr>
        <w:ind w:firstLine="422" w:firstLineChars="20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b/>
          <w:bCs/>
          <w:sz w:val="21"/>
          <w:szCs w:val="21"/>
          <w:lang w:val="en-US" w:eastAsia="zh-CN"/>
        </w:rPr>
        <w:t>作者简介：</w:t>
      </w:r>
      <w:r>
        <w:rPr>
          <w:rFonts w:hint="eastAsia" w:asciiTheme="minorEastAsia" w:hAnsiTheme="minorEastAsia" w:eastAsiaTheme="minorEastAsia" w:cstheme="minorEastAsia"/>
          <w:sz w:val="21"/>
          <w:szCs w:val="21"/>
          <w:lang w:val="en-US" w:eastAsia="zh-CN"/>
        </w:rPr>
        <w:t>张瑞琪（1982-），男，安徽合肥人，安徽财贸职业学院马克思主义学院，助教（合肥 230601）。</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sz w:val="28"/>
          <w:szCs w:val="28"/>
          <w:lang w:val="en-US" w:eastAsia="zh-CN"/>
        </w:rPr>
      </w:pPr>
      <w:r>
        <w:rPr>
          <w:rFonts w:hint="eastAsia"/>
          <w:b/>
          <w:bCs/>
          <w:sz w:val="28"/>
          <w:szCs w:val="28"/>
          <w:lang w:val="en-US" w:eastAsia="zh-CN"/>
        </w:rPr>
        <w:t>Abstract:</w:t>
      </w:r>
      <w:r>
        <w:rPr>
          <w:rFonts w:hint="eastAsia"/>
          <w:sz w:val="28"/>
          <w:szCs w:val="28"/>
          <w:lang w:val="en-US" w:eastAsia="zh-CN"/>
        </w:rPr>
        <w:t>With the increasing significance of the Ideological and political theory courses,it is important that further enhancing its function of the ideological front and ideological education. In order to grasp the practical teaching effect in class, in advance this research carried out a paper investigation.And the content of investigation focused on the course awareness , class learning efficiency, teaching content, class participation etc.Based on the investigation,the methods of improving teaching effect in Ideological and political theory class in higher vocational colleges have been discussed.</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Theme="minorEastAsia" w:hAnsiTheme="minorEastAsia" w:eastAsiaTheme="minorEastAsia" w:cstheme="minorEastAsia"/>
          <w:sz w:val="21"/>
          <w:szCs w:val="21"/>
        </w:rPr>
      </w:pPr>
      <w:r>
        <w:rPr>
          <w:rFonts w:hint="eastAsia"/>
          <w:b/>
          <w:bCs/>
          <w:sz w:val="28"/>
          <w:szCs w:val="28"/>
          <w:lang w:val="en-US" w:eastAsia="zh-CN"/>
        </w:rPr>
        <w:t xml:space="preserve">Keywords: </w:t>
      </w:r>
      <w:r>
        <w:rPr>
          <w:rFonts w:hint="eastAsia"/>
          <w:sz w:val="28"/>
          <w:szCs w:val="28"/>
          <w:lang w:val="en-US" w:eastAsia="zh-CN"/>
        </w:rPr>
        <w:t>higher</w:t>
      </w:r>
      <w:r>
        <w:rPr>
          <w:rFonts w:hint="eastAsia"/>
          <w:b/>
          <w:bCs/>
          <w:sz w:val="28"/>
          <w:szCs w:val="28"/>
          <w:lang w:val="en-US" w:eastAsia="zh-CN"/>
        </w:rPr>
        <w:t xml:space="preserve"> </w:t>
      </w:r>
      <w:r>
        <w:rPr>
          <w:rFonts w:hint="eastAsia"/>
          <w:sz w:val="28"/>
          <w:szCs w:val="28"/>
          <w:lang w:val="en-US" w:eastAsia="zh-CN"/>
        </w:rPr>
        <w:t>vocational colleges;Ideological and political theory courses; class teaching; effect</w:t>
      </w:r>
    </w:p>
    <w:p>
      <w:pPr>
        <w:ind w:firstLine="420" w:firstLineChars="200"/>
        <w:rPr>
          <w:rFonts w:hint="eastAsia" w:asciiTheme="minorEastAsia" w:hAnsiTheme="minorEastAsia" w:eastAsiaTheme="minorEastAsia" w:cstheme="minorEastAsia"/>
          <w:sz w:val="21"/>
          <w:szCs w:val="21"/>
        </w:rPr>
      </w:pPr>
    </w:p>
    <w:p>
      <w:pPr>
        <w:ind w:firstLine="420" w:firstLineChars="2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2019年1月24日，《国家职业教育改革实施方案》指出：“要充分发挥党组织在职业院校的领导核心和政治核心作用，牢牢把握学校意识形态工作领导权，指导职业院校上好思想政治理论课，推进职业教育领域“三全育人”综合改革试点工作，使各类课程与思想政治理论课同向同行，努力实现职业技能和职业精神培养高度融合。”时代呼唤使命担当，不断提升高等职业院校思政课堂教学质量和有效性已成为我国高等职业教育发展的迫切要求。</w:t>
      </w:r>
    </w:p>
    <w:p>
      <w:pPr>
        <w:ind w:firstLine="422" w:firstLineChars="200"/>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一、高等职业院校思政课堂教学有效性提升的重要意义</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w:t>
      </w:r>
      <w:r>
        <w:rPr>
          <w:rFonts w:hint="eastAsia" w:asciiTheme="minorEastAsia" w:hAnsiTheme="minorEastAsia" w:eastAsiaTheme="minorEastAsia" w:cstheme="minorEastAsia"/>
          <w:b/>
          <w:sz w:val="21"/>
          <w:szCs w:val="21"/>
        </w:rPr>
        <w:t xml:space="preserve"> </w:t>
      </w:r>
      <w:r>
        <w:rPr>
          <w:rFonts w:hint="eastAsia" w:asciiTheme="minorEastAsia" w:hAnsiTheme="minorEastAsia" w:eastAsiaTheme="minorEastAsia" w:cstheme="minorEastAsia"/>
          <w:b/>
          <w:sz w:val="21"/>
          <w:szCs w:val="21"/>
          <w:lang w:val="en-US" w:eastAsia="zh-CN"/>
        </w:rPr>
        <w:t>1.</w:t>
      </w:r>
      <w:r>
        <w:rPr>
          <w:rFonts w:hint="eastAsia" w:asciiTheme="minorEastAsia" w:hAnsiTheme="minorEastAsia" w:eastAsiaTheme="minorEastAsia" w:cstheme="minorEastAsia"/>
          <w:b/>
          <w:sz w:val="21"/>
          <w:szCs w:val="21"/>
        </w:rPr>
        <w:t>显著提升思政课堂教学质量。</w:t>
      </w:r>
      <w:r>
        <w:rPr>
          <w:rFonts w:hint="eastAsia" w:asciiTheme="minorEastAsia" w:hAnsiTheme="minorEastAsia" w:eastAsiaTheme="minorEastAsia" w:cstheme="minorEastAsia"/>
          <w:sz w:val="21"/>
          <w:szCs w:val="21"/>
        </w:rPr>
        <w:t>在2019年颁布的《 国家职业教育改革实施方案》中，已经将学习者的职业道德列为了职业教育质量评价体系的首要因素。思政课堂教学有效性的提升，就是要在思想政治教育实效性上花足功夫、下大力气，创新教学方法、改革教学模式、延伸课堂内涵，不断提升思政课堂的教学质量；就是要充分发挥思政课立德树人的重要作用。让先进的思想理论、价值观教育切切实实地入脑入心，内化为高尚的道德标准，外化为正确的职业实践，实现职业技能和职业道德的高度融合。</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b/>
          <w:sz w:val="21"/>
          <w:szCs w:val="21"/>
          <w:lang w:val="en-US" w:eastAsia="zh-CN"/>
        </w:rPr>
        <w:t>2.</w:t>
      </w:r>
      <w:r>
        <w:rPr>
          <w:rFonts w:hint="eastAsia" w:asciiTheme="minorEastAsia" w:hAnsiTheme="minorEastAsia" w:eastAsiaTheme="minorEastAsia" w:cstheme="minorEastAsia"/>
          <w:b/>
          <w:sz w:val="21"/>
          <w:szCs w:val="21"/>
        </w:rPr>
        <w:t>彰显“三全育人”的主阵地作用。</w:t>
      </w:r>
      <w:r>
        <w:rPr>
          <w:rFonts w:hint="eastAsia" w:asciiTheme="minorEastAsia" w:hAnsiTheme="minorEastAsia" w:eastAsiaTheme="minorEastAsia" w:cstheme="minorEastAsia"/>
          <w:sz w:val="21"/>
          <w:szCs w:val="21"/>
        </w:rPr>
        <w:t>职业院校的思想政治理论课事关党对职业教育工作的全面领导，是“三全育人”的主阵地之一，已成为落实党意识形态工作的重要抓手和有力依托。提升高等职业院校思政课堂教学的有效性就是充分发挥思政课与各类课程同向同行中的统领和指引作用，在全过程育人中的主阵地作用，在全员育人中的核心灵魂作用。将思政课学习与专业课学习相结合，促使学生形成明确的学习目标，衍生出强劲的学习动力；将思政学习与生活、学习相结合，求解学生的青春之困；将思政学习与社会实际相结合，塑造学生奋发向上、坚韧不懈的意志品质。</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w:t>
      </w:r>
      <w:r>
        <w:rPr>
          <w:rFonts w:hint="eastAsia" w:asciiTheme="minorEastAsia" w:hAnsiTheme="minorEastAsia" w:eastAsiaTheme="minorEastAsia" w:cstheme="minorEastAsia"/>
          <w:b/>
          <w:sz w:val="21"/>
          <w:szCs w:val="21"/>
          <w:lang w:val="en-US" w:eastAsia="zh-CN"/>
        </w:rPr>
        <w:t>3.</w:t>
      </w:r>
      <w:r>
        <w:rPr>
          <w:rFonts w:hint="eastAsia" w:asciiTheme="minorEastAsia" w:hAnsiTheme="minorEastAsia" w:eastAsiaTheme="minorEastAsia" w:cstheme="minorEastAsia"/>
          <w:b/>
          <w:sz w:val="21"/>
          <w:szCs w:val="21"/>
        </w:rPr>
        <w:t>夯实全面建成小康社会的思想根基。</w:t>
      </w:r>
      <w:r>
        <w:rPr>
          <w:rFonts w:hint="eastAsia" w:asciiTheme="minorEastAsia" w:hAnsiTheme="minorEastAsia" w:eastAsiaTheme="minorEastAsia" w:cstheme="minorEastAsia"/>
          <w:sz w:val="21"/>
          <w:szCs w:val="21"/>
        </w:rPr>
        <w:t>2020年，我国将实现全面建成小康社会的宏伟目标。防止贫困的代际传递或返贫现象的出现，在深化医疗、教育、就业等配套改革的同时，重中之重就是要加强思想政治教育，始终将治愚与治贫紧密结合，始终将扶贫与扶志相结合，始终强化思想引领和价值观引领。 随着职业教育改革的不断深入，高等职业院校生源构成将不断拓展，高中毕业生、中职毕业生、返乡新型农民工、失业轮岗工人、退伍军人、留学生等都将成为高等职业院校的学生。面对新情况新变化，要让高等职业教育真正达到技能教学目标，就要通过全面提升思政课堂教学的有效性，让学习者树立正确的职业观、道德观、价值观，始终走正确的路、干正确的事、做正确的人。</w:t>
      </w:r>
    </w:p>
    <w:p>
      <w:pPr>
        <w:ind w:firstLine="422" w:firstLineChars="200"/>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二、高等职业院校思政课堂现状</w:t>
      </w:r>
    </w:p>
    <w:p>
      <w:pPr>
        <w:ind w:firstLine="420" w:firstLineChars="200"/>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sz w:val="21"/>
          <w:szCs w:val="21"/>
        </w:rPr>
        <w:t>本研究针对高等职业院校思政课堂现状开展了一次问卷调查，调查采用蓝墨云班课在线调查的方式进行。调查对象为安徽省合肥市的部分高职院校在校学生，学生类别涵盖普通高考招生学生、分类招生学生和对口招生学生。接受本次调查的学生数量500多人，回收有效问卷503份。问卷内容从课程认知度、课堂学习效率、课堂教学内容、课程参与度等方面开展设计。</w:t>
      </w:r>
    </w:p>
    <w:p>
      <w:pPr>
        <w:ind w:firstLine="422" w:firstLineChars="2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sz w:val="21"/>
          <w:szCs w:val="21"/>
          <w:lang w:val="en-US" w:eastAsia="zh-CN"/>
        </w:rPr>
        <w:t>1.</w:t>
      </w:r>
      <w:r>
        <w:rPr>
          <w:rFonts w:hint="eastAsia" w:asciiTheme="minorEastAsia" w:hAnsiTheme="minorEastAsia" w:eastAsiaTheme="minorEastAsia" w:cstheme="minorEastAsia"/>
          <w:b/>
          <w:sz w:val="21"/>
          <w:szCs w:val="21"/>
        </w:rPr>
        <w:t>课程教学参与度低。</w:t>
      </w:r>
      <w:r>
        <w:rPr>
          <w:rFonts w:hint="eastAsia" w:asciiTheme="minorEastAsia" w:hAnsiTheme="minorEastAsia" w:eastAsiaTheme="minorEastAsia" w:cstheme="minorEastAsia"/>
          <w:sz w:val="21"/>
          <w:szCs w:val="21"/>
        </w:rPr>
        <w:t>经调查发现：（1）思政课堂教学中“参与度一般，不积极不主动”的现象较为明显。有68%的分类招生同学、67%的对口招生同学、76%的普通高考招生同学体现出上述学习状态；（2）“40分钟课程教学中，能专心上课30分钟以上的”（调查设定一节课40分钟），分类招生同学为21%、对口招生同学为13%、普高招生同学为7%。值得一提的是，对于理论基础较好的普高生源而言，参与性低的思政课堂教学效果更差。（详见表1）</w:t>
      </w:r>
    </w:p>
    <w:p>
      <w:pPr>
        <w:ind w:firstLine="422" w:firstLineChars="2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sz w:val="21"/>
          <w:szCs w:val="21"/>
          <w:lang w:val="en-US" w:eastAsia="zh-CN"/>
        </w:rPr>
        <w:t>2.</w:t>
      </w:r>
      <w:r>
        <w:rPr>
          <w:rFonts w:hint="eastAsia" w:asciiTheme="minorEastAsia" w:hAnsiTheme="minorEastAsia" w:eastAsiaTheme="minorEastAsia" w:cstheme="minorEastAsia"/>
          <w:b/>
          <w:sz w:val="21"/>
          <w:szCs w:val="21"/>
        </w:rPr>
        <w:t>教学内容的实际指导性不足。</w:t>
      </w:r>
      <w:r>
        <w:rPr>
          <w:rFonts w:hint="eastAsia" w:asciiTheme="minorEastAsia" w:hAnsiTheme="minorEastAsia" w:eastAsiaTheme="minorEastAsia" w:cstheme="minorEastAsia"/>
          <w:sz w:val="21"/>
          <w:szCs w:val="21"/>
        </w:rPr>
        <w:t>授课内容更多地围绕理论教学展开，与学生实际生活契合度低。缺乏直击生活热点、社会焦点、青春之困的内容。调查发现，有近40%的同学认为“思政课程对于自己仅有一定的指导意义，但作用不大”。（详见表1）</w:t>
      </w:r>
    </w:p>
    <w:p>
      <w:pPr>
        <w:ind w:firstLine="422" w:firstLineChars="2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sz w:val="21"/>
          <w:szCs w:val="21"/>
          <w:lang w:val="en-US" w:eastAsia="zh-CN"/>
        </w:rPr>
        <w:t>3.</w:t>
      </w:r>
      <w:r>
        <w:rPr>
          <w:rFonts w:hint="eastAsia" w:asciiTheme="minorEastAsia" w:hAnsiTheme="minorEastAsia" w:eastAsiaTheme="minorEastAsia" w:cstheme="minorEastAsia"/>
          <w:b/>
          <w:sz w:val="21"/>
          <w:szCs w:val="21"/>
        </w:rPr>
        <w:t>课程教学手段仍比较单一。</w:t>
      </w:r>
      <w:r>
        <w:rPr>
          <w:rFonts w:hint="eastAsia" w:asciiTheme="minorEastAsia" w:hAnsiTheme="minorEastAsia" w:eastAsiaTheme="minorEastAsia" w:cstheme="minorEastAsia"/>
          <w:sz w:val="21"/>
          <w:szCs w:val="21"/>
        </w:rPr>
        <w:t>虽然传统的教学模式有所改变，但仍未实现根本性转变，仍缺乏多样性手段的综合运用。蓝墨云班课、雨课堂等信息化手段正逐步运用于实际教学，但是还没有完全取代传统的教学手段。此外，信息化教学手段本身在课堂掌控、功能覆盖面上也尚有不足之处。</w:t>
      </w:r>
    </w:p>
    <w:p>
      <w:pPr>
        <w:ind w:firstLine="422" w:firstLineChars="2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sz w:val="21"/>
          <w:szCs w:val="21"/>
          <w:lang w:val="en-US" w:eastAsia="zh-CN"/>
        </w:rPr>
        <w:t>4.</w:t>
      </w:r>
      <w:r>
        <w:rPr>
          <w:rFonts w:hint="eastAsia" w:asciiTheme="minorEastAsia" w:hAnsiTheme="minorEastAsia" w:eastAsiaTheme="minorEastAsia" w:cstheme="minorEastAsia"/>
          <w:b/>
          <w:sz w:val="21"/>
          <w:szCs w:val="21"/>
        </w:rPr>
        <w:t>思政课程建设和课程思政建设衔接性差。</w:t>
      </w:r>
      <w:r>
        <w:rPr>
          <w:rFonts w:hint="eastAsia" w:asciiTheme="minorEastAsia" w:hAnsiTheme="minorEastAsia" w:eastAsiaTheme="minorEastAsia" w:cstheme="minorEastAsia"/>
          <w:sz w:val="21"/>
          <w:szCs w:val="21"/>
        </w:rPr>
        <w:t>学生对于思政课的教学目标和重要性认识不足，容易割裂思政课与专业课之间的内在联系。调查发现，（1）60%的分类招生同学、41%的对口招生同学、53%的普高招生同学“对于思政课程的教学目标不明确”；（2）44%的分类招生同学、67%的对口招生同学、66%的普高招生同学认为“专业课更重要”。（详见表1）</w:t>
      </w:r>
    </w:p>
    <w:p>
      <w:pPr>
        <w:rPr>
          <w:rFonts w:hint="eastAsia" w:asciiTheme="majorEastAsia" w:hAnsiTheme="majorEastAsia" w:eastAsiaTheme="majorEastAsia" w:cstheme="majorEastAsia"/>
          <w:b/>
          <w:bCs/>
          <w:sz w:val="21"/>
          <w:szCs w:val="21"/>
        </w:rPr>
      </w:pPr>
      <w:r>
        <w:rPr>
          <w:rFonts w:hint="eastAsia"/>
          <w:sz w:val="28"/>
          <w:szCs w:val="28"/>
        </w:rPr>
        <w:t xml:space="preserve">            </w:t>
      </w:r>
      <w:r>
        <w:rPr>
          <w:rFonts w:hint="eastAsia" w:asciiTheme="majorEastAsia" w:hAnsiTheme="majorEastAsia" w:eastAsiaTheme="majorEastAsia" w:cstheme="majorEastAsia"/>
          <w:b/>
          <w:bCs/>
          <w:sz w:val="21"/>
          <w:szCs w:val="21"/>
        </w:rPr>
        <w:t xml:space="preserve"> 表1</w:t>
      </w:r>
      <w:r>
        <w:rPr>
          <w:rFonts w:hint="eastAsia" w:asciiTheme="majorEastAsia" w:hAnsiTheme="majorEastAsia" w:eastAsiaTheme="majorEastAsia" w:cstheme="majorEastAsia"/>
          <w:b/>
          <w:bCs/>
          <w:sz w:val="21"/>
          <w:szCs w:val="21"/>
          <w:lang w:val="en-US" w:eastAsia="zh-CN"/>
        </w:rPr>
        <w:t xml:space="preserve">  </w:t>
      </w:r>
      <w:r>
        <w:rPr>
          <w:rFonts w:hint="eastAsia" w:asciiTheme="majorEastAsia" w:hAnsiTheme="majorEastAsia" w:eastAsiaTheme="majorEastAsia" w:cstheme="majorEastAsia"/>
          <w:b/>
          <w:bCs/>
          <w:sz w:val="21"/>
          <w:szCs w:val="21"/>
        </w:rPr>
        <w:t>关于高等职业院校思政课教学现状调查表</w:t>
      </w:r>
    </w:p>
    <w:tbl>
      <w:tblPr>
        <w:tblStyle w:val="2"/>
        <w:tblW w:w="8757" w:type="dxa"/>
        <w:tblInd w:w="3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86"/>
        <w:gridCol w:w="1286"/>
        <w:gridCol w:w="1288"/>
        <w:gridCol w:w="1286"/>
        <w:gridCol w:w="16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0" w:hRule="atLeast"/>
        </w:trPr>
        <w:tc>
          <w:tcPr>
            <w:tcW w:w="3286" w:type="dxa"/>
            <w:tcBorders>
              <w:top w:val="single" w:color="000000" w:sz="12" w:space="0"/>
              <w:left w:val="nil"/>
              <w:bottom w:val="single" w:color="000000" w:sz="12" w:space="0"/>
              <w:right w:val="nil"/>
            </w:tcBorders>
            <w:vAlign w:val="center"/>
          </w:tcPr>
          <w:p>
            <w:pPr>
              <w:jc w:val="center"/>
            </w:pPr>
          </w:p>
        </w:tc>
        <w:tc>
          <w:tcPr>
            <w:tcW w:w="1286" w:type="dxa"/>
            <w:tcBorders>
              <w:top w:val="single" w:color="000000" w:sz="12" w:space="0"/>
              <w:left w:val="nil"/>
              <w:bottom w:val="single" w:color="000000" w:sz="12" w:space="0"/>
              <w:right w:val="nil"/>
            </w:tcBorders>
            <w:vAlign w:val="center"/>
          </w:tcPr>
          <w:p>
            <w:pPr>
              <w:jc w:val="center"/>
              <w:rPr>
                <w:rFonts w:hint="eastAsia"/>
                <w:sz w:val="18"/>
                <w:szCs w:val="18"/>
              </w:rPr>
            </w:pPr>
            <w:r>
              <w:rPr>
                <w:rFonts w:hint="eastAsia"/>
                <w:sz w:val="18"/>
                <w:szCs w:val="18"/>
              </w:rPr>
              <w:t>分类招生</w:t>
            </w:r>
          </w:p>
          <w:p>
            <w:pPr>
              <w:jc w:val="center"/>
              <w:rPr>
                <w:sz w:val="18"/>
                <w:szCs w:val="18"/>
              </w:rPr>
            </w:pPr>
            <w:r>
              <w:rPr>
                <w:rFonts w:hint="eastAsia"/>
                <w:sz w:val="18"/>
                <w:szCs w:val="18"/>
              </w:rPr>
              <w:t>同 学</w:t>
            </w:r>
          </w:p>
        </w:tc>
        <w:tc>
          <w:tcPr>
            <w:tcW w:w="1288" w:type="dxa"/>
            <w:tcBorders>
              <w:top w:val="single" w:color="000000" w:sz="12" w:space="0"/>
              <w:left w:val="nil"/>
              <w:bottom w:val="single" w:color="000000" w:sz="12" w:space="0"/>
              <w:right w:val="nil"/>
            </w:tcBorders>
            <w:vAlign w:val="center"/>
          </w:tcPr>
          <w:p>
            <w:pPr>
              <w:jc w:val="center"/>
              <w:rPr>
                <w:rFonts w:hint="eastAsia"/>
                <w:sz w:val="18"/>
                <w:szCs w:val="18"/>
              </w:rPr>
            </w:pPr>
            <w:r>
              <w:rPr>
                <w:rFonts w:hint="eastAsia"/>
                <w:sz w:val="18"/>
                <w:szCs w:val="18"/>
              </w:rPr>
              <w:t>对口招生</w:t>
            </w:r>
          </w:p>
          <w:p>
            <w:pPr>
              <w:jc w:val="center"/>
              <w:rPr>
                <w:sz w:val="18"/>
                <w:szCs w:val="18"/>
              </w:rPr>
            </w:pPr>
            <w:r>
              <w:rPr>
                <w:rFonts w:hint="eastAsia"/>
                <w:sz w:val="18"/>
                <w:szCs w:val="18"/>
              </w:rPr>
              <w:t>同 学</w:t>
            </w:r>
          </w:p>
        </w:tc>
        <w:tc>
          <w:tcPr>
            <w:tcW w:w="1286" w:type="dxa"/>
            <w:tcBorders>
              <w:top w:val="single" w:color="000000" w:sz="12" w:space="0"/>
              <w:left w:val="nil"/>
              <w:bottom w:val="single" w:color="000000" w:sz="12" w:space="0"/>
              <w:right w:val="nil"/>
            </w:tcBorders>
            <w:vAlign w:val="center"/>
          </w:tcPr>
          <w:p>
            <w:pPr>
              <w:jc w:val="center"/>
              <w:rPr>
                <w:rFonts w:hint="eastAsia"/>
                <w:sz w:val="18"/>
                <w:szCs w:val="18"/>
              </w:rPr>
            </w:pPr>
            <w:r>
              <w:rPr>
                <w:rFonts w:hint="eastAsia"/>
                <w:sz w:val="18"/>
                <w:szCs w:val="18"/>
              </w:rPr>
              <w:t>普通高考</w:t>
            </w:r>
          </w:p>
          <w:p>
            <w:pPr>
              <w:jc w:val="center"/>
              <w:rPr>
                <w:sz w:val="18"/>
                <w:szCs w:val="18"/>
              </w:rPr>
            </w:pPr>
            <w:r>
              <w:rPr>
                <w:rFonts w:hint="eastAsia"/>
                <w:sz w:val="18"/>
                <w:szCs w:val="18"/>
              </w:rPr>
              <w:t>同 学</w:t>
            </w:r>
          </w:p>
        </w:tc>
        <w:tc>
          <w:tcPr>
            <w:tcW w:w="1611" w:type="dxa"/>
            <w:tcBorders>
              <w:top w:val="single" w:color="000000" w:sz="12" w:space="0"/>
              <w:left w:val="nil"/>
              <w:bottom w:val="single" w:color="000000" w:sz="12" w:space="0"/>
              <w:right w:val="nil"/>
            </w:tcBorders>
            <w:vAlign w:val="center"/>
          </w:tcPr>
          <w:p>
            <w:pPr>
              <w:jc w:val="center"/>
              <w:rPr>
                <w:sz w:val="18"/>
                <w:szCs w:val="18"/>
              </w:rPr>
            </w:pPr>
            <w:r>
              <w:rPr>
                <w:rFonts w:hint="eastAsia"/>
                <w:sz w:val="18"/>
                <w:szCs w:val="1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4" w:hRule="atLeast"/>
        </w:trPr>
        <w:tc>
          <w:tcPr>
            <w:tcW w:w="3286" w:type="dxa"/>
            <w:tcBorders>
              <w:top w:val="single" w:color="000000" w:sz="12" w:space="0"/>
              <w:left w:val="nil"/>
              <w:bottom w:val="nil"/>
              <w:right w:val="nil"/>
            </w:tcBorders>
            <w:vAlign w:val="center"/>
          </w:tcPr>
          <w:p>
            <w:pPr>
              <w:jc w:val="center"/>
              <w:rPr>
                <w:sz w:val="18"/>
                <w:szCs w:val="18"/>
              </w:rPr>
            </w:pPr>
            <w:r>
              <w:rPr>
                <w:rFonts w:hint="eastAsia"/>
                <w:sz w:val="18"/>
                <w:szCs w:val="18"/>
              </w:rPr>
              <w:t>对于思政教学目标不明确</w:t>
            </w:r>
          </w:p>
        </w:tc>
        <w:tc>
          <w:tcPr>
            <w:tcW w:w="1286" w:type="dxa"/>
            <w:tcBorders>
              <w:top w:val="single" w:color="000000" w:sz="12" w:space="0"/>
              <w:left w:val="nil"/>
              <w:bottom w:val="nil"/>
              <w:right w:val="nil"/>
            </w:tcBorders>
            <w:vAlign w:val="center"/>
          </w:tcPr>
          <w:p>
            <w:pPr>
              <w:jc w:val="center"/>
              <w:rPr>
                <w:sz w:val="18"/>
                <w:szCs w:val="18"/>
              </w:rPr>
            </w:pPr>
            <w:r>
              <w:rPr>
                <w:rFonts w:hint="eastAsia"/>
                <w:sz w:val="18"/>
                <w:szCs w:val="18"/>
              </w:rPr>
              <w:t>60%</w:t>
            </w:r>
          </w:p>
        </w:tc>
        <w:tc>
          <w:tcPr>
            <w:tcW w:w="1288" w:type="dxa"/>
            <w:tcBorders>
              <w:top w:val="single" w:color="000000" w:sz="12" w:space="0"/>
              <w:left w:val="nil"/>
              <w:bottom w:val="nil"/>
              <w:right w:val="nil"/>
            </w:tcBorders>
            <w:vAlign w:val="center"/>
          </w:tcPr>
          <w:p>
            <w:pPr>
              <w:jc w:val="center"/>
              <w:rPr>
                <w:sz w:val="18"/>
                <w:szCs w:val="18"/>
              </w:rPr>
            </w:pPr>
            <w:r>
              <w:rPr>
                <w:rFonts w:hint="eastAsia"/>
                <w:sz w:val="18"/>
                <w:szCs w:val="18"/>
              </w:rPr>
              <w:t>41%</w:t>
            </w:r>
          </w:p>
        </w:tc>
        <w:tc>
          <w:tcPr>
            <w:tcW w:w="1286" w:type="dxa"/>
            <w:tcBorders>
              <w:top w:val="single" w:color="000000" w:sz="12" w:space="0"/>
              <w:left w:val="nil"/>
              <w:bottom w:val="nil"/>
              <w:right w:val="nil"/>
            </w:tcBorders>
            <w:vAlign w:val="center"/>
          </w:tcPr>
          <w:p>
            <w:pPr>
              <w:jc w:val="center"/>
              <w:rPr>
                <w:sz w:val="18"/>
                <w:szCs w:val="18"/>
              </w:rPr>
            </w:pPr>
            <w:r>
              <w:rPr>
                <w:rFonts w:hint="eastAsia"/>
                <w:sz w:val="18"/>
                <w:szCs w:val="18"/>
              </w:rPr>
              <w:t>53%</w:t>
            </w:r>
          </w:p>
        </w:tc>
        <w:tc>
          <w:tcPr>
            <w:tcW w:w="1611" w:type="dxa"/>
            <w:tcBorders>
              <w:top w:val="single" w:color="000000" w:sz="12" w:space="0"/>
              <w:left w:val="nil"/>
              <w:bottom w:val="nil"/>
              <w:right w:val="nil"/>
            </w:tcBorders>
            <w:vAlign w:val="center"/>
          </w:tcPr>
          <w:p>
            <w:pPr>
              <w:jc w:val="center"/>
              <w:rPr>
                <w:sz w:val="18"/>
                <w:szCs w:val="18"/>
              </w:rPr>
            </w:pPr>
            <w:r>
              <w:rPr>
                <w:rFonts w:hint="eastAsia"/>
                <w:sz w:val="18"/>
                <w:szCs w:val="18"/>
              </w:rPr>
              <w:t>含“目标不明确但感觉重要”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2" w:hRule="atLeast"/>
        </w:trPr>
        <w:tc>
          <w:tcPr>
            <w:tcW w:w="3286" w:type="dxa"/>
            <w:tcBorders>
              <w:top w:val="nil"/>
              <w:left w:val="nil"/>
              <w:bottom w:val="nil"/>
              <w:right w:val="nil"/>
            </w:tcBorders>
            <w:vAlign w:val="center"/>
          </w:tcPr>
          <w:p>
            <w:pPr>
              <w:rPr>
                <w:sz w:val="18"/>
                <w:szCs w:val="18"/>
              </w:rPr>
            </w:pPr>
            <w:r>
              <w:rPr>
                <w:rFonts w:hint="eastAsia"/>
                <w:sz w:val="18"/>
                <w:szCs w:val="18"/>
              </w:rPr>
              <w:t xml:space="preserve">       认为专业课更重要</w:t>
            </w:r>
          </w:p>
        </w:tc>
        <w:tc>
          <w:tcPr>
            <w:tcW w:w="1286" w:type="dxa"/>
            <w:tcBorders>
              <w:top w:val="nil"/>
              <w:left w:val="nil"/>
              <w:bottom w:val="nil"/>
              <w:right w:val="nil"/>
            </w:tcBorders>
            <w:vAlign w:val="center"/>
          </w:tcPr>
          <w:p>
            <w:pPr>
              <w:jc w:val="center"/>
              <w:rPr>
                <w:sz w:val="18"/>
                <w:szCs w:val="18"/>
              </w:rPr>
            </w:pPr>
            <w:r>
              <w:rPr>
                <w:rFonts w:hint="eastAsia"/>
                <w:sz w:val="18"/>
                <w:szCs w:val="18"/>
              </w:rPr>
              <w:t>44%</w:t>
            </w:r>
          </w:p>
        </w:tc>
        <w:tc>
          <w:tcPr>
            <w:tcW w:w="1288" w:type="dxa"/>
            <w:tcBorders>
              <w:top w:val="nil"/>
              <w:left w:val="nil"/>
              <w:bottom w:val="nil"/>
              <w:right w:val="nil"/>
            </w:tcBorders>
            <w:vAlign w:val="center"/>
          </w:tcPr>
          <w:p>
            <w:pPr>
              <w:jc w:val="center"/>
              <w:rPr>
                <w:sz w:val="18"/>
                <w:szCs w:val="18"/>
              </w:rPr>
            </w:pPr>
            <w:r>
              <w:rPr>
                <w:rFonts w:hint="eastAsia"/>
                <w:sz w:val="18"/>
                <w:szCs w:val="18"/>
              </w:rPr>
              <w:t>67%</w:t>
            </w:r>
          </w:p>
        </w:tc>
        <w:tc>
          <w:tcPr>
            <w:tcW w:w="1286" w:type="dxa"/>
            <w:tcBorders>
              <w:top w:val="nil"/>
              <w:left w:val="nil"/>
              <w:bottom w:val="nil"/>
              <w:right w:val="nil"/>
            </w:tcBorders>
            <w:vAlign w:val="center"/>
          </w:tcPr>
          <w:p>
            <w:pPr>
              <w:jc w:val="center"/>
              <w:rPr>
                <w:sz w:val="18"/>
                <w:szCs w:val="18"/>
              </w:rPr>
            </w:pPr>
            <w:r>
              <w:rPr>
                <w:rFonts w:hint="eastAsia"/>
                <w:sz w:val="18"/>
                <w:szCs w:val="18"/>
              </w:rPr>
              <w:t>66%</w:t>
            </w:r>
          </w:p>
        </w:tc>
        <w:tc>
          <w:tcPr>
            <w:tcW w:w="1611" w:type="dxa"/>
            <w:tcBorders>
              <w:top w:val="nil"/>
              <w:left w:val="nil"/>
              <w:bottom w:val="nil"/>
              <w:right w:val="nil"/>
            </w:tcBorders>
            <w:vAlign w:val="center"/>
          </w:tcPr>
          <w:p>
            <w:pPr>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2" w:hRule="atLeast"/>
        </w:trPr>
        <w:tc>
          <w:tcPr>
            <w:tcW w:w="3286" w:type="dxa"/>
            <w:tcBorders>
              <w:top w:val="nil"/>
              <w:left w:val="nil"/>
              <w:bottom w:val="nil"/>
              <w:right w:val="nil"/>
            </w:tcBorders>
            <w:vAlign w:val="center"/>
          </w:tcPr>
          <w:p>
            <w:pPr>
              <w:jc w:val="center"/>
              <w:rPr>
                <w:sz w:val="18"/>
                <w:szCs w:val="18"/>
              </w:rPr>
            </w:pPr>
            <w:r>
              <w:rPr>
                <w:rFonts w:hint="eastAsia"/>
                <w:sz w:val="18"/>
                <w:szCs w:val="18"/>
              </w:rPr>
              <w:t>上课能保证不做其他事情</w:t>
            </w:r>
          </w:p>
        </w:tc>
        <w:tc>
          <w:tcPr>
            <w:tcW w:w="1286" w:type="dxa"/>
            <w:tcBorders>
              <w:top w:val="nil"/>
              <w:left w:val="nil"/>
              <w:bottom w:val="nil"/>
              <w:right w:val="nil"/>
            </w:tcBorders>
            <w:vAlign w:val="center"/>
          </w:tcPr>
          <w:p>
            <w:pPr>
              <w:jc w:val="center"/>
              <w:rPr>
                <w:sz w:val="18"/>
                <w:szCs w:val="18"/>
              </w:rPr>
            </w:pPr>
            <w:r>
              <w:rPr>
                <w:rFonts w:hint="eastAsia"/>
                <w:sz w:val="18"/>
                <w:szCs w:val="18"/>
              </w:rPr>
              <w:t>70%</w:t>
            </w:r>
          </w:p>
        </w:tc>
        <w:tc>
          <w:tcPr>
            <w:tcW w:w="1288" w:type="dxa"/>
            <w:tcBorders>
              <w:top w:val="nil"/>
              <w:left w:val="nil"/>
              <w:bottom w:val="nil"/>
              <w:right w:val="nil"/>
            </w:tcBorders>
            <w:vAlign w:val="center"/>
          </w:tcPr>
          <w:p>
            <w:pPr>
              <w:jc w:val="center"/>
              <w:rPr>
                <w:sz w:val="18"/>
                <w:szCs w:val="18"/>
              </w:rPr>
            </w:pPr>
            <w:r>
              <w:rPr>
                <w:rFonts w:hint="eastAsia"/>
                <w:sz w:val="18"/>
                <w:szCs w:val="18"/>
              </w:rPr>
              <w:t>56%</w:t>
            </w:r>
          </w:p>
        </w:tc>
        <w:tc>
          <w:tcPr>
            <w:tcW w:w="1286" w:type="dxa"/>
            <w:tcBorders>
              <w:top w:val="nil"/>
              <w:left w:val="nil"/>
              <w:bottom w:val="nil"/>
              <w:right w:val="nil"/>
            </w:tcBorders>
            <w:vAlign w:val="center"/>
          </w:tcPr>
          <w:p>
            <w:pPr>
              <w:jc w:val="center"/>
              <w:rPr>
                <w:sz w:val="18"/>
                <w:szCs w:val="18"/>
              </w:rPr>
            </w:pPr>
            <w:r>
              <w:rPr>
                <w:rFonts w:hint="eastAsia"/>
                <w:sz w:val="18"/>
                <w:szCs w:val="18"/>
              </w:rPr>
              <w:t>43%</w:t>
            </w:r>
          </w:p>
        </w:tc>
        <w:tc>
          <w:tcPr>
            <w:tcW w:w="1611" w:type="dxa"/>
            <w:tcBorders>
              <w:top w:val="nil"/>
              <w:left w:val="nil"/>
              <w:bottom w:val="nil"/>
              <w:right w:val="nil"/>
            </w:tcBorders>
            <w:vAlign w:val="center"/>
          </w:tcPr>
          <w:p>
            <w:pPr>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2" w:hRule="atLeast"/>
        </w:trPr>
        <w:tc>
          <w:tcPr>
            <w:tcW w:w="3286" w:type="dxa"/>
            <w:tcBorders>
              <w:top w:val="nil"/>
              <w:left w:val="nil"/>
              <w:bottom w:val="nil"/>
              <w:right w:val="nil"/>
            </w:tcBorders>
            <w:vAlign w:val="center"/>
          </w:tcPr>
          <w:p>
            <w:pPr>
              <w:jc w:val="center"/>
              <w:rPr>
                <w:sz w:val="18"/>
                <w:szCs w:val="18"/>
              </w:rPr>
            </w:pPr>
            <w:r>
              <w:rPr>
                <w:rFonts w:hint="eastAsia"/>
                <w:sz w:val="18"/>
                <w:szCs w:val="18"/>
              </w:rPr>
              <w:t>思政课有一定指导意义，但作用不大</w:t>
            </w:r>
          </w:p>
        </w:tc>
        <w:tc>
          <w:tcPr>
            <w:tcW w:w="1286" w:type="dxa"/>
            <w:tcBorders>
              <w:top w:val="nil"/>
              <w:left w:val="nil"/>
              <w:bottom w:val="nil"/>
              <w:right w:val="nil"/>
            </w:tcBorders>
            <w:vAlign w:val="center"/>
          </w:tcPr>
          <w:p>
            <w:pPr>
              <w:jc w:val="center"/>
              <w:rPr>
                <w:sz w:val="18"/>
                <w:szCs w:val="18"/>
              </w:rPr>
            </w:pPr>
            <w:r>
              <w:rPr>
                <w:rFonts w:hint="eastAsia"/>
                <w:sz w:val="18"/>
                <w:szCs w:val="18"/>
              </w:rPr>
              <w:t>45%</w:t>
            </w:r>
          </w:p>
        </w:tc>
        <w:tc>
          <w:tcPr>
            <w:tcW w:w="1288" w:type="dxa"/>
            <w:tcBorders>
              <w:top w:val="nil"/>
              <w:left w:val="nil"/>
              <w:bottom w:val="nil"/>
              <w:right w:val="nil"/>
            </w:tcBorders>
            <w:vAlign w:val="center"/>
          </w:tcPr>
          <w:p>
            <w:pPr>
              <w:jc w:val="center"/>
              <w:rPr>
                <w:sz w:val="18"/>
                <w:szCs w:val="18"/>
              </w:rPr>
            </w:pPr>
            <w:r>
              <w:rPr>
                <w:rFonts w:hint="eastAsia"/>
                <w:sz w:val="18"/>
                <w:szCs w:val="18"/>
              </w:rPr>
              <w:t>38%</w:t>
            </w:r>
          </w:p>
        </w:tc>
        <w:tc>
          <w:tcPr>
            <w:tcW w:w="1286" w:type="dxa"/>
            <w:tcBorders>
              <w:top w:val="nil"/>
              <w:left w:val="nil"/>
              <w:bottom w:val="nil"/>
              <w:right w:val="nil"/>
            </w:tcBorders>
            <w:vAlign w:val="center"/>
          </w:tcPr>
          <w:p>
            <w:pPr>
              <w:jc w:val="center"/>
              <w:rPr>
                <w:sz w:val="18"/>
                <w:szCs w:val="18"/>
              </w:rPr>
            </w:pPr>
            <w:r>
              <w:rPr>
                <w:rFonts w:hint="eastAsia"/>
                <w:sz w:val="18"/>
                <w:szCs w:val="18"/>
              </w:rPr>
              <w:t>57%</w:t>
            </w:r>
          </w:p>
        </w:tc>
        <w:tc>
          <w:tcPr>
            <w:tcW w:w="1611" w:type="dxa"/>
            <w:tcBorders>
              <w:top w:val="nil"/>
              <w:left w:val="nil"/>
              <w:bottom w:val="nil"/>
              <w:right w:val="nil"/>
            </w:tcBorders>
            <w:vAlign w:val="center"/>
          </w:tcPr>
          <w:p>
            <w:pPr>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2" w:hRule="atLeast"/>
        </w:trPr>
        <w:tc>
          <w:tcPr>
            <w:tcW w:w="3286" w:type="dxa"/>
            <w:tcBorders>
              <w:top w:val="nil"/>
              <w:left w:val="nil"/>
              <w:bottom w:val="nil"/>
              <w:right w:val="nil"/>
            </w:tcBorders>
            <w:vAlign w:val="center"/>
          </w:tcPr>
          <w:p>
            <w:pPr>
              <w:jc w:val="center"/>
              <w:rPr>
                <w:sz w:val="18"/>
                <w:szCs w:val="18"/>
              </w:rPr>
            </w:pPr>
            <w:r>
              <w:rPr>
                <w:rFonts w:hint="eastAsia"/>
                <w:sz w:val="18"/>
                <w:szCs w:val="18"/>
              </w:rPr>
              <w:t>参与度一般，不主动不积极</w:t>
            </w:r>
          </w:p>
        </w:tc>
        <w:tc>
          <w:tcPr>
            <w:tcW w:w="1286" w:type="dxa"/>
            <w:tcBorders>
              <w:top w:val="nil"/>
              <w:left w:val="nil"/>
              <w:bottom w:val="nil"/>
              <w:right w:val="nil"/>
            </w:tcBorders>
            <w:vAlign w:val="center"/>
          </w:tcPr>
          <w:p>
            <w:pPr>
              <w:jc w:val="center"/>
              <w:rPr>
                <w:sz w:val="18"/>
                <w:szCs w:val="18"/>
              </w:rPr>
            </w:pPr>
            <w:r>
              <w:rPr>
                <w:rFonts w:hint="eastAsia"/>
                <w:sz w:val="18"/>
                <w:szCs w:val="18"/>
              </w:rPr>
              <w:t>68%</w:t>
            </w:r>
          </w:p>
        </w:tc>
        <w:tc>
          <w:tcPr>
            <w:tcW w:w="1288" w:type="dxa"/>
            <w:tcBorders>
              <w:top w:val="nil"/>
              <w:left w:val="nil"/>
              <w:bottom w:val="nil"/>
              <w:right w:val="nil"/>
            </w:tcBorders>
            <w:vAlign w:val="center"/>
          </w:tcPr>
          <w:p>
            <w:pPr>
              <w:jc w:val="center"/>
              <w:rPr>
                <w:sz w:val="18"/>
                <w:szCs w:val="18"/>
              </w:rPr>
            </w:pPr>
            <w:r>
              <w:rPr>
                <w:rFonts w:hint="eastAsia"/>
                <w:sz w:val="18"/>
                <w:szCs w:val="18"/>
              </w:rPr>
              <w:t>67%</w:t>
            </w:r>
          </w:p>
        </w:tc>
        <w:tc>
          <w:tcPr>
            <w:tcW w:w="1286" w:type="dxa"/>
            <w:tcBorders>
              <w:top w:val="nil"/>
              <w:left w:val="nil"/>
              <w:bottom w:val="nil"/>
              <w:right w:val="nil"/>
            </w:tcBorders>
            <w:vAlign w:val="center"/>
          </w:tcPr>
          <w:p>
            <w:pPr>
              <w:jc w:val="center"/>
              <w:rPr>
                <w:sz w:val="18"/>
                <w:szCs w:val="18"/>
              </w:rPr>
            </w:pPr>
            <w:r>
              <w:rPr>
                <w:rFonts w:hint="eastAsia"/>
                <w:sz w:val="18"/>
                <w:szCs w:val="18"/>
              </w:rPr>
              <w:t>76%</w:t>
            </w:r>
          </w:p>
        </w:tc>
        <w:tc>
          <w:tcPr>
            <w:tcW w:w="1611" w:type="dxa"/>
            <w:tcBorders>
              <w:top w:val="nil"/>
              <w:left w:val="nil"/>
              <w:bottom w:val="nil"/>
              <w:right w:val="nil"/>
            </w:tcBorders>
            <w:vAlign w:val="center"/>
          </w:tcPr>
          <w:p>
            <w:pPr>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2" w:hRule="atLeast"/>
        </w:trPr>
        <w:tc>
          <w:tcPr>
            <w:tcW w:w="3286" w:type="dxa"/>
            <w:tcBorders>
              <w:top w:val="nil"/>
              <w:left w:val="nil"/>
              <w:bottom w:val="nil"/>
              <w:right w:val="nil"/>
            </w:tcBorders>
            <w:vAlign w:val="center"/>
          </w:tcPr>
          <w:p>
            <w:pPr>
              <w:jc w:val="center"/>
              <w:rPr>
                <w:sz w:val="18"/>
                <w:szCs w:val="18"/>
              </w:rPr>
            </w:pPr>
            <w:r>
              <w:rPr>
                <w:rFonts w:hint="eastAsia"/>
                <w:sz w:val="18"/>
                <w:szCs w:val="18"/>
              </w:rPr>
              <w:t>上课经常偷偷玩手机</w:t>
            </w:r>
          </w:p>
        </w:tc>
        <w:tc>
          <w:tcPr>
            <w:tcW w:w="1286" w:type="dxa"/>
            <w:tcBorders>
              <w:top w:val="nil"/>
              <w:left w:val="nil"/>
              <w:bottom w:val="nil"/>
              <w:right w:val="nil"/>
            </w:tcBorders>
            <w:vAlign w:val="center"/>
          </w:tcPr>
          <w:p>
            <w:pPr>
              <w:jc w:val="center"/>
              <w:rPr>
                <w:sz w:val="18"/>
                <w:szCs w:val="18"/>
              </w:rPr>
            </w:pPr>
            <w:r>
              <w:rPr>
                <w:rFonts w:hint="eastAsia"/>
                <w:sz w:val="18"/>
                <w:szCs w:val="18"/>
              </w:rPr>
              <w:t>7%</w:t>
            </w:r>
          </w:p>
        </w:tc>
        <w:tc>
          <w:tcPr>
            <w:tcW w:w="1288" w:type="dxa"/>
            <w:tcBorders>
              <w:top w:val="nil"/>
              <w:left w:val="nil"/>
              <w:bottom w:val="nil"/>
              <w:right w:val="nil"/>
            </w:tcBorders>
            <w:vAlign w:val="center"/>
          </w:tcPr>
          <w:p>
            <w:pPr>
              <w:jc w:val="center"/>
              <w:rPr>
                <w:sz w:val="18"/>
                <w:szCs w:val="18"/>
              </w:rPr>
            </w:pPr>
            <w:r>
              <w:rPr>
                <w:rFonts w:hint="eastAsia"/>
                <w:sz w:val="18"/>
                <w:szCs w:val="18"/>
              </w:rPr>
              <w:t>25%</w:t>
            </w:r>
          </w:p>
        </w:tc>
        <w:tc>
          <w:tcPr>
            <w:tcW w:w="1286" w:type="dxa"/>
            <w:tcBorders>
              <w:top w:val="nil"/>
              <w:left w:val="nil"/>
              <w:bottom w:val="nil"/>
              <w:right w:val="nil"/>
            </w:tcBorders>
            <w:vAlign w:val="center"/>
          </w:tcPr>
          <w:p>
            <w:pPr>
              <w:jc w:val="center"/>
              <w:rPr>
                <w:sz w:val="18"/>
                <w:szCs w:val="18"/>
              </w:rPr>
            </w:pPr>
            <w:r>
              <w:rPr>
                <w:rFonts w:hint="eastAsia"/>
                <w:sz w:val="18"/>
                <w:szCs w:val="18"/>
              </w:rPr>
              <w:t>30%</w:t>
            </w:r>
          </w:p>
        </w:tc>
        <w:tc>
          <w:tcPr>
            <w:tcW w:w="1611" w:type="dxa"/>
            <w:tcBorders>
              <w:top w:val="nil"/>
              <w:left w:val="nil"/>
              <w:bottom w:val="nil"/>
              <w:right w:val="nil"/>
            </w:tcBorders>
            <w:vAlign w:val="center"/>
          </w:tcPr>
          <w:p>
            <w:pPr>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atLeast"/>
        </w:trPr>
        <w:tc>
          <w:tcPr>
            <w:tcW w:w="3286" w:type="dxa"/>
            <w:tcBorders>
              <w:top w:val="nil"/>
              <w:left w:val="nil"/>
              <w:bottom w:val="nil"/>
              <w:right w:val="nil"/>
            </w:tcBorders>
            <w:vAlign w:val="center"/>
          </w:tcPr>
          <w:p>
            <w:pPr>
              <w:jc w:val="center"/>
              <w:rPr>
                <w:rFonts w:hint="eastAsia" w:ascii="宋体" w:hAnsi="宋体"/>
                <w:sz w:val="18"/>
                <w:szCs w:val="18"/>
              </w:rPr>
            </w:pPr>
            <w:r>
              <w:rPr>
                <w:rFonts w:hint="eastAsia"/>
                <w:sz w:val="18"/>
                <w:szCs w:val="18"/>
              </w:rPr>
              <w:t>40</w:t>
            </w:r>
            <w:r>
              <w:rPr>
                <w:rFonts w:hint="eastAsia" w:ascii="宋体" w:hAnsi="宋体"/>
                <w:sz w:val="18"/>
                <w:szCs w:val="18"/>
              </w:rPr>
              <w:t>分钟课程教学中，能专心上课</w:t>
            </w:r>
          </w:p>
          <w:p>
            <w:pPr>
              <w:jc w:val="center"/>
              <w:rPr>
                <w:sz w:val="18"/>
                <w:szCs w:val="18"/>
              </w:rPr>
            </w:pPr>
            <w:r>
              <w:rPr>
                <w:rFonts w:hint="eastAsia"/>
                <w:sz w:val="18"/>
                <w:szCs w:val="18"/>
              </w:rPr>
              <w:t>30</w:t>
            </w:r>
            <w:r>
              <w:rPr>
                <w:rFonts w:hint="eastAsia" w:ascii="宋体" w:hAnsi="宋体"/>
                <w:sz w:val="18"/>
                <w:szCs w:val="18"/>
              </w:rPr>
              <w:t>分钟以上</w:t>
            </w:r>
          </w:p>
        </w:tc>
        <w:tc>
          <w:tcPr>
            <w:tcW w:w="1286" w:type="dxa"/>
            <w:tcBorders>
              <w:top w:val="nil"/>
              <w:left w:val="nil"/>
              <w:bottom w:val="nil"/>
              <w:right w:val="nil"/>
            </w:tcBorders>
            <w:vAlign w:val="center"/>
          </w:tcPr>
          <w:p>
            <w:pPr>
              <w:jc w:val="center"/>
              <w:rPr>
                <w:sz w:val="18"/>
                <w:szCs w:val="18"/>
              </w:rPr>
            </w:pPr>
            <w:r>
              <w:rPr>
                <w:rFonts w:hint="eastAsia"/>
                <w:sz w:val="18"/>
                <w:szCs w:val="18"/>
              </w:rPr>
              <w:t>21%</w:t>
            </w:r>
          </w:p>
        </w:tc>
        <w:tc>
          <w:tcPr>
            <w:tcW w:w="1288" w:type="dxa"/>
            <w:tcBorders>
              <w:top w:val="nil"/>
              <w:left w:val="nil"/>
              <w:bottom w:val="nil"/>
              <w:right w:val="nil"/>
            </w:tcBorders>
            <w:vAlign w:val="center"/>
          </w:tcPr>
          <w:p>
            <w:pPr>
              <w:jc w:val="center"/>
              <w:rPr>
                <w:sz w:val="18"/>
                <w:szCs w:val="18"/>
              </w:rPr>
            </w:pPr>
            <w:r>
              <w:rPr>
                <w:rFonts w:hint="eastAsia"/>
                <w:sz w:val="18"/>
                <w:szCs w:val="18"/>
              </w:rPr>
              <w:t>13%</w:t>
            </w:r>
          </w:p>
        </w:tc>
        <w:tc>
          <w:tcPr>
            <w:tcW w:w="1286" w:type="dxa"/>
            <w:tcBorders>
              <w:top w:val="nil"/>
              <w:left w:val="nil"/>
              <w:bottom w:val="nil"/>
              <w:right w:val="nil"/>
            </w:tcBorders>
            <w:vAlign w:val="center"/>
          </w:tcPr>
          <w:p>
            <w:pPr>
              <w:jc w:val="center"/>
              <w:rPr>
                <w:sz w:val="18"/>
                <w:szCs w:val="18"/>
              </w:rPr>
            </w:pPr>
            <w:r>
              <w:rPr>
                <w:rFonts w:hint="eastAsia"/>
                <w:sz w:val="18"/>
                <w:szCs w:val="18"/>
              </w:rPr>
              <w:t>7%</w:t>
            </w:r>
          </w:p>
        </w:tc>
        <w:tc>
          <w:tcPr>
            <w:tcW w:w="1611" w:type="dxa"/>
            <w:tcBorders>
              <w:top w:val="nil"/>
              <w:left w:val="nil"/>
              <w:bottom w:val="nil"/>
              <w:right w:val="nil"/>
            </w:tcBorders>
            <w:vAlign w:val="center"/>
          </w:tcPr>
          <w:p>
            <w:pPr>
              <w:jc w:val="center"/>
              <w:rPr>
                <w:sz w:val="18"/>
                <w:szCs w:val="18"/>
              </w:rPr>
            </w:pPr>
            <w:r>
              <w:rPr>
                <w:rFonts w:hint="eastAsia"/>
                <w:sz w:val="18"/>
                <w:szCs w:val="18"/>
              </w:rPr>
              <w:t>调查设定一节课为40</w:t>
            </w:r>
            <w:r>
              <w:rPr>
                <w:rFonts w:hint="eastAsia" w:ascii="宋体" w:hAnsi="宋体"/>
                <w:sz w:val="18"/>
                <w:szCs w:val="18"/>
              </w:rPr>
              <w:t>分钟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9" w:hRule="atLeast"/>
        </w:trPr>
        <w:tc>
          <w:tcPr>
            <w:tcW w:w="3286" w:type="dxa"/>
            <w:tcBorders>
              <w:top w:val="nil"/>
              <w:left w:val="nil"/>
              <w:bottom w:val="single" w:color="auto" w:sz="12" w:space="0"/>
              <w:right w:val="nil"/>
            </w:tcBorders>
            <w:vAlign w:val="center"/>
          </w:tcPr>
          <w:p>
            <w:pPr>
              <w:jc w:val="center"/>
              <w:rPr>
                <w:sz w:val="18"/>
                <w:szCs w:val="18"/>
              </w:rPr>
            </w:pPr>
            <w:r>
              <w:rPr>
                <w:rFonts w:hint="eastAsia"/>
                <w:sz w:val="18"/>
                <w:szCs w:val="18"/>
              </w:rPr>
              <w:t>发呆不知所云</w:t>
            </w:r>
          </w:p>
        </w:tc>
        <w:tc>
          <w:tcPr>
            <w:tcW w:w="1286" w:type="dxa"/>
            <w:tcBorders>
              <w:top w:val="nil"/>
              <w:left w:val="nil"/>
              <w:bottom w:val="single" w:color="auto" w:sz="12" w:space="0"/>
              <w:right w:val="nil"/>
            </w:tcBorders>
            <w:vAlign w:val="center"/>
          </w:tcPr>
          <w:p>
            <w:pPr>
              <w:jc w:val="center"/>
              <w:rPr>
                <w:sz w:val="18"/>
                <w:szCs w:val="18"/>
              </w:rPr>
            </w:pPr>
            <w:r>
              <w:rPr>
                <w:rFonts w:hint="eastAsia"/>
                <w:sz w:val="18"/>
                <w:szCs w:val="18"/>
              </w:rPr>
              <w:t>22%</w:t>
            </w:r>
          </w:p>
        </w:tc>
        <w:tc>
          <w:tcPr>
            <w:tcW w:w="1288" w:type="dxa"/>
            <w:tcBorders>
              <w:top w:val="nil"/>
              <w:left w:val="nil"/>
              <w:bottom w:val="single" w:color="auto" w:sz="12" w:space="0"/>
              <w:right w:val="nil"/>
            </w:tcBorders>
            <w:vAlign w:val="center"/>
          </w:tcPr>
          <w:p>
            <w:pPr>
              <w:jc w:val="center"/>
              <w:rPr>
                <w:sz w:val="18"/>
                <w:szCs w:val="18"/>
              </w:rPr>
            </w:pPr>
            <w:r>
              <w:rPr>
                <w:rFonts w:hint="eastAsia"/>
                <w:sz w:val="18"/>
                <w:szCs w:val="18"/>
              </w:rPr>
              <w:t>20%</w:t>
            </w:r>
          </w:p>
        </w:tc>
        <w:tc>
          <w:tcPr>
            <w:tcW w:w="1286" w:type="dxa"/>
            <w:tcBorders>
              <w:top w:val="nil"/>
              <w:left w:val="nil"/>
              <w:bottom w:val="single" w:color="auto" w:sz="12" w:space="0"/>
              <w:right w:val="nil"/>
            </w:tcBorders>
            <w:vAlign w:val="center"/>
          </w:tcPr>
          <w:p>
            <w:pPr>
              <w:jc w:val="center"/>
              <w:rPr>
                <w:sz w:val="18"/>
                <w:szCs w:val="18"/>
              </w:rPr>
            </w:pPr>
            <w:r>
              <w:rPr>
                <w:rFonts w:hint="eastAsia"/>
                <w:sz w:val="18"/>
                <w:szCs w:val="18"/>
              </w:rPr>
              <w:t>22%</w:t>
            </w:r>
          </w:p>
        </w:tc>
        <w:tc>
          <w:tcPr>
            <w:tcW w:w="1611" w:type="dxa"/>
            <w:tcBorders>
              <w:top w:val="nil"/>
              <w:left w:val="nil"/>
              <w:bottom w:val="single" w:color="auto" w:sz="12" w:space="0"/>
              <w:right w:val="nil"/>
            </w:tcBorders>
            <w:vAlign w:val="center"/>
          </w:tcPr>
          <w:p>
            <w:pPr>
              <w:jc w:val="center"/>
              <w:rPr>
                <w:sz w:val="18"/>
                <w:szCs w:val="18"/>
              </w:rPr>
            </w:pPr>
          </w:p>
        </w:tc>
      </w:tr>
    </w:tbl>
    <w:p>
      <w:pPr>
        <w:ind w:firstLine="422" w:firstLineChars="200"/>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三、思政课堂教学有效性提升途径探究</w:t>
      </w:r>
    </w:p>
    <w:p>
      <w:pPr>
        <w:ind w:firstLine="422" w:firstLineChars="2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sz w:val="21"/>
          <w:szCs w:val="21"/>
          <w:lang w:val="en-US" w:eastAsia="zh-CN"/>
        </w:rPr>
        <w:t>1.</w:t>
      </w:r>
      <w:r>
        <w:rPr>
          <w:rFonts w:hint="eastAsia" w:asciiTheme="minorEastAsia" w:hAnsiTheme="minorEastAsia" w:eastAsiaTheme="minorEastAsia" w:cstheme="minorEastAsia"/>
          <w:b/>
          <w:sz w:val="21"/>
          <w:szCs w:val="21"/>
        </w:rPr>
        <w:t>齐抓共管携手共建，提升思政课堂教学有效性。</w:t>
      </w:r>
      <w:r>
        <w:rPr>
          <w:rFonts w:hint="eastAsia" w:asciiTheme="minorEastAsia" w:hAnsiTheme="minorEastAsia" w:eastAsiaTheme="minorEastAsia" w:cstheme="minorEastAsia"/>
          <w:sz w:val="21"/>
          <w:szCs w:val="21"/>
        </w:rPr>
        <w:t>思政课堂教学有效性提升要明确“党委领导是保证、思政教师是关键、学生是主体”的理念，具体要做到以下几点：</w:t>
      </w:r>
    </w:p>
    <w:p>
      <w:pPr>
        <w:ind w:firstLine="420" w:firstLineChars="2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val="0"/>
          <w:bCs w:val="0"/>
          <w:sz w:val="21"/>
          <w:szCs w:val="21"/>
          <w:lang w:eastAsia="zh-CN"/>
        </w:rPr>
        <w:t>（</w:t>
      </w:r>
      <w:r>
        <w:rPr>
          <w:rFonts w:hint="eastAsia" w:asciiTheme="minorEastAsia" w:hAnsiTheme="minorEastAsia" w:eastAsiaTheme="minorEastAsia" w:cstheme="minorEastAsia"/>
          <w:b w:val="0"/>
          <w:bCs w:val="0"/>
          <w:sz w:val="21"/>
          <w:szCs w:val="21"/>
          <w:lang w:val="en-US" w:eastAsia="zh-CN"/>
        </w:rPr>
        <w:t>1</w:t>
      </w:r>
      <w:r>
        <w:rPr>
          <w:rFonts w:hint="eastAsia" w:asciiTheme="minorEastAsia" w:hAnsiTheme="minorEastAsia" w:eastAsiaTheme="minorEastAsia" w:cstheme="minorEastAsia"/>
          <w:b w:val="0"/>
          <w:bCs w:val="0"/>
          <w:sz w:val="21"/>
          <w:szCs w:val="21"/>
          <w:lang w:eastAsia="zh-CN"/>
        </w:rPr>
        <w:t>）</w:t>
      </w:r>
      <w:r>
        <w:rPr>
          <w:rFonts w:hint="eastAsia" w:asciiTheme="minorEastAsia" w:hAnsiTheme="minorEastAsia" w:eastAsiaTheme="minorEastAsia" w:cstheme="minorEastAsia"/>
          <w:b w:val="0"/>
          <w:bCs w:val="0"/>
          <w:sz w:val="21"/>
          <w:szCs w:val="21"/>
        </w:rPr>
        <w:t>加强顶层设计，最大限度地激发教师、学生参与思政课堂的主动性和积极性。</w:t>
      </w:r>
      <w:r>
        <w:rPr>
          <w:rFonts w:hint="eastAsia" w:asciiTheme="minorEastAsia" w:hAnsiTheme="minorEastAsia" w:eastAsiaTheme="minorEastAsia" w:cstheme="minorEastAsia"/>
          <w:sz w:val="21"/>
          <w:szCs w:val="21"/>
        </w:rPr>
        <w:t>一方面</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rPr>
        <w:t>各学校党委要落实意识形态工作责任制，把思政课堂教学有效性和育人效果放到首要位置，建立健全思政课堂教学有效性提升的长效机制；另一方面</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rPr>
        <w:t>要从制度创新、技术保障、资金投入、人才引进、基础建设等方面大力推进线上线下相结合的思政教育大平台建设，让思政教育走进学生课余时间、甚至伴随学生毕业后的工作生活。</w:t>
      </w:r>
    </w:p>
    <w:p>
      <w:pPr>
        <w:ind w:firstLine="420" w:firstLineChars="2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val="0"/>
          <w:bCs w:val="0"/>
          <w:sz w:val="21"/>
          <w:szCs w:val="21"/>
          <w:lang w:eastAsia="zh-CN"/>
        </w:rPr>
        <w:t>（</w:t>
      </w:r>
      <w:r>
        <w:rPr>
          <w:rFonts w:hint="eastAsia" w:asciiTheme="minorEastAsia" w:hAnsiTheme="minorEastAsia" w:eastAsiaTheme="minorEastAsia" w:cstheme="minorEastAsia"/>
          <w:b w:val="0"/>
          <w:bCs w:val="0"/>
          <w:sz w:val="21"/>
          <w:szCs w:val="21"/>
          <w:lang w:val="en-US" w:eastAsia="zh-CN"/>
        </w:rPr>
        <w:t>2</w:t>
      </w:r>
      <w:r>
        <w:rPr>
          <w:rFonts w:hint="eastAsia" w:asciiTheme="minorEastAsia" w:hAnsiTheme="minorEastAsia" w:eastAsiaTheme="minorEastAsia" w:cstheme="minorEastAsia"/>
          <w:b w:val="0"/>
          <w:bCs w:val="0"/>
          <w:sz w:val="21"/>
          <w:szCs w:val="21"/>
          <w:lang w:eastAsia="zh-CN"/>
        </w:rPr>
        <w:t>）</w:t>
      </w:r>
      <w:r>
        <w:rPr>
          <w:rFonts w:hint="eastAsia" w:asciiTheme="minorEastAsia" w:hAnsiTheme="minorEastAsia" w:eastAsiaTheme="minorEastAsia" w:cstheme="minorEastAsia"/>
          <w:b w:val="0"/>
          <w:bCs w:val="0"/>
          <w:sz w:val="21"/>
          <w:szCs w:val="21"/>
        </w:rPr>
        <w:t>强化师资培养，让学生在思政课堂上有更多的获得感。</w:t>
      </w:r>
      <w:r>
        <w:rPr>
          <w:rFonts w:hint="eastAsia" w:asciiTheme="minorEastAsia" w:hAnsiTheme="minorEastAsia" w:eastAsiaTheme="minorEastAsia" w:cstheme="minorEastAsia"/>
          <w:sz w:val="21"/>
          <w:szCs w:val="21"/>
        </w:rPr>
        <w:t>可以让教师通过政治学习、专题培训、学习强国、中国教育干部网络学院等途径定期开展学习，塑造教师坚定的政治信仰；通过学历教育、继续教育、访问学习、进修教师、外出考察学习等多种方式持续培养思政教师的理论水平；通过职称评定、科研项目申请、出国学习、人才引进等方面的政策倾斜，让思政教师队伍发展走上快车道，拓展教师的视野眼界；通过与政府、党校、本科院校、企业、好人馆、博物馆等单位的合作，运用挂职锻炼、科研项目合作、社会工作服务、实践基地建设等手段，培养教师的创新创业思维；通过建立思政教师帮联机制，明确一位思政教师联系一个学院、一个专业、一个班级，发挥思政教师在党建指导、党员发展、思想引领等方面的重要作用，在实践历练中培养思政教师的家国情怀。</w:t>
      </w:r>
    </w:p>
    <w:p>
      <w:pPr>
        <w:ind w:firstLine="420" w:firstLineChars="2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val="0"/>
          <w:bCs w:val="0"/>
          <w:sz w:val="21"/>
          <w:szCs w:val="21"/>
          <w:lang w:eastAsia="zh-CN"/>
        </w:rPr>
        <w:t>（</w:t>
      </w:r>
      <w:r>
        <w:rPr>
          <w:rFonts w:hint="eastAsia" w:asciiTheme="minorEastAsia" w:hAnsiTheme="minorEastAsia" w:eastAsiaTheme="minorEastAsia" w:cstheme="minorEastAsia"/>
          <w:b w:val="0"/>
          <w:bCs w:val="0"/>
          <w:sz w:val="21"/>
          <w:szCs w:val="21"/>
          <w:lang w:val="en-US" w:eastAsia="zh-CN"/>
        </w:rPr>
        <w:t>3</w:t>
      </w:r>
      <w:r>
        <w:rPr>
          <w:rFonts w:hint="eastAsia" w:asciiTheme="minorEastAsia" w:hAnsiTheme="minorEastAsia" w:eastAsiaTheme="minorEastAsia" w:cstheme="minorEastAsia"/>
          <w:b w:val="0"/>
          <w:bCs w:val="0"/>
          <w:sz w:val="21"/>
          <w:szCs w:val="21"/>
          <w:lang w:eastAsia="zh-CN"/>
        </w:rPr>
        <w:t>）</w:t>
      </w:r>
      <w:r>
        <w:rPr>
          <w:rFonts w:hint="eastAsia" w:asciiTheme="minorEastAsia" w:hAnsiTheme="minorEastAsia" w:eastAsiaTheme="minorEastAsia" w:cstheme="minorEastAsia"/>
          <w:b w:val="0"/>
          <w:bCs w:val="0"/>
          <w:sz w:val="21"/>
          <w:szCs w:val="21"/>
        </w:rPr>
        <w:t>优化办学理念，突出学生的主体地位。</w:t>
      </w:r>
      <w:r>
        <w:rPr>
          <w:rFonts w:hint="eastAsia" w:asciiTheme="minorEastAsia" w:hAnsiTheme="minorEastAsia" w:eastAsiaTheme="minorEastAsia" w:cstheme="minorEastAsia"/>
          <w:sz w:val="21"/>
          <w:szCs w:val="21"/>
        </w:rPr>
        <w:t>一要密切关注学生。要对不同年龄段、不同招生类别、不同学历层次的学生进行深入的研究。了解他们的理论基础，感受他们的喜恶爱憎，掌握他们的思想动态，为授课准备第一手资料；二要推进课堂翻转。通过各种手段延伸课堂，让学生全方位介入课堂，真正成为课堂的主体。学生可以提出个性化的学习要求，可以将自己对于理论的习得进行全方位展示，可以随时和教师进行交流，进行深入学习；三要将思政教育贯穿学生一生。要树立“一日为师终生为师”的理念，要将思政教育的长度延伸至到学生的一生。无论在校学习期间还是毕业后，学生都可以永久保留学校大思政网络教育平台的学号，让学生的学号始终处于有效状态，让思政教育始终伴随学生左右。</w:t>
      </w:r>
    </w:p>
    <w:p>
      <w:pPr>
        <w:numPr>
          <w:ilvl w:val="0"/>
          <w:numId w:val="0"/>
        </w:numPr>
        <w:ind w:firstLine="422" w:firstLineChars="2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sz w:val="21"/>
          <w:szCs w:val="21"/>
          <w:lang w:val="en-US" w:eastAsia="zh-CN"/>
        </w:rPr>
        <w:t>2.</w:t>
      </w:r>
      <w:r>
        <w:rPr>
          <w:rFonts w:hint="eastAsia" w:asciiTheme="minorEastAsia" w:hAnsiTheme="minorEastAsia" w:eastAsiaTheme="minorEastAsia" w:cstheme="minorEastAsia"/>
          <w:b/>
          <w:sz w:val="21"/>
          <w:szCs w:val="21"/>
        </w:rPr>
        <w:t>综合运用信息化教学手段，促思政课堂教学有效性提升。</w:t>
      </w:r>
    </w:p>
    <w:p>
      <w:pPr>
        <w:ind w:firstLine="420" w:firstLineChars="2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val="0"/>
          <w:bCs w:val="0"/>
          <w:sz w:val="21"/>
          <w:szCs w:val="21"/>
          <w:lang w:eastAsia="zh-CN"/>
        </w:rPr>
        <w:t>（</w:t>
      </w:r>
      <w:r>
        <w:rPr>
          <w:rFonts w:hint="eastAsia" w:asciiTheme="minorEastAsia" w:hAnsiTheme="minorEastAsia" w:eastAsiaTheme="minorEastAsia" w:cstheme="minorEastAsia"/>
          <w:b w:val="0"/>
          <w:bCs w:val="0"/>
          <w:sz w:val="21"/>
          <w:szCs w:val="21"/>
          <w:lang w:val="en-US" w:eastAsia="zh-CN"/>
        </w:rPr>
        <w:t>1</w:t>
      </w:r>
      <w:r>
        <w:rPr>
          <w:rFonts w:hint="eastAsia" w:asciiTheme="minorEastAsia" w:hAnsiTheme="minorEastAsia" w:eastAsiaTheme="minorEastAsia" w:cstheme="minorEastAsia"/>
          <w:b w:val="0"/>
          <w:bCs w:val="0"/>
          <w:sz w:val="21"/>
          <w:szCs w:val="21"/>
          <w:lang w:eastAsia="zh-CN"/>
        </w:rPr>
        <w:t>）</w:t>
      </w:r>
      <w:r>
        <w:rPr>
          <w:rFonts w:hint="eastAsia" w:asciiTheme="minorEastAsia" w:hAnsiTheme="minorEastAsia" w:eastAsiaTheme="minorEastAsia" w:cstheme="minorEastAsia"/>
          <w:b w:val="0"/>
          <w:bCs w:val="0"/>
          <w:sz w:val="21"/>
          <w:szCs w:val="21"/>
        </w:rPr>
        <w:t>熟悉并掌握各种信息化教学的新手段。</w:t>
      </w:r>
      <w:r>
        <w:rPr>
          <w:rFonts w:hint="eastAsia" w:asciiTheme="minorEastAsia" w:hAnsiTheme="minorEastAsia" w:eastAsiaTheme="minorEastAsia" w:cstheme="minorEastAsia"/>
          <w:sz w:val="21"/>
          <w:szCs w:val="21"/>
        </w:rPr>
        <w:t>高等院校要针对层出不穷的信息化教学手段，要深入分析各自的优势和不足，准确把握其用途和作用，时刻关注信息化教学的前沿动态，了解信息化教学手段增加的新功能，关注最新研制的信息化教学手段，结合教学实际，及时运用到教学中去。（见表2）</w:t>
      </w:r>
    </w:p>
    <w:p>
      <w:pPr>
        <w:ind w:firstLine="555"/>
        <w:jc w:val="center"/>
        <w:rPr>
          <w:rFonts w:hint="eastAsia" w:ascii="宋体" w:hAnsi="宋体"/>
          <w:b/>
          <w:bCs/>
        </w:rPr>
      </w:pPr>
      <w:r>
        <w:rPr>
          <w:rFonts w:hint="eastAsia" w:ascii="宋体" w:hAnsi="宋体"/>
          <w:b/>
          <w:bCs/>
        </w:rPr>
        <w:t>表2</w:t>
      </w:r>
      <w:r>
        <w:rPr>
          <w:rFonts w:hint="eastAsia" w:ascii="宋体" w:hAnsi="宋体"/>
          <w:b/>
          <w:bCs/>
          <w:lang w:val="en-US" w:eastAsia="zh-CN"/>
        </w:rPr>
        <w:t xml:space="preserve">  </w:t>
      </w:r>
      <w:r>
        <w:rPr>
          <w:rFonts w:hint="eastAsia" w:ascii="宋体" w:hAnsi="宋体"/>
          <w:b/>
          <w:bCs/>
        </w:rPr>
        <w:t>常用信息化教学手段综合表</w:t>
      </w:r>
    </w:p>
    <w:tbl>
      <w:tblPr>
        <w:tblStyle w:val="2"/>
        <w:tblW w:w="8500" w:type="dxa"/>
        <w:tblInd w:w="0"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315"/>
        <w:gridCol w:w="1731"/>
        <w:gridCol w:w="1731"/>
        <w:gridCol w:w="1992"/>
        <w:gridCol w:w="1731"/>
      </w:tblGrid>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1315" w:type="dxa"/>
            <w:tcBorders>
              <w:top w:val="single" w:color="000000" w:sz="12" w:space="0"/>
              <w:bottom w:val="single" w:color="auto" w:sz="4" w:space="0"/>
            </w:tcBorders>
            <w:vAlign w:val="center"/>
          </w:tcPr>
          <w:p>
            <w:pPr>
              <w:jc w:val="center"/>
              <w:rPr>
                <w:rFonts w:hint="eastAsia" w:ascii="宋体" w:hAnsi="宋体"/>
              </w:rPr>
            </w:pPr>
            <w:r>
              <w:rPr>
                <w:rFonts w:hint="eastAsia" w:ascii="宋体" w:hAnsi="宋体"/>
              </w:rPr>
              <w:t>名 称</w:t>
            </w:r>
          </w:p>
        </w:tc>
        <w:tc>
          <w:tcPr>
            <w:tcW w:w="1731" w:type="dxa"/>
            <w:tcBorders>
              <w:top w:val="single" w:color="000000" w:sz="12" w:space="0"/>
              <w:bottom w:val="single" w:color="auto" w:sz="4" w:space="0"/>
            </w:tcBorders>
            <w:vAlign w:val="center"/>
          </w:tcPr>
          <w:p>
            <w:pPr>
              <w:jc w:val="center"/>
              <w:rPr>
                <w:rFonts w:hint="eastAsia" w:ascii="宋体" w:hAnsi="宋体"/>
              </w:rPr>
            </w:pPr>
            <w:r>
              <w:rPr>
                <w:rFonts w:hint="eastAsia" w:ascii="宋体" w:hAnsi="宋体"/>
              </w:rPr>
              <w:t>用 途</w:t>
            </w:r>
          </w:p>
        </w:tc>
        <w:tc>
          <w:tcPr>
            <w:tcW w:w="1731" w:type="dxa"/>
            <w:tcBorders>
              <w:top w:val="single" w:color="000000" w:sz="12" w:space="0"/>
              <w:bottom w:val="single" w:color="auto" w:sz="4" w:space="0"/>
            </w:tcBorders>
            <w:vAlign w:val="center"/>
          </w:tcPr>
          <w:p>
            <w:pPr>
              <w:jc w:val="center"/>
              <w:rPr>
                <w:rFonts w:hint="eastAsia" w:ascii="宋体" w:hAnsi="宋体"/>
              </w:rPr>
            </w:pPr>
            <w:r>
              <w:rPr>
                <w:rFonts w:hint="eastAsia" w:ascii="宋体" w:hAnsi="宋体"/>
              </w:rPr>
              <w:t>优 势</w:t>
            </w:r>
          </w:p>
        </w:tc>
        <w:tc>
          <w:tcPr>
            <w:tcW w:w="1992" w:type="dxa"/>
            <w:tcBorders>
              <w:top w:val="single" w:color="000000" w:sz="12" w:space="0"/>
              <w:bottom w:val="single" w:color="auto" w:sz="4" w:space="0"/>
            </w:tcBorders>
            <w:vAlign w:val="center"/>
          </w:tcPr>
          <w:p>
            <w:pPr>
              <w:jc w:val="center"/>
              <w:rPr>
                <w:rFonts w:hint="eastAsia" w:ascii="宋体" w:hAnsi="宋体"/>
              </w:rPr>
            </w:pPr>
            <w:r>
              <w:rPr>
                <w:rFonts w:hint="eastAsia" w:ascii="宋体" w:hAnsi="宋体"/>
              </w:rPr>
              <w:t>不 足</w:t>
            </w:r>
          </w:p>
        </w:tc>
        <w:tc>
          <w:tcPr>
            <w:tcW w:w="1731" w:type="dxa"/>
            <w:tcBorders>
              <w:top w:val="single" w:color="000000" w:sz="12" w:space="0"/>
              <w:bottom w:val="single" w:color="auto" w:sz="4" w:space="0"/>
            </w:tcBorders>
            <w:vAlign w:val="center"/>
          </w:tcPr>
          <w:p>
            <w:pPr>
              <w:jc w:val="center"/>
              <w:rPr>
                <w:rFonts w:hint="eastAsia" w:ascii="宋体" w:hAnsi="宋体"/>
              </w:rPr>
            </w:pPr>
            <w:r>
              <w:rPr>
                <w:rFonts w:hint="eastAsia" w:ascii="宋体" w:hAnsi="宋体"/>
              </w:rPr>
              <w:t>备 注</w:t>
            </w:r>
          </w:p>
        </w:tc>
      </w:tr>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1315" w:type="dxa"/>
            <w:tcBorders>
              <w:top w:val="single" w:color="auto" w:sz="4" w:space="0"/>
              <w:bottom w:val="nil"/>
            </w:tcBorders>
            <w:vAlign w:val="center"/>
          </w:tcPr>
          <w:p>
            <w:pPr>
              <w:jc w:val="center"/>
              <w:rPr>
                <w:rFonts w:hint="eastAsia" w:ascii="宋体" w:hAnsi="宋体"/>
                <w:sz w:val="15"/>
                <w:szCs w:val="15"/>
              </w:rPr>
            </w:pPr>
            <w:r>
              <w:rPr>
                <w:rFonts w:hint="eastAsia" w:ascii="宋体" w:hAnsi="宋体"/>
                <w:sz w:val="15"/>
                <w:szCs w:val="15"/>
              </w:rPr>
              <w:t>篮墨云班课</w:t>
            </w:r>
          </w:p>
        </w:tc>
        <w:tc>
          <w:tcPr>
            <w:tcW w:w="1731" w:type="dxa"/>
            <w:tcBorders>
              <w:top w:val="single" w:color="auto" w:sz="4" w:space="0"/>
              <w:bottom w:val="nil"/>
            </w:tcBorders>
            <w:vAlign w:val="center"/>
          </w:tcPr>
          <w:p>
            <w:pPr>
              <w:jc w:val="center"/>
              <w:rPr>
                <w:rFonts w:hint="eastAsia" w:ascii="宋体" w:hAnsi="宋体"/>
                <w:sz w:val="15"/>
                <w:szCs w:val="15"/>
              </w:rPr>
            </w:pPr>
            <w:r>
              <w:rPr>
                <w:rFonts w:hint="eastAsia" w:ascii="宋体" w:hAnsi="宋体"/>
                <w:sz w:val="15"/>
                <w:szCs w:val="15"/>
              </w:rPr>
              <w:t>全面课堂掌控</w:t>
            </w:r>
          </w:p>
        </w:tc>
        <w:tc>
          <w:tcPr>
            <w:tcW w:w="1731" w:type="dxa"/>
            <w:tcBorders>
              <w:top w:val="single" w:color="auto" w:sz="4" w:space="0"/>
              <w:bottom w:val="nil"/>
            </w:tcBorders>
            <w:vAlign w:val="center"/>
          </w:tcPr>
          <w:p>
            <w:pPr>
              <w:jc w:val="center"/>
              <w:rPr>
                <w:rFonts w:hint="eastAsia" w:ascii="宋体" w:hAnsi="宋体"/>
                <w:sz w:val="15"/>
                <w:szCs w:val="15"/>
              </w:rPr>
            </w:pPr>
            <w:r>
              <w:rPr>
                <w:rFonts w:hint="eastAsia" w:ascii="宋体" w:hAnsi="宋体"/>
                <w:sz w:val="15"/>
                <w:szCs w:val="15"/>
              </w:rPr>
              <w:t>能够实现课堂前、中、后的全面掌控。</w:t>
            </w:r>
          </w:p>
        </w:tc>
        <w:tc>
          <w:tcPr>
            <w:tcW w:w="1992" w:type="dxa"/>
            <w:tcBorders>
              <w:top w:val="single" w:color="auto" w:sz="4" w:space="0"/>
              <w:bottom w:val="nil"/>
            </w:tcBorders>
            <w:vAlign w:val="center"/>
          </w:tcPr>
          <w:p>
            <w:pPr>
              <w:jc w:val="center"/>
              <w:rPr>
                <w:rFonts w:hint="eastAsia" w:ascii="宋体" w:hAnsi="宋体"/>
                <w:sz w:val="15"/>
                <w:szCs w:val="15"/>
              </w:rPr>
            </w:pPr>
            <w:r>
              <w:rPr>
                <w:rFonts w:hint="eastAsia" w:ascii="宋体" w:hAnsi="宋体"/>
                <w:sz w:val="15"/>
                <w:szCs w:val="15"/>
              </w:rPr>
              <w:t>课中管控稍弱</w:t>
            </w:r>
          </w:p>
        </w:tc>
        <w:tc>
          <w:tcPr>
            <w:tcW w:w="1731" w:type="dxa"/>
            <w:tcBorders>
              <w:top w:val="single" w:color="auto" w:sz="4" w:space="0"/>
              <w:bottom w:val="nil"/>
            </w:tcBorders>
            <w:vAlign w:val="center"/>
          </w:tcPr>
          <w:p>
            <w:pPr>
              <w:jc w:val="center"/>
              <w:rPr>
                <w:rFonts w:hint="eastAsia" w:ascii="宋体" w:hAnsi="宋体"/>
                <w:sz w:val="15"/>
                <w:szCs w:val="15"/>
              </w:rPr>
            </w:pPr>
            <w:r>
              <w:rPr>
                <w:rFonts w:hint="eastAsia" w:ascii="宋体" w:hAnsi="宋体"/>
                <w:sz w:val="15"/>
                <w:szCs w:val="15"/>
              </w:rPr>
              <w:t>有网页版和手机APP</w:t>
            </w:r>
          </w:p>
        </w:tc>
      </w:tr>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1315" w:type="dxa"/>
            <w:tcBorders>
              <w:top w:val="nil"/>
            </w:tcBorders>
            <w:vAlign w:val="center"/>
          </w:tcPr>
          <w:p>
            <w:pPr>
              <w:jc w:val="center"/>
              <w:rPr>
                <w:rFonts w:hint="eastAsia" w:ascii="宋体" w:hAnsi="宋体"/>
                <w:sz w:val="15"/>
                <w:szCs w:val="15"/>
              </w:rPr>
            </w:pPr>
            <w:r>
              <w:rPr>
                <w:rFonts w:hint="eastAsia" w:ascii="宋体" w:hAnsi="宋体"/>
                <w:sz w:val="15"/>
                <w:szCs w:val="15"/>
              </w:rPr>
              <w:t>雨课堂</w:t>
            </w:r>
          </w:p>
        </w:tc>
        <w:tc>
          <w:tcPr>
            <w:tcW w:w="1731" w:type="dxa"/>
            <w:tcBorders>
              <w:top w:val="nil"/>
            </w:tcBorders>
            <w:vAlign w:val="center"/>
          </w:tcPr>
          <w:p>
            <w:pPr>
              <w:jc w:val="center"/>
              <w:rPr>
                <w:rFonts w:hint="eastAsia" w:ascii="宋体" w:hAnsi="宋体"/>
                <w:sz w:val="15"/>
                <w:szCs w:val="15"/>
              </w:rPr>
            </w:pPr>
            <w:r>
              <w:rPr>
                <w:rFonts w:hint="eastAsia" w:ascii="宋体" w:hAnsi="宋体"/>
                <w:sz w:val="15"/>
                <w:szCs w:val="15"/>
              </w:rPr>
              <w:t>全面课堂掌控</w:t>
            </w:r>
          </w:p>
        </w:tc>
        <w:tc>
          <w:tcPr>
            <w:tcW w:w="1731" w:type="dxa"/>
            <w:tcBorders>
              <w:top w:val="nil"/>
            </w:tcBorders>
            <w:vAlign w:val="center"/>
          </w:tcPr>
          <w:p>
            <w:pPr>
              <w:jc w:val="center"/>
              <w:rPr>
                <w:rFonts w:hint="eastAsia" w:ascii="宋体" w:hAnsi="宋体"/>
                <w:sz w:val="15"/>
                <w:szCs w:val="15"/>
              </w:rPr>
            </w:pPr>
            <w:r>
              <w:rPr>
                <w:rFonts w:hint="eastAsia" w:ascii="宋体" w:hAnsi="宋体"/>
                <w:sz w:val="15"/>
                <w:szCs w:val="15"/>
              </w:rPr>
              <w:t>能够实现课堂前、中、后的全面掌控</w:t>
            </w:r>
          </w:p>
        </w:tc>
        <w:tc>
          <w:tcPr>
            <w:tcW w:w="1992" w:type="dxa"/>
            <w:tcBorders>
              <w:top w:val="nil"/>
            </w:tcBorders>
            <w:vAlign w:val="center"/>
          </w:tcPr>
          <w:p>
            <w:pPr>
              <w:jc w:val="center"/>
              <w:rPr>
                <w:rFonts w:hint="eastAsia" w:ascii="宋体" w:hAnsi="宋体"/>
                <w:sz w:val="15"/>
                <w:szCs w:val="15"/>
              </w:rPr>
            </w:pPr>
            <w:r>
              <w:rPr>
                <w:rFonts w:hint="eastAsia" w:ascii="宋体" w:hAnsi="宋体"/>
                <w:sz w:val="15"/>
                <w:szCs w:val="15"/>
              </w:rPr>
              <w:t>内部资源需扩容</w:t>
            </w:r>
          </w:p>
        </w:tc>
        <w:tc>
          <w:tcPr>
            <w:tcW w:w="1731" w:type="dxa"/>
            <w:tcBorders>
              <w:top w:val="nil"/>
            </w:tcBorders>
            <w:vAlign w:val="center"/>
          </w:tcPr>
          <w:p>
            <w:pPr>
              <w:jc w:val="center"/>
              <w:rPr>
                <w:rFonts w:hint="eastAsia" w:ascii="宋体" w:hAnsi="宋体"/>
                <w:sz w:val="15"/>
                <w:szCs w:val="15"/>
              </w:rPr>
            </w:pPr>
            <w:r>
              <w:rPr>
                <w:rFonts w:hint="eastAsia" w:ascii="宋体" w:hAnsi="宋体"/>
                <w:sz w:val="15"/>
                <w:szCs w:val="15"/>
              </w:rPr>
              <w:t>通过微信公众号关注</w:t>
            </w:r>
          </w:p>
        </w:tc>
      </w:tr>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1315" w:type="dxa"/>
            <w:tcBorders>
              <w:top w:val="nil"/>
            </w:tcBorders>
            <w:vAlign w:val="center"/>
          </w:tcPr>
          <w:p>
            <w:pPr>
              <w:jc w:val="center"/>
              <w:rPr>
                <w:rFonts w:hint="eastAsia" w:ascii="宋体" w:hAnsi="宋体"/>
                <w:sz w:val="15"/>
                <w:szCs w:val="15"/>
              </w:rPr>
            </w:pPr>
            <w:r>
              <w:rPr>
                <w:rFonts w:hint="eastAsia" w:ascii="宋体" w:hAnsi="宋体"/>
                <w:sz w:val="15"/>
                <w:szCs w:val="15"/>
              </w:rPr>
              <w:t>爱剪辑</w:t>
            </w:r>
          </w:p>
        </w:tc>
        <w:tc>
          <w:tcPr>
            <w:tcW w:w="1731" w:type="dxa"/>
            <w:tcBorders>
              <w:top w:val="nil"/>
            </w:tcBorders>
            <w:vAlign w:val="center"/>
          </w:tcPr>
          <w:p>
            <w:pPr>
              <w:jc w:val="center"/>
              <w:rPr>
                <w:rFonts w:hint="eastAsia" w:ascii="宋体" w:hAnsi="宋体"/>
                <w:sz w:val="15"/>
                <w:szCs w:val="15"/>
              </w:rPr>
            </w:pPr>
            <w:r>
              <w:rPr>
                <w:rFonts w:hint="eastAsia" w:ascii="宋体" w:hAnsi="宋体"/>
                <w:sz w:val="15"/>
                <w:szCs w:val="15"/>
              </w:rPr>
              <w:t>视频剪辑</w:t>
            </w:r>
          </w:p>
        </w:tc>
        <w:tc>
          <w:tcPr>
            <w:tcW w:w="1731" w:type="dxa"/>
            <w:tcBorders>
              <w:top w:val="nil"/>
            </w:tcBorders>
            <w:vAlign w:val="center"/>
          </w:tcPr>
          <w:p>
            <w:pPr>
              <w:jc w:val="center"/>
              <w:rPr>
                <w:rFonts w:hint="eastAsia" w:ascii="宋体" w:hAnsi="宋体"/>
                <w:sz w:val="15"/>
                <w:szCs w:val="15"/>
              </w:rPr>
            </w:pPr>
            <w:r>
              <w:rPr>
                <w:rFonts w:hint="eastAsia" w:ascii="宋体" w:hAnsi="宋体"/>
                <w:sz w:val="15"/>
                <w:szCs w:val="15"/>
              </w:rPr>
              <w:t>按需剪辑制作视频</w:t>
            </w:r>
          </w:p>
        </w:tc>
        <w:tc>
          <w:tcPr>
            <w:tcW w:w="1992" w:type="dxa"/>
            <w:tcBorders>
              <w:top w:val="nil"/>
            </w:tcBorders>
            <w:vAlign w:val="center"/>
          </w:tcPr>
          <w:p>
            <w:pPr>
              <w:jc w:val="center"/>
              <w:rPr>
                <w:rFonts w:hint="eastAsia" w:ascii="宋体" w:hAnsi="宋体"/>
                <w:sz w:val="15"/>
                <w:szCs w:val="15"/>
              </w:rPr>
            </w:pPr>
            <w:r>
              <w:rPr>
                <w:rFonts w:hint="eastAsia" w:ascii="宋体" w:hAnsi="宋体"/>
                <w:sz w:val="15"/>
                <w:szCs w:val="15"/>
              </w:rPr>
              <w:t>不能涵盖所有格式视频</w:t>
            </w:r>
          </w:p>
        </w:tc>
        <w:tc>
          <w:tcPr>
            <w:tcW w:w="1731" w:type="dxa"/>
            <w:tcBorders>
              <w:top w:val="nil"/>
            </w:tcBorders>
            <w:vAlign w:val="center"/>
          </w:tcPr>
          <w:p>
            <w:pPr>
              <w:jc w:val="center"/>
              <w:rPr>
                <w:rFonts w:hint="eastAsia" w:ascii="宋体" w:hAnsi="宋体"/>
                <w:sz w:val="15"/>
                <w:szCs w:val="15"/>
              </w:rPr>
            </w:pPr>
          </w:p>
        </w:tc>
      </w:tr>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1315" w:type="dxa"/>
            <w:tcBorders>
              <w:top w:val="nil"/>
            </w:tcBorders>
            <w:vAlign w:val="center"/>
          </w:tcPr>
          <w:p>
            <w:pPr>
              <w:jc w:val="center"/>
              <w:rPr>
                <w:rFonts w:hint="eastAsia" w:ascii="宋体" w:hAnsi="宋体"/>
                <w:sz w:val="15"/>
                <w:szCs w:val="15"/>
              </w:rPr>
            </w:pPr>
            <w:r>
              <w:rPr>
                <w:rFonts w:hint="eastAsia" w:ascii="宋体" w:hAnsi="宋体"/>
                <w:sz w:val="15"/>
                <w:szCs w:val="15"/>
              </w:rPr>
              <w:t>问卷星</w:t>
            </w:r>
          </w:p>
        </w:tc>
        <w:tc>
          <w:tcPr>
            <w:tcW w:w="1731" w:type="dxa"/>
            <w:tcBorders>
              <w:top w:val="nil"/>
            </w:tcBorders>
            <w:vAlign w:val="center"/>
          </w:tcPr>
          <w:p>
            <w:pPr>
              <w:jc w:val="center"/>
              <w:rPr>
                <w:rFonts w:hint="eastAsia" w:ascii="宋体" w:hAnsi="宋体"/>
                <w:sz w:val="15"/>
                <w:szCs w:val="15"/>
              </w:rPr>
            </w:pPr>
            <w:r>
              <w:rPr>
                <w:rFonts w:hint="eastAsia" w:ascii="宋体" w:hAnsi="宋体"/>
                <w:sz w:val="15"/>
                <w:szCs w:val="15"/>
              </w:rPr>
              <w:t>调查调研</w:t>
            </w:r>
          </w:p>
        </w:tc>
        <w:tc>
          <w:tcPr>
            <w:tcW w:w="1731" w:type="dxa"/>
            <w:tcBorders>
              <w:top w:val="nil"/>
            </w:tcBorders>
            <w:vAlign w:val="center"/>
          </w:tcPr>
          <w:p>
            <w:pPr>
              <w:jc w:val="center"/>
              <w:rPr>
                <w:rFonts w:hint="eastAsia" w:ascii="宋体" w:hAnsi="宋体"/>
                <w:sz w:val="15"/>
                <w:szCs w:val="15"/>
              </w:rPr>
            </w:pPr>
            <w:r>
              <w:rPr>
                <w:rFonts w:hint="eastAsia" w:ascii="宋体" w:hAnsi="宋体"/>
                <w:sz w:val="15"/>
                <w:szCs w:val="15"/>
              </w:rPr>
              <w:t>方便开展网上调研</w:t>
            </w:r>
          </w:p>
        </w:tc>
        <w:tc>
          <w:tcPr>
            <w:tcW w:w="1992" w:type="dxa"/>
            <w:tcBorders>
              <w:top w:val="nil"/>
            </w:tcBorders>
            <w:vAlign w:val="center"/>
          </w:tcPr>
          <w:p>
            <w:pPr>
              <w:jc w:val="center"/>
              <w:rPr>
                <w:rFonts w:hint="eastAsia" w:ascii="宋体" w:hAnsi="宋体"/>
                <w:sz w:val="15"/>
                <w:szCs w:val="15"/>
              </w:rPr>
            </w:pPr>
          </w:p>
        </w:tc>
        <w:tc>
          <w:tcPr>
            <w:tcW w:w="1731" w:type="dxa"/>
            <w:tcBorders>
              <w:top w:val="nil"/>
            </w:tcBorders>
            <w:vAlign w:val="center"/>
          </w:tcPr>
          <w:p>
            <w:pPr>
              <w:jc w:val="center"/>
              <w:rPr>
                <w:rFonts w:hint="eastAsia" w:ascii="宋体" w:hAnsi="宋体"/>
                <w:sz w:val="15"/>
                <w:szCs w:val="15"/>
              </w:rPr>
            </w:pPr>
          </w:p>
        </w:tc>
      </w:tr>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1315" w:type="dxa"/>
            <w:tcBorders>
              <w:top w:val="nil"/>
            </w:tcBorders>
            <w:vAlign w:val="center"/>
          </w:tcPr>
          <w:p>
            <w:pPr>
              <w:jc w:val="center"/>
              <w:rPr>
                <w:rFonts w:hint="eastAsia" w:ascii="宋体" w:hAnsi="宋体"/>
                <w:sz w:val="15"/>
                <w:szCs w:val="15"/>
              </w:rPr>
            </w:pPr>
            <w:r>
              <w:rPr>
                <w:rFonts w:hint="eastAsia" w:ascii="宋体" w:hAnsi="宋体"/>
                <w:sz w:val="15"/>
                <w:szCs w:val="15"/>
              </w:rPr>
              <w:t>spss</w:t>
            </w:r>
          </w:p>
        </w:tc>
        <w:tc>
          <w:tcPr>
            <w:tcW w:w="1731" w:type="dxa"/>
            <w:tcBorders>
              <w:top w:val="nil"/>
            </w:tcBorders>
            <w:vAlign w:val="center"/>
          </w:tcPr>
          <w:p>
            <w:pPr>
              <w:jc w:val="center"/>
              <w:rPr>
                <w:rFonts w:hint="eastAsia" w:ascii="宋体" w:hAnsi="宋体"/>
                <w:sz w:val="15"/>
                <w:szCs w:val="15"/>
              </w:rPr>
            </w:pPr>
            <w:r>
              <w:rPr>
                <w:rFonts w:hint="eastAsia" w:ascii="宋体" w:hAnsi="宋体"/>
                <w:sz w:val="15"/>
                <w:szCs w:val="15"/>
              </w:rPr>
              <w:t>数据分析</w:t>
            </w:r>
          </w:p>
        </w:tc>
        <w:tc>
          <w:tcPr>
            <w:tcW w:w="1731" w:type="dxa"/>
            <w:tcBorders>
              <w:top w:val="nil"/>
            </w:tcBorders>
            <w:vAlign w:val="center"/>
          </w:tcPr>
          <w:p>
            <w:pPr>
              <w:jc w:val="left"/>
              <w:rPr>
                <w:rFonts w:hint="eastAsia" w:ascii="宋体" w:hAnsi="宋体"/>
                <w:sz w:val="15"/>
                <w:szCs w:val="15"/>
              </w:rPr>
            </w:pPr>
            <w:r>
              <w:rPr>
                <w:rFonts w:hint="eastAsia" w:ascii="宋体" w:hAnsi="宋体"/>
                <w:sz w:val="15"/>
                <w:szCs w:val="15"/>
              </w:rPr>
              <w:t>科学分析，结果较权威，有图、表等多种形式。</w:t>
            </w:r>
          </w:p>
        </w:tc>
        <w:tc>
          <w:tcPr>
            <w:tcW w:w="1992" w:type="dxa"/>
            <w:tcBorders>
              <w:top w:val="nil"/>
            </w:tcBorders>
            <w:vAlign w:val="center"/>
          </w:tcPr>
          <w:p>
            <w:pPr>
              <w:jc w:val="center"/>
              <w:rPr>
                <w:rFonts w:hint="eastAsia" w:ascii="宋体" w:hAnsi="宋体"/>
                <w:sz w:val="15"/>
                <w:szCs w:val="15"/>
              </w:rPr>
            </w:pPr>
            <w:r>
              <w:rPr>
                <w:rFonts w:hint="eastAsia" w:ascii="宋体" w:hAnsi="宋体"/>
                <w:sz w:val="15"/>
                <w:szCs w:val="15"/>
              </w:rPr>
              <w:t>门槛高，需专业培训</w:t>
            </w:r>
          </w:p>
        </w:tc>
        <w:tc>
          <w:tcPr>
            <w:tcW w:w="1731" w:type="dxa"/>
            <w:tcBorders>
              <w:top w:val="nil"/>
            </w:tcBorders>
            <w:vAlign w:val="center"/>
          </w:tcPr>
          <w:p>
            <w:pPr>
              <w:jc w:val="center"/>
              <w:rPr>
                <w:rFonts w:hint="eastAsia" w:ascii="宋体" w:hAnsi="宋体"/>
                <w:sz w:val="15"/>
                <w:szCs w:val="15"/>
              </w:rPr>
            </w:pPr>
          </w:p>
        </w:tc>
      </w:tr>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1315" w:type="dxa"/>
            <w:tcBorders>
              <w:top w:val="nil"/>
              <w:bottom w:val="nil"/>
            </w:tcBorders>
            <w:vAlign w:val="center"/>
          </w:tcPr>
          <w:p>
            <w:pPr>
              <w:jc w:val="center"/>
              <w:rPr>
                <w:rFonts w:hint="eastAsia" w:ascii="宋体" w:hAnsi="宋体"/>
                <w:sz w:val="15"/>
                <w:szCs w:val="15"/>
              </w:rPr>
            </w:pPr>
            <w:r>
              <w:rPr>
                <w:rFonts w:hint="eastAsia" w:ascii="宋体" w:hAnsi="宋体"/>
                <w:sz w:val="15"/>
                <w:szCs w:val="15"/>
              </w:rPr>
              <w:t>抖 音</w:t>
            </w:r>
          </w:p>
        </w:tc>
        <w:tc>
          <w:tcPr>
            <w:tcW w:w="1731" w:type="dxa"/>
            <w:tcBorders>
              <w:top w:val="nil"/>
              <w:bottom w:val="nil"/>
            </w:tcBorders>
            <w:vAlign w:val="center"/>
          </w:tcPr>
          <w:p>
            <w:pPr>
              <w:jc w:val="center"/>
              <w:rPr>
                <w:rFonts w:hint="eastAsia" w:ascii="宋体" w:hAnsi="宋体"/>
                <w:sz w:val="15"/>
                <w:szCs w:val="15"/>
              </w:rPr>
            </w:pPr>
            <w:r>
              <w:rPr>
                <w:rFonts w:hint="eastAsia" w:ascii="宋体" w:hAnsi="宋体"/>
                <w:sz w:val="15"/>
                <w:szCs w:val="15"/>
              </w:rPr>
              <w:t>短视频录制</w:t>
            </w:r>
          </w:p>
        </w:tc>
        <w:tc>
          <w:tcPr>
            <w:tcW w:w="1731" w:type="dxa"/>
            <w:tcBorders>
              <w:top w:val="nil"/>
              <w:bottom w:val="nil"/>
            </w:tcBorders>
            <w:vAlign w:val="center"/>
          </w:tcPr>
          <w:p>
            <w:pPr>
              <w:jc w:val="center"/>
              <w:rPr>
                <w:rFonts w:hint="eastAsia" w:ascii="宋体" w:hAnsi="宋体"/>
                <w:sz w:val="15"/>
                <w:szCs w:val="15"/>
              </w:rPr>
            </w:pPr>
            <w:r>
              <w:rPr>
                <w:rFonts w:hint="eastAsia" w:ascii="宋体" w:hAnsi="宋体"/>
                <w:sz w:val="15"/>
                <w:szCs w:val="15"/>
              </w:rPr>
              <w:t>方便实用</w:t>
            </w:r>
          </w:p>
        </w:tc>
        <w:tc>
          <w:tcPr>
            <w:tcW w:w="1992" w:type="dxa"/>
            <w:tcBorders>
              <w:top w:val="nil"/>
              <w:bottom w:val="nil"/>
            </w:tcBorders>
            <w:vAlign w:val="center"/>
          </w:tcPr>
          <w:p>
            <w:pPr>
              <w:jc w:val="center"/>
              <w:rPr>
                <w:rFonts w:hint="eastAsia" w:ascii="宋体" w:hAnsi="宋体"/>
                <w:sz w:val="15"/>
                <w:szCs w:val="15"/>
              </w:rPr>
            </w:pPr>
            <w:r>
              <w:rPr>
                <w:rFonts w:hint="eastAsia" w:ascii="宋体" w:hAnsi="宋体"/>
                <w:sz w:val="15"/>
                <w:szCs w:val="15"/>
              </w:rPr>
              <w:t>较业余、拍摄时间短</w:t>
            </w:r>
          </w:p>
        </w:tc>
        <w:tc>
          <w:tcPr>
            <w:tcW w:w="1731" w:type="dxa"/>
            <w:tcBorders>
              <w:top w:val="nil"/>
              <w:bottom w:val="nil"/>
            </w:tcBorders>
            <w:vAlign w:val="center"/>
          </w:tcPr>
          <w:p>
            <w:pPr>
              <w:jc w:val="center"/>
              <w:rPr>
                <w:rFonts w:hint="eastAsia" w:ascii="宋体" w:hAnsi="宋体"/>
                <w:sz w:val="15"/>
                <w:szCs w:val="15"/>
              </w:rPr>
            </w:pPr>
          </w:p>
        </w:tc>
      </w:tr>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1315" w:type="dxa"/>
            <w:tcBorders>
              <w:top w:val="nil"/>
              <w:bottom w:val="nil"/>
            </w:tcBorders>
            <w:vAlign w:val="center"/>
          </w:tcPr>
          <w:p>
            <w:pPr>
              <w:jc w:val="center"/>
              <w:rPr>
                <w:rFonts w:hint="eastAsia" w:ascii="宋体" w:hAnsi="宋体"/>
                <w:sz w:val="15"/>
                <w:szCs w:val="15"/>
              </w:rPr>
            </w:pPr>
            <w:r>
              <w:rPr>
                <w:rFonts w:hint="eastAsia" w:ascii="宋体" w:hAnsi="宋体"/>
                <w:sz w:val="15"/>
                <w:szCs w:val="15"/>
              </w:rPr>
              <w:t>慕 课</w:t>
            </w:r>
          </w:p>
        </w:tc>
        <w:tc>
          <w:tcPr>
            <w:tcW w:w="1731" w:type="dxa"/>
            <w:tcBorders>
              <w:top w:val="nil"/>
              <w:bottom w:val="nil"/>
            </w:tcBorders>
            <w:vAlign w:val="center"/>
          </w:tcPr>
          <w:p>
            <w:pPr>
              <w:jc w:val="center"/>
              <w:rPr>
                <w:rFonts w:hint="eastAsia" w:ascii="宋体" w:hAnsi="宋体"/>
                <w:sz w:val="15"/>
                <w:szCs w:val="15"/>
              </w:rPr>
            </w:pPr>
            <w:r>
              <w:rPr>
                <w:rFonts w:hint="eastAsia" w:ascii="宋体" w:hAnsi="宋体"/>
                <w:sz w:val="15"/>
                <w:szCs w:val="15"/>
              </w:rPr>
              <w:t>知识点精讲等</w:t>
            </w:r>
          </w:p>
        </w:tc>
        <w:tc>
          <w:tcPr>
            <w:tcW w:w="1731" w:type="dxa"/>
            <w:tcBorders>
              <w:top w:val="nil"/>
              <w:bottom w:val="nil"/>
            </w:tcBorders>
            <w:vAlign w:val="center"/>
          </w:tcPr>
          <w:p>
            <w:pPr>
              <w:jc w:val="center"/>
              <w:rPr>
                <w:rFonts w:hint="eastAsia" w:ascii="宋体" w:hAnsi="宋体"/>
                <w:sz w:val="15"/>
                <w:szCs w:val="15"/>
              </w:rPr>
            </w:pPr>
            <w:r>
              <w:rPr>
                <w:rFonts w:hint="eastAsia" w:ascii="宋体" w:hAnsi="宋体"/>
                <w:sz w:val="15"/>
                <w:szCs w:val="15"/>
              </w:rPr>
              <w:t>可以精讲知识点，并可连点成线、成面构成体系。</w:t>
            </w:r>
          </w:p>
        </w:tc>
        <w:tc>
          <w:tcPr>
            <w:tcW w:w="1992" w:type="dxa"/>
            <w:tcBorders>
              <w:top w:val="nil"/>
              <w:bottom w:val="nil"/>
            </w:tcBorders>
            <w:vAlign w:val="center"/>
          </w:tcPr>
          <w:p>
            <w:pPr>
              <w:jc w:val="center"/>
              <w:rPr>
                <w:rFonts w:hint="eastAsia" w:ascii="宋体" w:hAnsi="宋体"/>
                <w:sz w:val="15"/>
                <w:szCs w:val="15"/>
              </w:rPr>
            </w:pPr>
            <w:r>
              <w:rPr>
                <w:rFonts w:hint="eastAsia" w:ascii="宋体" w:hAnsi="宋体"/>
                <w:sz w:val="15"/>
                <w:szCs w:val="15"/>
              </w:rPr>
              <w:t>专业性要求高，成本较高</w:t>
            </w:r>
          </w:p>
        </w:tc>
        <w:tc>
          <w:tcPr>
            <w:tcW w:w="1731" w:type="dxa"/>
            <w:tcBorders>
              <w:top w:val="nil"/>
              <w:bottom w:val="nil"/>
            </w:tcBorders>
            <w:vAlign w:val="center"/>
          </w:tcPr>
          <w:p>
            <w:pPr>
              <w:jc w:val="center"/>
              <w:rPr>
                <w:rFonts w:hint="eastAsia" w:ascii="宋体" w:hAnsi="宋体"/>
                <w:sz w:val="15"/>
                <w:szCs w:val="15"/>
              </w:rPr>
            </w:pPr>
            <w:r>
              <w:rPr>
                <w:rFonts w:hint="eastAsia" w:ascii="宋体" w:hAnsi="宋体"/>
                <w:sz w:val="15"/>
                <w:szCs w:val="15"/>
              </w:rPr>
              <w:t>每个慕课约8分钟</w:t>
            </w:r>
          </w:p>
        </w:tc>
      </w:tr>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1315" w:type="dxa"/>
            <w:tcBorders>
              <w:top w:val="nil"/>
              <w:bottom w:val="nil"/>
            </w:tcBorders>
            <w:vAlign w:val="center"/>
          </w:tcPr>
          <w:p>
            <w:pPr>
              <w:jc w:val="center"/>
              <w:rPr>
                <w:rFonts w:hint="eastAsia" w:ascii="宋体" w:hAnsi="宋体"/>
                <w:sz w:val="15"/>
                <w:szCs w:val="15"/>
              </w:rPr>
            </w:pPr>
            <w:r>
              <w:rPr>
                <w:rFonts w:hint="eastAsia" w:ascii="宋体" w:hAnsi="宋体"/>
                <w:sz w:val="15"/>
                <w:szCs w:val="15"/>
              </w:rPr>
              <w:t>网络平台</w:t>
            </w:r>
          </w:p>
        </w:tc>
        <w:tc>
          <w:tcPr>
            <w:tcW w:w="1731" w:type="dxa"/>
            <w:tcBorders>
              <w:top w:val="nil"/>
              <w:bottom w:val="nil"/>
            </w:tcBorders>
            <w:vAlign w:val="center"/>
          </w:tcPr>
          <w:p>
            <w:pPr>
              <w:jc w:val="center"/>
              <w:rPr>
                <w:rFonts w:hint="eastAsia" w:ascii="宋体" w:hAnsi="宋体"/>
                <w:sz w:val="15"/>
                <w:szCs w:val="15"/>
              </w:rPr>
            </w:pPr>
            <w:r>
              <w:rPr>
                <w:rFonts w:hint="eastAsia" w:ascii="宋体" w:hAnsi="宋体"/>
                <w:sz w:val="15"/>
                <w:szCs w:val="15"/>
              </w:rPr>
              <w:t>全方位融合教育</w:t>
            </w:r>
          </w:p>
        </w:tc>
        <w:tc>
          <w:tcPr>
            <w:tcW w:w="1731" w:type="dxa"/>
            <w:tcBorders>
              <w:top w:val="nil"/>
              <w:bottom w:val="nil"/>
            </w:tcBorders>
            <w:vAlign w:val="center"/>
          </w:tcPr>
          <w:p>
            <w:pPr>
              <w:jc w:val="center"/>
              <w:rPr>
                <w:rFonts w:hint="eastAsia" w:ascii="宋体" w:hAnsi="宋体"/>
                <w:sz w:val="15"/>
                <w:szCs w:val="15"/>
              </w:rPr>
            </w:pPr>
            <w:r>
              <w:rPr>
                <w:rFonts w:hint="eastAsia" w:ascii="宋体" w:hAnsi="宋体"/>
                <w:sz w:val="15"/>
                <w:szCs w:val="15"/>
              </w:rPr>
              <w:t>涵盖面大，内容丰富</w:t>
            </w:r>
          </w:p>
        </w:tc>
        <w:tc>
          <w:tcPr>
            <w:tcW w:w="1992" w:type="dxa"/>
            <w:tcBorders>
              <w:top w:val="nil"/>
              <w:bottom w:val="nil"/>
            </w:tcBorders>
            <w:vAlign w:val="center"/>
          </w:tcPr>
          <w:p>
            <w:pPr>
              <w:jc w:val="center"/>
              <w:rPr>
                <w:rFonts w:hint="eastAsia" w:ascii="宋体" w:hAnsi="宋体"/>
                <w:sz w:val="15"/>
                <w:szCs w:val="15"/>
              </w:rPr>
            </w:pPr>
            <w:r>
              <w:rPr>
                <w:rFonts w:hint="eastAsia" w:ascii="宋体" w:hAnsi="宋体"/>
                <w:sz w:val="15"/>
                <w:szCs w:val="15"/>
              </w:rPr>
              <w:t>投资大，需长期维护</w:t>
            </w:r>
          </w:p>
        </w:tc>
        <w:tc>
          <w:tcPr>
            <w:tcW w:w="1731" w:type="dxa"/>
            <w:tcBorders>
              <w:top w:val="nil"/>
              <w:bottom w:val="nil"/>
            </w:tcBorders>
            <w:vAlign w:val="center"/>
          </w:tcPr>
          <w:p>
            <w:pPr>
              <w:jc w:val="center"/>
              <w:rPr>
                <w:rFonts w:hint="eastAsia" w:ascii="宋体" w:hAnsi="宋体"/>
                <w:sz w:val="15"/>
                <w:szCs w:val="15"/>
              </w:rPr>
            </w:pPr>
          </w:p>
        </w:tc>
      </w:tr>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1315" w:type="dxa"/>
            <w:tcBorders>
              <w:top w:val="nil"/>
              <w:bottom w:val="single" w:color="000000" w:sz="4" w:space="0"/>
            </w:tcBorders>
            <w:vAlign w:val="center"/>
          </w:tcPr>
          <w:p>
            <w:pPr>
              <w:jc w:val="center"/>
              <w:rPr>
                <w:rFonts w:hint="eastAsia" w:ascii="宋体" w:hAnsi="宋体"/>
                <w:sz w:val="15"/>
                <w:szCs w:val="15"/>
              </w:rPr>
            </w:pPr>
            <w:r>
              <w:rPr>
                <w:rFonts w:hint="eastAsia" w:ascii="宋体" w:hAnsi="宋体"/>
                <w:sz w:val="15"/>
                <w:szCs w:val="15"/>
              </w:rPr>
              <w:t>微信、QQ</w:t>
            </w:r>
          </w:p>
        </w:tc>
        <w:tc>
          <w:tcPr>
            <w:tcW w:w="1731" w:type="dxa"/>
            <w:tcBorders>
              <w:top w:val="nil"/>
              <w:bottom w:val="single" w:color="000000" w:sz="4" w:space="0"/>
            </w:tcBorders>
            <w:vAlign w:val="center"/>
          </w:tcPr>
          <w:p>
            <w:pPr>
              <w:jc w:val="center"/>
              <w:rPr>
                <w:rFonts w:hint="eastAsia" w:ascii="宋体" w:hAnsi="宋体"/>
                <w:sz w:val="15"/>
                <w:szCs w:val="15"/>
              </w:rPr>
            </w:pPr>
            <w:r>
              <w:rPr>
                <w:rFonts w:hint="eastAsia" w:ascii="宋体" w:hAnsi="宋体"/>
                <w:sz w:val="15"/>
                <w:szCs w:val="15"/>
              </w:rPr>
              <w:t>课后沟通交流等</w:t>
            </w:r>
          </w:p>
        </w:tc>
        <w:tc>
          <w:tcPr>
            <w:tcW w:w="1731" w:type="dxa"/>
            <w:tcBorders>
              <w:top w:val="nil"/>
              <w:bottom w:val="single" w:color="000000" w:sz="4" w:space="0"/>
            </w:tcBorders>
            <w:vAlign w:val="center"/>
          </w:tcPr>
          <w:p>
            <w:pPr>
              <w:jc w:val="center"/>
              <w:rPr>
                <w:rFonts w:hint="eastAsia" w:ascii="宋体" w:hAnsi="宋体"/>
                <w:sz w:val="15"/>
                <w:szCs w:val="15"/>
              </w:rPr>
            </w:pPr>
            <w:r>
              <w:rPr>
                <w:rFonts w:hint="eastAsia" w:ascii="宋体" w:hAnsi="宋体"/>
                <w:sz w:val="15"/>
                <w:szCs w:val="15"/>
              </w:rPr>
              <w:t>方便实用快捷</w:t>
            </w:r>
          </w:p>
        </w:tc>
        <w:tc>
          <w:tcPr>
            <w:tcW w:w="1992" w:type="dxa"/>
            <w:tcBorders>
              <w:top w:val="nil"/>
              <w:bottom w:val="single" w:color="000000" w:sz="4" w:space="0"/>
            </w:tcBorders>
            <w:vAlign w:val="center"/>
          </w:tcPr>
          <w:p>
            <w:pPr>
              <w:jc w:val="center"/>
              <w:rPr>
                <w:rFonts w:hint="eastAsia" w:ascii="宋体" w:hAnsi="宋体"/>
                <w:sz w:val="15"/>
                <w:szCs w:val="15"/>
              </w:rPr>
            </w:pPr>
            <w:r>
              <w:rPr>
                <w:rFonts w:hint="eastAsia" w:ascii="宋体" w:hAnsi="宋体"/>
                <w:sz w:val="15"/>
                <w:szCs w:val="15"/>
              </w:rPr>
              <w:t>主要用于交流沟通</w:t>
            </w:r>
          </w:p>
        </w:tc>
        <w:tc>
          <w:tcPr>
            <w:tcW w:w="1731" w:type="dxa"/>
            <w:tcBorders>
              <w:top w:val="nil"/>
              <w:bottom w:val="single" w:color="000000" w:sz="4" w:space="0"/>
            </w:tcBorders>
            <w:vAlign w:val="center"/>
          </w:tcPr>
          <w:p>
            <w:pPr>
              <w:jc w:val="center"/>
              <w:rPr>
                <w:rFonts w:hint="eastAsia" w:ascii="宋体" w:hAnsi="宋体"/>
                <w:sz w:val="15"/>
                <w:szCs w:val="15"/>
              </w:rPr>
            </w:pPr>
          </w:p>
        </w:tc>
      </w:tr>
    </w:tbl>
    <w:p>
      <w:pPr>
        <w:ind w:firstLine="420" w:firstLineChars="200"/>
        <w:rPr>
          <w:rFonts w:hint="eastAsia" w:asciiTheme="minorEastAsia" w:hAnsiTheme="minorEastAsia" w:eastAsiaTheme="minorEastAsia" w:cstheme="minorEastAsia"/>
          <w:b/>
          <w:bCs/>
          <w:sz w:val="21"/>
          <w:szCs w:val="21"/>
          <w:lang w:eastAsia="zh-CN"/>
        </w:rPr>
      </w:pPr>
      <w:r>
        <w:rPr>
          <w:rFonts w:hint="eastAsia" w:asciiTheme="minorEastAsia" w:hAnsiTheme="minorEastAsia" w:eastAsiaTheme="minorEastAsia" w:cstheme="minorEastAsia"/>
          <w:b w:val="0"/>
          <w:bCs w:val="0"/>
          <w:sz w:val="21"/>
          <w:szCs w:val="21"/>
          <w:lang w:eastAsia="zh-CN"/>
        </w:rPr>
        <w:t>（</w:t>
      </w:r>
      <w:r>
        <w:rPr>
          <w:rFonts w:hint="eastAsia" w:asciiTheme="minorEastAsia" w:hAnsiTheme="minorEastAsia" w:eastAsiaTheme="minorEastAsia" w:cstheme="minorEastAsia"/>
          <w:b w:val="0"/>
          <w:bCs w:val="0"/>
          <w:sz w:val="21"/>
          <w:szCs w:val="21"/>
          <w:lang w:val="en-US" w:eastAsia="zh-CN"/>
        </w:rPr>
        <w:t>2</w:t>
      </w:r>
      <w:r>
        <w:rPr>
          <w:rFonts w:hint="eastAsia" w:asciiTheme="minorEastAsia" w:hAnsiTheme="minorEastAsia" w:eastAsiaTheme="minorEastAsia" w:cstheme="minorEastAsia"/>
          <w:b w:val="0"/>
          <w:bCs w:val="0"/>
          <w:sz w:val="21"/>
          <w:szCs w:val="21"/>
          <w:lang w:eastAsia="zh-CN"/>
        </w:rPr>
        <w:t>）</w:t>
      </w:r>
      <w:r>
        <w:rPr>
          <w:rFonts w:hint="eastAsia" w:asciiTheme="minorEastAsia" w:hAnsiTheme="minorEastAsia" w:eastAsiaTheme="minorEastAsia" w:cstheme="minorEastAsia"/>
          <w:b w:val="0"/>
          <w:bCs w:val="0"/>
          <w:sz w:val="21"/>
          <w:szCs w:val="21"/>
        </w:rPr>
        <w:t>处理好信息化教学手段与目的的关系。</w:t>
      </w:r>
      <w:r>
        <w:rPr>
          <w:rFonts w:hint="eastAsia" w:asciiTheme="minorEastAsia" w:hAnsiTheme="minorEastAsia" w:eastAsiaTheme="minorEastAsia" w:cstheme="minorEastAsia"/>
          <w:sz w:val="21"/>
          <w:szCs w:val="21"/>
        </w:rPr>
        <w:t>穿好信息化教学“这双鞋”，才能让思政课教学的“脚”走得更好更快。信息化教学手段的运用一定要本着服务教学的宗旨，要以教学为中心，不能本末倒置、反客为主，更不能让课堂教学演变成信息化教学手段的炫耀空间；要注重教师信息化教学的专业培训，让教师更好地掌握和运用信息化教学工具。鼓励教师参加信息化教学比赛，以赛代练、以赛促学，快速提高教师信息化教学水平</w:t>
      </w:r>
      <w:r>
        <w:rPr>
          <w:rFonts w:hint="eastAsia" w:asciiTheme="minorEastAsia" w:hAnsiTheme="minorEastAsia" w:eastAsiaTheme="minorEastAsia" w:cstheme="minorEastAsia"/>
          <w:sz w:val="21"/>
          <w:szCs w:val="21"/>
          <w:lang w:eastAsia="zh-CN"/>
        </w:rPr>
        <w:t>。</w:t>
      </w:r>
    </w:p>
    <w:p>
      <w:pPr>
        <w:ind w:firstLine="420" w:firstLineChars="2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val="0"/>
          <w:bCs w:val="0"/>
          <w:sz w:val="21"/>
          <w:szCs w:val="21"/>
          <w:lang w:eastAsia="zh-CN"/>
        </w:rPr>
        <w:t>（</w:t>
      </w:r>
      <w:r>
        <w:rPr>
          <w:rFonts w:hint="eastAsia" w:asciiTheme="minorEastAsia" w:hAnsiTheme="minorEastAsia" w:eastAsiaTheme="minorEastAsia" w:cstheme="minorEastAsia"/>
          <w:b w:val="0"/>
          <w:bCs w:val="0"/>
          <w:sz w:val="21"/>
          <w:szCs w:val="21"/>
          <w:lang w:val="en-US" w:eastAsia="zh-CN"/>
        </w:rPr>
        <w:t>3</w:t>
      </w:r>
      <w:r>
        <w:rPr>
          <w:rFonts w:hint="eastAsia" w:asciiTheme="minorEastAsia" w:hAnsiTheme="minorEastAsia" w:eastAsiaTheme="minorEastAsia" w:cstheme="minorEastAsia"/>
          <w:b w:val="0"/>
          <w:bCs w:val="0"/>
          <w:sz w:val="21"/>
          <w:szCs w:val="21"/>
          <w:lang w:eastAsia="zh-CN"/>
        </w:rPr>
        <w:t>）</w:t>
      </w:r>
      <w:r>
        <w:rPr>
          <w:rFonts w:hint="eastAsia" w:asciiTheme="minorEastAsia" w:hAnsiTheme="minorEastAsia" w:eastAsiaTheme="minorEastAsia" w:cstheme="minorEastAsia"/>
          <w:b w:val="0"/>
          <w:bCs w:val="0"/>
          <w:sz w:val="21"/>
          <w:szCs w:val="21"/>
        </w:rPr>
        <w:t>综合运用信息化教学手段让学生全面融入课堂。</w:t>
      </w:r>
      <w:r>
        <w:rPr>
          <w:rFonts w:hint="eastAsia" w:asciiTheme="minorEastAsia" w:hAnsiTheme="minorEastAsia" w:eastAsiaTheme="minorEastAsia" w:cstheme="minorEastAsia"/>
          <w:sz w:val="21"/>
          <w:szCs w:val="21"/>
        </w:rPr>
        <w:t>课前，通过“蓝墨云班课”发送调查问卷，在全面数据分析的基础上，了解学生的知识薄弱点；通过“蓝墨云班课”推送任务，比如拍摄主题短视频、分组实训等实现“任务驱动”，并鼓励学生用多种形式展示学习任务的完成情况；通过班级“微信群”、“蓝墨云班课”推送与课程相关的视频、报道、资料等，并同步将播放视频的理论要点通过“雨课堂弹幕”、“班级微信群”、“QQ群”进行推送，让同学们能够把握住视频的核心要点。</w:t>
      </w:r>
    </w:p>
    <w:p>
      <w:pPr>
        <w:ind w:firstLine="525" w:firstLineChars="25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课中，让同学们扫码加入“雨课堂”等智慧课堂，用智慧课堂来协助教师掌控课堂教学。通过播放视频创设氛围，导入课堂；通过课堂实训，实现团队合作；通过智慧课堂开展课堂讨论、答题，实现“做中学”、“学中做”；通过“弹幕”让同学们表达即时观点；通过主题讨论、新闻综述等来实现“课堂翻转”。</w:t>
      </w:r>
    </w:p>
    <w:p>
      <w:pPr>
        <w:ind w:firstLine="420" w:firstLineChars="2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课后，布置作业，延伸课堂。结合课堂内容，在线通过“蓝墨云班课”继续发起讨论，通过“雨课堂”推送授课PPT，扫码学习慕课视频等实现课堂延伸。</w:t>
      </w:r>
    </w:p>
    <w:p>
      <w:pPr>
        <w:ind w:firstLine="422" w:firstLineChars="2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sz w:val="21"/>
          <w:szCs w:val="21"/>
          <w:lang w:val="en-US" w:eastAsia="zh-CN"/>
        </w:rPr>
        <w:t>3.</w:t>
      </w:r>
      <w:r>
        <w:rPr>
          <w:rFonts w:hint="eastAsia" w:asciiTheme="minorEastAsia" w:hAnsiTheme="minorEastAsia" w:eastAsiaTheme="minorEastAsia" w:cstheme="minorEastAsia"/>
          <w:b/>
          <w:sz w:val="21"/>
          <w:szCs w:val="21"/>
        </w:rPr>
        <w:t>注重价值观引领，探求学生青春之困。</w:t>
      </w:r>
      <w:r>
        <w:rPr>
          <w:rFonts w:hint="eastAsia" w:asciiTheme="minorEastAsia" w:hAnsiTheme="minorEastAsia" w:eastAsiaTheme="minorEastAsia" w:cstheme="minorEastAsia"/>
          <w:sz w:val="21"/>
          <w:szCs w:val="21"/>
        </w:rPr>
        <w:t>思政课不仅要传授基本理论，更要在学生的价值观塑造中发挥引领作用，要在指导学生实际生活、培养学生意志品质中发挥关键作用。</w:t>
      </w:r>
    </w:p>
    <w:p>
      <w:pPr>
        <w:ind w:firstLine="420" w:firstLineChars="2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1</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rPr>
        <w:t>全面引入社会热点，提高学生认识和处理问题的能力。思政课应直击社会热点、直面问题矛盾，让学生从习近平总书记繁忙的日程、紧凑的形程中感悟“我已无我、不负人民”的家国情怀；从埃塞俄比亚空难的悲痛中感悟生命的无比珍贵；从“全国两会”共商国是的氛围中感悟为民服务的赤诚之心。从而让学生在深度研究和探讨分析中理解抽象的理论，在思辩思考和理性审视后形成正确的价值观、人生观和世界观。</w:t>
      </w:r>
    </w:p>
    <w:p>
      <w:pPr>
        <w:ind w:firstLine="420" w:firstLineChars="2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2</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rPr>
        <w:t>紧密关注学生的日常生活，指点学生的实际困惑与迷茫。大学生活不是与世隔绝的世外桃源，每个年龄段都有相应的问题和艰辛。思政课要正视学生人际交往、学习习惯、恋爱交友等方面的问题，指导学生正确、理智地解决这些困惑；要强化挫折教育，培养学生的独立人格，帮助学生树立自信向上的积极态度，坚忍不拔的意志品质；要鼓励和帮助学生探求科学的学习方法，培养良好的学习习惯，在步步为营中拨云见日，找准人生方向；要正视社会竞争、高房价、就业难等实际问题，引导学生理解努力和奋斗的意义，树立“破解人生难题关键在自身”的理念，鼓励学生不断提高自身的竞争力、实践力和综合实力，更要培养学生“功成不必在我”和“功成必定有我” 的竞争合作意识。</w:t>
      </w:r>
    </w:p>
    <w:p>
      <w:pPr>
        <w:ind w:firstLine="422" w:firstLineChars="2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sz w:val="21"/>
          <w:szCs w:val="21"/>
          <w:lang w:val="en-US" w:eastAsia="zh-CN"/>
        </w:rPr>
        <w:t>4.</w:t>
      </w:r>
      <w:r>
        <w:rPr>
          <w:rFonts w:hint="eastAsia" w:asciiTheme="minorEastAsia" w:hAnsiTheme="minorEastAsia" w:eastAsiaTheme="minorEastAsia" w:cstheme="minorEastAsia"/>
          <w:b/>
          <w:sz w:val="21"/>
          <w:szCs w:val="21"/>
        </w:rPr>
        <w:t>突出思政课程地位，引航课程思政建设</w:t>
      </w:r>
      <w:r>
        <w:rPr>
          <w:rFonts w:hint="eastAsia" w:asciiTheme="minorEastAsia" w:hAnsiTheme="minorEastAsia" w:eastAsiaTheme="minorEastAsia" w:cstheme="minorEastAsia"/>
          <w:sz w:val="21"/>
          <w:szCs w:val="21"/>
        </w:rPr>
        <w:t>。</w:t>
      </w:r>
    </w:p>
    <w:p>
      <w:pPr>
        <w:ind w:firstLine="315" w:firstLineChars="150"/>
        <w:rPr>
          <w:rFonts w:hint="eastAsia" w:asciiTheme="minorEastAsia" w:hAnsiTheme="minorEastAsia" w:eastAsiaTheme="minorEastAsia" w:cstheme="minorEastAsia"/>
          <w:bCs/>
          <w:sz w:val="21"/>
          <w:szCs w:val="21"/>
        </w:rPr>
      </w:pPr>
      <w:r>
        <w:rPr>
          <w:rFonts w:hint="eastAsia" w:asciiTheme="minorEastAsia" w:hAnsiTheme="minorEastAsia" w:eastAsiaTheme="minorEastAsia" w:cstheme="minorEastAsia"/>
          <w:bCs/>
          <w:sz w:val="21"/>
          <w:szCs w:val="21"/>
          <w:lang w:bidi="ar"/>
        </w:rPr>
        <w:t xml:space="preserve"> 高校思政课堂要紧密围绕“培养什么人、怎样培养人、为谁培养人”这个根本问题，在强化思想政治理论课核心地位的同时，不断强化课程思政的建设，全方位提升思政课堂教学有效性。</w:t>
      </w:r>
    </w:p>
    <w:p>
      <w:pPr>
        <w:ind w:firstLine="420" w:firstLineChars="200"/>
        <w:rPr>
          <w:rFonts w:hint="eastAsia" w:asciiTheme="minorEastAsia" w:hAnsiTheme="minorEastAsia" w:eastAsiaTheme="minorEastAsia" w:cstheme="minorEastAsia"/>
          <w:bCs/>
          <w:sz w:val="21"/>
          <w:szCs w:val="21"/>
          <w:lang w:bidi="ar"/>
        </w:rPr>
      </w:pPr>
      <w:r>
        <w:rPr>
          <w:rFonts w:hint="eastAsia" w:asciiTheme="minorEastAsia" w:hAnsiTheme="minorEastAsia" w:eastAsiaTheme="minorEastAsia" w:cstheme="minorEastAsia"/>
          <w:b w:val="0"/>
          <w:bCs/>
          <w:sz w:val="21"/>
          <w:szCs w:val="21"/>
          <w:lang w:eastAsia="zh-CN" w:bidi="ar"/>
        </w:rPr>
        <w:t>（</w:t>
      </w:r>
      <w:r>
        <w:rPr>
          <w:rFonts w:hint="eastAsia" w:asciiTheme="minorEastAsia" w:hAnsiTheme="minorEastAsia" w:eastAsiaTheme="minorEastAsia" w:cstheme="minorEastAsia"/>
          <w:b w:val="0"/>
          <w:bCs/>
          <w:sz w:val="21"/>
          <w:szCs w:val="21"/>
          <w:lang w:val="en-US" w:eastAsia="zh-CN" w:bidi="ar"/>
        </w:rPr>
        <w:t>1</w:t>
      </w:r>
      <w:r>
        <w:rPr>
          <w:rFonts w:hint="eastAsia" w:asciiTheme="minorEastAsia" w:hAnsiTheme="minorEastAsia" w:eastAsiaTheme="minorEastAsia" w:cstheme="minorEastAsia"/>
          <w:b w:val="0"/>
          <w:bCs/>
          <w:sz w:val="21"/>
          <w:szCs w:val="21"/>
          <w:lang w:eastAsia="zh-CN" w:bidi="ar"/>
        </w:rPr>
        <w:t>）</w:t>
      </w:r>
      <w:r>
        <w:rPr>
          <w:rFonts w:hint="eastAsia" w:asciiTheme="minorEastAsia" w:hAnsiTheme="minorEastAsia" w:eastAsiaTheme="minorEastAsia" w:cstheme="minorEastAsia"/>
          <w:b w:val="0"/>
          <w:bCs/>
          <w:sz w:val="21"/>
          <w:szCs w:val="21"/>
          <w:lang w:bidi="ar"/>
        </w:rPr>
        <w:t>积极构建“课程思政”发展的生动局面。</w:t>
      </w:r>
      <w:r>
        <w:rPr>
          <w:rFonts w:hint="eastAsia" w:asciiTheme="minorEastAsia" w:hAnsiTheme="minorEastAsia" w:eastAsiaTheme="minorEastAsia" w:cstheme="minorEastAsia"/>
          <w:bCs/>
          <w:sz w:val="21"/>
          <w:szCs w:val="21"/>
          <w:lang w:bidi="ar"/>
        </w:rPr>
        <w:t>一是校党委书记、校长应高度重视思想政治工作，树立“全校一盘棋”的思想，着力营造全员、全方位、全过程的“大思政”格局。在突出“思政课程”核心地位的基础之上，积极推进“课程思政”建设。统筹全校人力物力资源，明晰各部门职责，形成“课程思政”工作大格局，确保马克思主义理论和主流价值观在专业学习中“发声”、在校园文化中“绽放”、在教材建设中“有位”。</w:t>
      </w:r>
    </w:p>
    <w:p>
      <w:pPr>
        <w:ind w:firstLine="420" w:firstLineChars="200"/>
        <w:rPr>
          <w:rFonts w:hint="eastAsia" w:asciiTheme="minorEastAsia" w:hAnsiTheme="minorEastAsia" w:eastAsiaTheme="minorEastAsia" w:cstheme="minorEastAsia"/>
          <w:bCs/>
          <w:sz w:val="21"/>
          <w:szCs w:val="21"/>
          <w:lang w:bidi="ar"/>
        </w:rPr>
      </w:pPr>
      <w:r>
        <w:rPr>
          <w:rFonts w:hint="eastAsia" w:asciiTheme="minorEastAsia" w:hAnsiTheme="minorEastAsia" w:eastAsiaTheme="minorEastAsia" w:cstheme="minorEastAsia"/>
          <w:bCs/>
          <w:sz w:val="21"/>
          <w:szCs w:val="21"/>
          <w:lang w:bidi="ar"/>
        </w:rPr>
        <w:t>二是思政教师要在“课程思政”建设中发挥“排头兵”的作用。在上好思政课的同时，全力投入到“课程思政”的建设中去，在挖掘专业课隐性思政资源、开发“课程思政”教材、提升专业课教师思想认识等方面发挥重要作用。</w:t>
      </w:r>
    </w:p>
    <w:p>
      <w:pPr>
        <w:ind w:firstLine="420" w:firstLineChars="200"/>
        <w:rPr>
          <w:rFonts w:hint="eastAsia" w:asciiTheme="minorEastAsia" w:hAnsiTheme="minorEastAsia" w:eastAsiaTheme="minorEastAsia" w:cstheme="minorEastAsia"/>
          <w:bCs/>
          <w:sz w:val="21"/>
          <w:szCs w:val="21"/>
        </w:rPr>
      </w:pPr>
      <w:r>
        <w:rPr>
          <w:rFonts w:hint="eastAsia" w:asciiTheme="minorEastAsia" w:hAnsiTheme="minorEastAsia" w:eastAsiaTheme="minorEastAsia" w:cstheme="minorEastAsia"/>
          <w:bCs/>
          <w:sz w:val="21"/>
          <w:szCs w:val="21"/>
          <w:lang w:bidi="ar"/>
        </w:rPr>
        <w:t>三是要提升专业课教师的思想政治理论水平。通过专题学习、政治学习等消除专业课教师对课程思政的疑虑与不解，激发广大专业教师参与课程思政建设的主动性、积极性和创造性；通过定期对专业课教师进行马克思主义理论和国家政策方针的专项培训，使专业课教师也成为高校思想政治教育的“行家里手”；通过党员教师、优秀教师的典型示范和思政教师的“传帮带”，助力“课程思政”建设。</w:t>
      </w:r>
    </w:p>
    <w:p>
      <w:pPr>
        <w:ind w:firstLine="420" w:firstLineChars="200"/>
        <w:rPr>
          <w:rFonts w:hint="eastAsia" w:asciiTheme="minorEastAsia" w:hAnsiTheme="minorEastAsia" w:eastAsiaTheme="minorEastAsia" w:cstheme="minorEastAsia"/>
          <w:bCs/>
          <w:sz w:val="21"/>
          <w:szCs w:val="21"/>
        </w:rPr>
      </w:pPr>
      <w:r>
        <w:rPr>
          <w:rFonts w:hint="eastAsia" w:asciiTheme="minorEastAsia" w:hAnsiTheme="minorEastAsia" w:eastAsiaTheme="minorEastAsia" w:cstheme="minorEastAsia"/>
          <w:b w:val="0"/>
          <w:bCs/>
          <w:sz w:val="21"/>
          <w:szCs w:val="21"/>
          <w:lang w:eastAsia="zh-CN" w:bidi="ar"/>
        </w:rPr>
        <w:t>（</w:t>
      </w:r>
      <w:r>
        <w:rPr>
          <w:rFonts w:hint="eastAsia" w:asciiTheme="minorEastAsia" w:hAnsiTheme="minorEastAsia" w:eastAsiaTheme="minorEastAsia" w:cstheme="minorEastAsia"/>
          <w:b w:val="0"/>
          <w:bCs/>
          <w:sz w:val="21"/>
          <w:szCs w:val="21"/>
          <w:lang w:val="en-US" w:eastAsia="zh-CN" w:bidi="ar"/>
        </w:rPr>
        <w:t>2</w:t>
      </w:r>
      <w:r>
        <w:rPr>
          <w:rFonts w:hint="eastAsia" w:asciiTheme="minorEastAsia" w:hAnsiTheme="minorEastAsia" w:eastAsiaTheme="minorEastAsia" w:cstheme="minorEastAsia"/>
          <w:b w:val="0"/>
          <w:bCs/>
          <w:sz w:val="21"/>
          <w:szCs w:val="21"/>
          <w:lang w:eastAsia="zh-CN" w:bidi="ar"/>
        </w:rPr>
        <w:t>）</w:t>
      </w:r>
      <w:r>
        <w:rPr>
          <w:rFonts w:hint="eastAsia" w:asciiTheme="minorEastAsia" w:hAnsiTheme="minorEastAsia" w:eastAsiaTheme="minorEastAsia" w:cstheme="minorEastAsia"/>
          <w:b w:val="0"/>
          <w:bCs/>
          <w:sz w:val="21"/>
          <w:szCs w:val="21"/>
          <w:lang w:bidi="ar"/>
        </w:rPr>
        <w:t>大力推进思政元素融入专业课教材。</w:t>
      </w:r>
      <w:r>
        <w:rPr>
          <w:rFonts w:hint="eastAsia" w:asciiTheme="minorEastAsia" w:hAnsiTheme="minorEastAsia" w:eastAsiaTheme="minorEastAsia" w:cstheme="minorEastAsia"/>
          <w:bCs/>
          <w:sz w:val="21"/>
          <w:szCs w:val="21"/>
          <w:lang w:bidi="ar"/>
        </w:rPr>
        <w:t>要把社会主义核心价值观、国家精神、时代精神、中国特色社会主义理论等融入到专业课教材中去，让学生切实感受到道路自信、理论自信、制度自信和文化自信，从而转化为学习专业知识的内生动力；专业课教材建设中更应宣传职业道德、工匠精神等方面的模范典型，引导学生自觉将学习专业技能与爱国情、强国志、报国行融合；要讲好中国故事，传播中华传统文化，弘扬中国革命文化和社会主义先进文化。让学生从鲁班学艺、推敲求精、愚公移山等典故中，自觉养成坚韧的意志品质。让学生在感悟长征精神、红船精神、延安精神中主动践行开创精神和奉献精神。真正实现思政课堂化理论为道德，化理论为方法的效果。</w:t>
      </w:r>
    </w:p>
    <w:p>
      <w:pPr>
        <w:ind w:firstLine="315" w:firstLineChars="150"/>
        <w:rPr>
          <w:rFonts w:hint="eastAsia" w:ascii="仿宋" w:hAnsi="仿宋" w:eastAsia="仿宋" w:cs="仿宋"/>
          <w:bCs/>
          <w:sz w:val="28"/>
          <w:szCs w:val="28"/>
          <w:lang w:bidi="ar"/>
        </w:rPr>
      </w:pPr>
      <w:r>
        <w:rPr>
          <w:rFonts w:hint="eastAsia" w:asciiTheme="minorEastAsia" w:hAnsiTheme="minorEastAsia" w:eastAsiaTheme="minorEastAsia" w:cstheme="minorEastAsia"/>
          <w:b w:val="0"/>
          <w:bCs/>
          <w:sz w:val="21"/>
          <w:szCs w:val="21"/>
          <w:lang w:eastAsia="zh-CN" w:bidi="ar"/>
        </w:rPr>
        <w:t>（</w:t>
      </w:r>
      <w:r>
        <w:rPr>
          <w:rFonts w:hint="eastAsia" w:asciiTheme="minorEastAsia" w:hAnsiTheme="minorEastAsia" w:eastAsiaTheme="minorEastAsia" w:cstheme="minorEastAsia"/>
          <w:b w:val="0"/>
          <w:bCs/>
          <w:sz w:val="21"/>
          <w:szCs w:val="21"/>
          <w:lang w:val="en-US" w:eastAsia="zh-CN" w:bidi="ar"/>
        </w:rPr>
        <w:t>3</w:t>
      </w:r>
      <w:r>
        <w:rPr>
          <w:rFonts w:hint="eastAsia" w:asciiTheme="minorEastAsia" w:hAnsiTheme="minorEastAsia" w:eastAsiaTheme="minorEastAsia" w:cstheme="minorEastAsia"/>
          <w:b w:val="0"/>
          <w:bCs/>
          <w:sz w:val="21"/>
          <w:szCs w:val="21"/>
          <w:lang w:eastAsia="zh-CN" w:bidi="ar"/>
        </w:rPr>
        <w:t>）</w:t>
      </w:r>
      <w:r>
        <w:rPr>
          <w:rFonts w:hint="eastAsia" w:asciiTheme="minorEastAsia" w:hAnsiTheme="minorEastAsia" w:eastAsiaTheme="minorEastAsia" w:cstheme="minorEastAsia"/>
          <w:b w:val="0"/>
          <w:bCs/>
          <w:sz w:val="21"/>
          <w:szCs w:val="21"/>
          <w:lang w:bidi="ar"/>
        </w:rPr>
        <w:t>高度重视教师人格品格魅力的培养。</w:t>
      </w:r>
      <w:r>
        <w:rPr>
          <w:rFonts w:hint="eastAsia" w:asciiTheme="minorEastAsia" w:hAnsiTheme="minorEastAsia" w:eastAsiaTheme="minorEastAsia" w:cstheme="minorEastAsia"/>
          <w:bCs/>
          <w:sz w:val="21"/>
          <w:szCs w:val="21"/>
          <w:lang w:bidi="ar"/>
        </w:rPr>
        <w:t>教师是提高思政课堂教学有效性的关键，要着力加强教师的师风师德培养，彰显教师热爱讲台、珍爱讲台、敬畏讲台之情；要不断提高教师的综合素质，特别是教师的道德力、语言力、实践力、解决实际问题的能力。无论是专业教师还是思政教师，都要做到可敬、可信、可靠，乐为、敢为、有为，让教师的人格魅力和实际行动感染带动学生，达到“亲其师，信其道”的目的，寓教于乐，让学生对于思政课充满喜爱，乐在其中。</w:t>
      </w:r>
    </w:p>
    <w:p>
      <w:pPr>
        <w:rPr>
          <w:rFonts w:hint="eastAsia" w:asciiTheme="minorEastAsia" w:hAnsiTheme="minorEastAsia" w:eastAsiaTheme="minorEastAsia" w:cstheme="minorEastAsia"/>
          <w:bCs/>
          <w:sz w:val="21"/>
          <w:szCs w:val="21"/>
          <w:lang w:bidi="ar"/>
        </w:rPr>
      </w:pPr>
    </w:p>
    <w:p>
      <w:pPr>
        <w:rPr>
          <w:rFonts w:hint="eastAsia" w:asciiTheme="minorEastAsia" w:hAnsiTheme="minorEastAsia" w:eastAsiaTheme="minorEastAsia" w:cstheme="minorEastAsia"/>
          <w:bCs/>
          <w:sz w:val="21"/>
          <w:szCs w:val="21"/>
          <w:lang w:bidi="ar"/>
        </w:rPr>
      </w:pPr>
      <w:r>
        <w:rPr>
          <w:rFonts w:hint="eastAsia" w:asciiTheme="minorEastAsia" w:hAnsiTheme="minorEastAsia" w:eastAsiaTheme="minorEastAsia" w:cstheme="minorEastAsia"/>
          <w:bCs/>
          <w:sz w:val="21"/>
          <w:szCs w:val="21"/>
          <w:lang w:bidi="ar"/>
        </w:rPr>
        <w:t>参考文献：</w:t>
      </w:r>
    </w:p>
    <w:p>
      <w:pPr>
        <w:rPr>
          <w:rFonts w:hint="eastAsia" w:asciiTheme="minorEastAsia" w:hAnsiTheme="minorEastAsia" w:eastAsiaTheme="minorEastAsia" w:cstheme="minorEastAsia"/>
          <w:bCs/>
          <w:sz w:val="21"/>
          <w:szCs w:val="21"/>
          <w:lang w:bidi="ar"/>
        </w:rPr>
      </w:pPr>
      <w:r>
        <w:rPr>
          <w:rFonts w:hint="eastAsia" w:asciiTheme="minorEastAsia" w:hAnsiTheme="minorEastAsia" w:eastAsiaTheme="minorEastAsia" w:cstheme="minorEastAsia"/>
          <w:bCs/>
          <w:sz w:val="21"/>
          <w:szCs w:val="21"/>
          <w:lang w:bidi="ar"/>
        </w:rPr>
        <w:t>[1]姚高翔，李春萌.高等院校课程思政建设的隐忧与应对策略[J].高教论坛，2018，11（11）：7-9.</w:t>
      </w:r>
    </w:p>
    <w:p>
      <w:pPr>
        <w:rPr>
          <w:rFonts w:hint="eastAsia" w:asciiTheme="minorEastAsia" w:hAnsiTheme="minorEastAsia" w:eastAsiaTheme="minorEastAsia" w:cstheme="minorEastAsia"/>
          <w:bCs/>
          <w:sz w:val="21"/>
          <w:szCs w:val="21"/>
          <w:lang w:bidi="ar"/>
        </w:rPr>
      </w:pPr>
      <w:r>
        <w:rPr>
          <w:rFonts w:hint="eastAsia" w:asciiTheme="minorEastAsia" w:hAnsiTheme="minorEastAsia" w:eastAsiaTheme="minorEastAsia" w:cstheme="minorEastAsia"/>
          <w:bCs/>
          <w:sz w:val="21"/>
          <w:szCs w:val="21"/>
          <w:lang w:bidi="ar"/>
        </w:rPr>
        <w:t>[2]张丹丹.复杂性视阈下“课程思政”建设路径研究[J].广西社会科学，2018，（9）：211-215.</w:t>
      </w:r>
    </w:p>
    <w:p>
      <w:pPr>
        <w:rPr>
          <w:rFonts w:hint="eastAsia" w:asciiTheme="minorEastAsia" w:hAnsiTheme="minorEastAsia" w:eastAsiaTheme="minorEastAsia" w:cstheme="minorEastAsia"/>
          <w:bCs/>
          <w:sz w:val="21"/>
          <w:szCs w:val="21"/>
          <w:lang w:bidi="ar"/>
        </w:rPr>
      </w:pPr>
      <w:r>
        <w:rPr>
          <w:rFonts w:hint="eastAsia" w:asciiTheme="minorEastAsia" w:hAnsiTheme="minorEastAsia" w:eastAsiaTheme="minorEastAsia" w:cstheme="minorEastAsia"/>
          <w:bCs/>
          <w:sz w:val="21"/>
          <w:szCs w:val="21"/>
          <w:lang w:bidi="ar"/>
        </w:rPr>
        <w:t>[3]孟庆茂，刘红云．大学教师教学效果评价维度结构及影响因素研究 [J].心理科学，2003,26（4）：617-619.</w:t>
      </w:r>
    </w:p>
    <w:p>
      <w:pPr>
        <w:rPr>
          <w:rFonts w:hint="eastAsia" w:asciiTheme="minorEastAsia" w:hAnsiTheme="minorEastAsia" w:eastAsiaTheme="minorEastAsia" w:cstheme="minorEastAsia"/>
          <w:bCs/>
          <w:sz w:val="21"/>
          <w:szCs w:val="21"/>
          <w:lang w:bidi="ar"/>
        </w:rPr>
      </w:pPr>
      <w:r>
        <w:rPr>
          <w:rFonts w:hint="eastAsia" w:asciiTheme="minorEastAsia" w:hAnsiTheme="minorEastAsia" w:eastAsiaTheme="minorEastAsia" w:cstheme="minorEastAsia"/>
          <w:bCs/>
          <w:sz w:val="21"/>
          <w:szCs w:val="21"/>
          <w:lang w:bidi="ar"/>
        </w:rPr>
        <w:t>[4]陈洋,胡凡刚,刘永琪.翻转课堂引发的矛盾关系思考[J].现代教育技术,2016(02):71-76.</w:t>
      </w:r>
    </w:p>
    <w:p>
      <w:pPr>
        <w:rPr>
          <w:rFonts w:hint="eastAsia" w:asciiTheme="minorEastAsia" w:hAnsiTheme="minorEastAsia" w:eastAsiaTheme="minorEastAsia" w:cstheme="minorEastAsia"/>
          <w:bCs/>
          <w:sz w:val="21"/>
          <w:szCs w:val="21"/>
          <w:lang w:bidi="ar"/>
        </w:rPr>
      </w:pPr>
      <w:r>
        <w:rPr>
          <w:rFonts w:hint="eastAsia" w:asciiTheme="minorEastAsia" w:hAnsiTheme="minorEastAsia" w:eastAsiaTheme="minorEastAsia" w:cstheme="minorEastAsia"/>
          <w:bCs/>
          <w:sz w:val="21"/>
          <w:szCs w:val="21"/>
          <w:lang w:bidi="ar"/>
        </w:rPr>
        <w:t>[5]邱莉．教师课堂情绪对教学效果影响的实验研究[J]．教育研究与实验，2014（1）：72-76+85.</w:t>
      </w:r>
    </w:p>
    <w:p>
      <w:pPr>
        <w:rPr>
          <w:rFonts w:hint="eastAsia" w:asciiTheme="minorEastAsia" w:hAnsiTheme="minorEastAsia" w:eastAsiaTheme="minorEastAsia" w:cstheme="minorEastAsia"/>
          <w:bCs/>
          <w:sz w:val="21"/>
          <w:szCs w:val="21"/>
          <w:lang w:bidi="ar"/>
        </w:rPr>
      </w:pPr>
      <w:r>
        <w:rPr>
          <w:rFonts w:hint="eastAsia" w:asciiTheme="minorEastAsia" w:hAnsiTheme="minorEastAsia" w:eastAsiaTheme="minorEastAsia" w:cstheme="minorEastAsia"/>
          <w:bCs/>
          <w:sz w:val="21"/>
          <w:szCs w:val="21"/>
          <w:lang w:bidi="ar"/>
        </w:rPr>
        <w:t>[6]蒋立兵，陈佑清．高校文科课程翻转课堂有效性的准实验研究 [J]．中国电化教育，2016（7）:107-113.</w:t>
      </w:r>
    </w:p>
    <w:p>
      <w:pPr>
        <w:rPr>
          <w:rFonts w:hint="eastAsia" w:asciiTheme="minorEastAsia" w:hAnsiTheme="minorEastAsia" w:eastAsiaTheme="minorEastAsia" w:cstheme="minorEastAsia"/>
          <w:bCs/>
          <w:sz w:val="21"/>
          <w:szCs w:val="21"/>
          <w:lang w:bidi="ar"/>
        </w:rPr>
      </w:pPr>
    </w:p>
    <w:p>
      <w:pPr>
        <w:rPr>
          <w:rFonts w:hint="eastAsia" w:asciiTheme="minorEastAsia" w:hAnsiTheme="minorEastAsia" w:eastAsiaTheme="minorEastAsia" w:cstheme="minorEastAsia"/>
          <w:bCs/>
          <w:sz w:val="21"/>
          <w:szCs w:val="21"/>
          <w:lang w:eastAsia="zh-CN" w:bidi="ar"/>
        </w:rPr>
      </w:pPr>
      <w:r>
        <w:rPr>
          <w:rFonts w:hint="eastAsia" w:asciiTheme="minorEastAsia" w:hAnsiTheme="minorEastAsia" w:eastAsiaTheme="minorEastAsia" w:cstheme="minorEastAsia"/>
          <w:bCs/>
          <w:sz w:val="21"/>
          <w:szCs w:val="21"/>
          <w:lang w:eastAsia="zh-CN" w:bidi="ar"/>
        </w:rPr>
        <w:t>（</w:t>
      </w:r>
      <w:r>
        <w:rPr>
          <w:rFonts w:hint="eastAsia" w:asciiTheme="minorEastAsia" w:hAnsiTheme="minorEastAsia" w:eastAsiaTheme="minorEastAsia" w:cstheme="minorEastAsia"/>
          <w:bCs/>
          <w:sz w:val="21"/>
          <w:szCs w:val="21"/>
          <w:lang w:val="en-US" w:eastAsia="zh-CN" w:bidi="ar"/>
        </w:rPr>
        <w:t>联系方式：电话18056058363/13866717866；地址：合肥市翡翠路900号 安徽财贸职业学院马克思主义学院 230601；电子邮箱：1398243375@qq.com</w:t>
      </w:r>
      <w:r>
        <w:rPr>
          <w:rFonts w:hint="eastAsia" w:asciiTheme="minorEastAsia" w:hAnsiTheme="minorEastAsia" w:eastAsiaTheme="minorEastAsia" w:cstheme="minorEastAsia"/>
          <w:bCs/>
          <w:sz w:val="21"/>
          <w:szCs w:val="21"/>
          <w:lang w:eastAsia="zh-CN" w:bidi="ar"/>
        </w:rPr>
        <w:t>）</w:t>
      </w:r>
    </w:p>
    <w:p>
      <w:pPr>
        <w:rPr>
          <w:rFonts w:ascii="仿宋" w:hAnsi="仿宋" w:eastAsia="仿宋"/>
          <w:sz w:val="28"/>
          <w:szCs w:val="28"/>
        </w:rPr>
      </w:pPr>
    </w:p>
    <w:p>
      <w:pPr>
        <w:rPr>
          <w:rFonts w:hint="eastAsia" w:ascii="仿宋" w:hAnsi="仿宋" w:eastAsia="仿宋" w:cs="仿宋"/>
          <w:bCs/>
          <w:sz w:val="28"/>
          <w:szCs w:val="28"/>
          <w:lang w:bidi="ar"/>
        </w:rPr>
      </w:pPr>
      <w:bookmarkStart w:id="0" w:name="_GoBack"/>
      <w:bookmarkEnd w:id="0"/>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0AC3"/>
    <w:rsid w:val="00003D69"/>
    <w:rsid w:val="00007EB6"/>
    <w:rsid w:val="00094B72"/>
    <w:rsid w:val="000A6262"/>
    <w:rsid w:val="000E0133"/>
    <w:rsid w:val="000E4EB3"/>
    <w:rsid w:val="00117A5C"/>
    <w:rsid w:val="0014351F"/>
    <w:rsid w:val="00146BF2"/>
    <w:rsid w:val="00150E1E"/>
    <w:rsid w:val="00151725"/>
    <w:rsid w:val="001D31E8"/>
    <w:rsid w:val="002002A7"/>
    <w:rsid w:val="0021393D"/>
    <w:rsid w:val="00222CF8"/>
    <w:rsid w:val="002707CA"/>
    <w:rsid w:val="002A1536"/>
    <w:rsid w:val="002A179A"/>
    <w:rsid w:val="002A74F4"/>
    <w:rsid w:val="002B33B7"/>
    <w:rsid w:val="002E6CB6"/>
    <w:rsid w:val="002F6C32"/>
    <w:rsid w:val="002F71D5"/>
    <w:rsid w:val="003134DF"/>
    <w:rsid w:val="00317B5C"/>
    <w:rsid w:val="00345DF9"/>
    <w:rsid w:val="00351647"/>
    <w:rsid w:val="003562E0"/>
    <w:rsid w:val="00390AAE"/>
    <w:rsid w:val="003A14D6"/>
    <w:rsid w:val="003B0AC3"/>
    <w:rsid w:val="003C5028"/>
    <w:rsid w:val="004418E6"/>
    <w:rsid w:val="004A5EF0"/>
    <w:rsid w:val="004E55DA"/>
    <w:rsid w:val="005031A7"/>
    <w:rsid w:val="00533977"/>
    <w:rsid w:val="00582603"/>
    <w:rsid w:val="006162CB"/>
    <w:rsid w:val="006B0CEF"/>
    <w:rsid w:val="006B1E8F"/>
    <w:rsid w:val="00710B73"/>
    <w:rsid w:val="007172F7"/>
    <w:rsid w:val="00774D93"/>
    <w:rsid w:val="00792030"/>
    <w:rsid w:val="007E5FDD"/>
    <w:rsid w:val="007F200F"/>
    <w:rsid w:val="0080228A"/>
    <w:rsid w:val="008238AC"/>
    <w:rsid w:val="00823D42"/>
    <w:rsid w:val="00837877"/>
    <w:rsid w:val="00842F74"/>
    <w:rsid w:val="00872CEF"/>
    <w:rsid w:val="008C11BC"/>
    <w:rsid w:val="00912929"/>
    <w:rsid w:val="009165B6"/>
    <w:rsid w:val="00940678"/>
    <w:rsid w:val="00961D22"/>
    <w:rsid w:val="00962E8C"/>
    <w:rsid w:val="00982E4C"/>
    <w:rsid w:val="009918B4"/>
    <w:rsid w:val="009A5108"/>
    <w:rsid w:val="009B09B1"/>
    <w:rsid w:val="00A07BEA"/>
    <w:rsid w:val="00A11488"/>
    <w:rsid w:val="00A1401D"/>
    <w:rsid w:val="00A71A0B"/>
    <w:rsid w:val="00AB3AB4"/>
    <w:rsid w:val="00AC606E"/>
    <w:rsid w:val="00AD64E4"/>
    <w:rsid w:val="00AE176B"/>
    <w:rsid w:val="00B3435D"/>
    <w:rsid w:val="00BB3C50"/>
    <w:rsid w:val="00BC7966"/>
    <w:rsid w:val="00BE4902"/>
    <w:rsid w:val="00BE64A1"/>
    <w:rsid w:val="00C02152"/>
    <w:rsid w:val="00C20A2D"/>
    <w:rsid w:val="00C40AE1"/>
    <w:rsid w:val="00C45A08"/>
    <w:rsid w:val="00CB43CE"/>
    <w:rsid w:val="00CC0DE4"/>
    <w:rsid w:val="00CD793E"/>
    <w:rsid w:val="00CE1B54"/>
    <w:rsid w:val="00D11793"/>
    <w:rsid w:val="00D303EF"/>
    <w:rsid w:val="00D7110C"/>
    <w:rsid w:val="00DD7115"/>
    <w:rsid w:val="00DF2910"/>
    <w:rsid w:val="00E03D71"/>
    <w:rsid w:val="00E128A6"/>
    <w:rsid w:val="00E151E2"/>
    <w:rsid w:val="00E249C7"/>
    <w:rsid w:val="00E86918"/>
    <w:rsid w:val="00E91314"/>
    <w:rsid w:val="00EB2F87"/>
    <w:rsid w:val="00EC716D"/>
    <w:rsid w:val="00EE1937"/>
    <w:rsid w:val="00F05B01"/>
    <w:rsid w:val="00F31EA1"/>
    <w:rsid w:val="00F538CB"/>
    <w:rsid w:val="00FA74B5"/>
    <w:rsid w:val="00FB0969"/>
    <w:rsid w:val="00FF0971"/>
    <w:rsid w:val="0112366C"/>
    <w:rsid w:val="02282092"/>
    <w:rsid w:val="0333013D"/>
    <w:rsid w:val="03D53BB8"/>
    <w:rsid w:val="051A55E6"/>
    <w:rsid w:val="0585217A"/>
    <w:rsid w:val="08E63E15"/>
    <w:rsid w:val="0CA21D6C"/>
    <w:rsid w:val="0E340668"/>
    <w:rsid w:val="0F2E231E"/>
    <w:rsid w:val="103D5A21"/>
    <w:rsid w:val="10D22332"/>
    <w:rsid w:val="113E77BA"/>
    <w:rsid w:val="11910A12"/>
    <w:rsid w:val="141523D6"/>
    <w:rsid w:val="14712E32"/>
    <w:rsid w:val="15896384"/>
    <w:rsid w:val="15AD1706"/>
    <w:rsid w:val="16460940"/>
    <w:rsid w:val="1A8304E5"/>
    <w:rsid w:val="1E1B7C98"/>
    <w:rsid w:val="1EDE5467"/>
    <w:rsid w:val="21545ABA"/>
    <w:rsid w:val="221C0206"/>
    <w:rsid w:val="23AA5B5B"/>
    <w:rsid w:val="26637716"/>
    <w:rsid w:val="268754EB"/>
    <w:rsid w:val="276352B2"/>
    <w:rsid w:val="29BE6115"/>
    <w:rsid w:val="2A280E5B"/>
    <w:rsid w:val="2A59618A"/>
    <w:rsid w:val="2CC545FA"/>
    <w:rsid w:val="2DD80183"/>
    <w:rsid w:val="2EA373A2"/>
    <w:rsid w:val="306452A1"/>
    <w:rsid w:val="313E4E38"/>
    <w:rsid w:val="31884C0A"/>
    <w:rsid w:val="320408D1"/>
    <w:rsid w:val="324B4011"/>
    <w:rsid w:val="324E38F7"/>
    <w:rsid w:val="327B744A"/>
    <w:rsid w:val="356123F4"/>
    <w:rsid w:val="36100FCB"/>
    <w:rsid w:val="38CC2586"/>
    <w:rsid w:val="39A000ED"/>
    <w:rsid w:val="3EA20888"/>
    <w:rsid w:val="3F367345"/>
    <w:rsid w:val="40BB5BDC"/>
    <w:rsid w:val="40E14696"/>
    <w:rsid w:val="41285CA4"/>
    <w:rsid w:val="41966B09"/>
    <w:rsid w:val="421213ED"/>
    <w:rsid w:val="43621A67"/>
    <w:rsid w:val="439B7AE1"/>
    <w:rsid w:val="484D7B29"/>
    <w:rsid w:val="48F353C1"/>
    <w:rsid w:val="4CF92757"/>
    <w:rsid w:val="4F2A7F9D"/>
    <w:rsid w:val="4FA85231"/>
    <w:rsid w:val="51EC70CB"/>
    <w:rsid w:val="522848DB"/>
    <w:rsid w:val="52A72839"/>
    <w:rsid w:val="53A74A69"/>
    <w:rsid w:val="53DA13B5"/>
    <w:rsid w:val="56926B67"/>
    <w:rsid w:val="57DC360E"/>
    <w:rsid w:val="58C1096D"/>
    <w:rsid w:val="5FD662D8"/>
    <w:rsid w:val="608C4EE0"/>
    <w:rsid w:val="61340EFD"/>
    <w:rsid w:val="63D5331D"/>
    <w:rsid w:val="640D4BB8"/>
    <w:rsid w:val="6518031C"/>
    <w:rsid w:val="686C3CC2"/>
    <w:rsid w:val="6CF746C0"/>
    <w:rsid w:val="6D716D95"/>
    <w:rsid w:val="6DB72544"/>
    <w:rsid w:val="6EDB6CDB"/>
    <w:rsid w:val="705B7689"/>
    <w:rsid w:val="70F81DFB"/>
    <w:rsid w:val="739D601A"/>
    <w:rsid w:val="75CD777E"/>
    <w:rsid w:val="7DF036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1"/>
      <w:lang w:val="en-US" w:eastAsia="zh-CN" w:bidi="ar-SA"/>
    </w:rPr>
  </w:style>
  <w:style w:type="character" w:default="1" w:styleId="4">
    <w:name w:val="Default Paragraph Font"/>
    <w:semiHidden/>
    <w:uiPriority w:val="0"/>
  </w:style>
  <w:style w:type="table" w:default="1" w:styleId="2">
    <w:name w:val="Normal Table"/>
    <w:semiHidden/>
    <w:qFormat/>
    <w:uiPriority w:val="0"/>
    <w:rPr>
      <w:rFonts w:eastAsia="Times New Roman"/>
    </w:rPr>
    <w:tblPr>
      <w:tblLayout w:type="fixed"/>
      <w:tblCellMar>
        <w:top w:w="0" w:type="dxa"/>
        <w:left w:w="108" w:type="dxa"/>
        <w:bottom w:w="0" w:type="dxa"/>
        <w:right w:w="108" w:type="dxa"/>
      </w:tblCellMar>
    </w:tblPr>
  </w:style>
  <w:style w:type="table" w:styleId="3">
    <w:name w:val="Table Grid"/>
    <w:basedOn w:val="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11</Pages>
  <Words>985</Words>
  <Characters>5616</Characters>
  <Lines>46</Lines>
  <Paragraphs>13</Paragraphs>
  <TotalTime>17</TotalTime>
  <ScaleCrop>false</ScaleCrop>
  <LinksUpToDate>false</LinksUpToDate>
  <CharactersWithSpaces>6588</CharactersWithSpaces>
  <Application>WPS Office_11.1.0.8661_F1E327BC-269C-435d-A152-05C5408002CA</Application>
  <DocSecurity>1</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2019-05-12T07:57:00Z</dcterms:created>
  <dc:creator>AutoBVT</dc:creator>
  <cp:lastModifiedBy>lenovo</cp:lastModifiedBy>
  <cp:lastPrinted>2019-03-15T05:49:00Z</cp:lastPrinted>
  <dcterms:modified xsi:type="dcterms:W3CDTF">2019-05-17T07:54:56Z</dcterms:modified>
  <dc:title>高等职业院校思政课堂学生主体性提升探究</dc:title>
  <cp:revision>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vt:lpwstr>6</vt:lpwstr>
  </property>
  <property fmtid="{D5CDD505-2E9C-101B-9397-08002B2CF9AE}" pid="3" name="KSOProductBuildVer">
    <vt:lpwstr>2052-11.1.0.8661</vt:lpwstr>
  </property>
</Properties>
</file>