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sz w:val="44"/>
          <w:szCs w:val="44"/>
          <w:lang w:val="en-US" w:eastAsia="zh-CN"/>
        </w:rPr>
      </w:pPr>
      <w:r>
        <w:rPr>
          <w:rFonts w:hint="eastAsia"/>
          <w:b/>
          <w:bCs/>
          <w:sz w:val="36"/>
          <w:szCs w:val="36"/>
          <w:lang w:val="en-US" w:eastAsia="zh-CN"/>
        </w:rPr>
        <w:t>滑动式垂直垃圾压缩设备基础的压力中心分析</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default"/>
          <w:sz w:val="24"/>
          <w:szCs w:val="24"/>
          <w:vertAlign w:val="superscript"/>
          <w:lang w:val="en-US" w:eastAsia="zh-CN"/>
        </w:rPr>
      </w:pPr>
      <w:r>
        <w:rPr>
          <w:rFonts w:hint="eastAsia"/>
          <w:sz w:val="24"/>
          <w:szCs w:val="24"/>
          <w:lang w:val="en-US" w:eastAsia="zh-CN"/>
        </w:rPr>
        <w:t>林凯</w:t>
      </w:r>
      <w:r>
        <w:rPr>
          <w:rFonts w:hint="eastAsia"/>
          <w:sz w:val="24"/>
          <w:szCs w:val="24"/>
          <w:vertAlign w:val="superscript"/>
          <w:lang w:val="en-US" w:eastAsia="zh-CN"/>
        </w:rPr>
        <w:t>1</w:t>
      </w:r>
      <w:r>
        <w:rPr>
          <w:rFonts w:hint="eastAsia"/>
          <w:sz w:val="24"/>
          <w:szCs w:val="24"/>
          <w:lang w:val="en-US" w:eastAsia="zh-CN"/>
        </w:rPr>
        <w:t xml:space="preserve">   林涛</w:t>
      </w:r>
      <w:r>
        <w:rPr>
          <w:rFonts w:hint="eastAsia"/>
          <w:sz w:val="24"/>
          <w:szCs w:val="24"/>
          <w:vertAlign w:val="superscript"/>
          <w:lang w:val="en-US" w:eastAsia="zh-CN"/>
        </w:rPr>
        <w:t xml:space="preserve">2  </w:t>
      </w:r>
    </w:p>
    <w:p>
      <w:pPr>
        <w:keepNext w:val="0"/>
        <w:keepLines w:val="0"/>
        <w:pageBreakBefore w:val="0"/>
        <w:widowControl w:val="0"/>
        <w:kinsoku/>
        <w:wordWrap/>
        <w:overflowPunct/>
        <w:topLinePunct w:val="0"/>
        <w:autoSpaceDE/>
        <w:autoSpaceDN/>
        <w:bidi w:val="0"/>
        <w:adjustRightInd/>
        <w:snapToGrid/>
        <w:spacing w:line="480" w:lineRule="exact"/>
        <w:ind w:firstLine="720" w:firstLineChars="300"/>
        <w:textAlignment w:val="auto"/>
        <w:rPr>
          <w:rFonts w:hint="default"/>
          <w:sz w:val="24"/>
          <w:szCs w:val="24"/>
          <w:lang w:val="en-US" w:eastAsia="zh-CN"/>
        </w:rPr>
      </w:pPr>
      <w:r>
        <w:rPr>
          <w:rFonts w:hint="eastAsia"/>
          <w:sz w:val="24"/>
          <w:szCs w:val="24"/>
          <w:lang w:val="en-US" w:eastAsia="zh-CN"/>
        </w:rPr>
        <w:t>（1.襄阳市水利规划设计院 441021   2.随州技师学院 441300）</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sz w:val="24"/>
          <w:szCs w:val="24"/>
          <w:lang w:val="en-US" w:eastAsia="zh-CN"/>
        </w:rPr>
      </w:pPr>
      <w:r>
        <w:rPr>
          <w:rFonts w:hint="eastAsia"/>
          <w:sz w:val="24"/>
          <w:szCs w:val="24"/>
          <w:lang w:val="en-US" w:eastAsia="zh-CN"/>
        </w:rPr>
        <w:t>【摘要】垃圾压缩设备主要承载动载</w:t>
      </w:r>
      <w:bookmarkStart w:id="0" w:name="_GoBack"/>
      <w:bookmarkEnd w:id="0"/>
      <w:r>
        <w:rPr>
          <w:rFonts w:hint="eastAsia"/>
          <w:sz w:val="24"/>
          <w:szCs w:val="24"/>
          <w:lang w:val="en-US" w:eastAsia="zh-CN"/>
        </w:rPr>
        <w:t>荷，设备举升的压力中心是随垃圾块推出的位置变化而发生偏移，在设备基础设计时必须借助于力学模型计算相对稳定的举升压力中心，尽量保持垃圾压缩块在推出的过程中保持设备两端的力矩接近相等，延长设备使用寿命。</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default"/>
          <w:sz w:val="24"/>
          <w:szCs w:val="24"/>
          <w:lang w:val="en-US" w:eastAsia="zh-CN"/>
        </w:rPr>
      </w:pPr>
      <w:r>
        <w:rPr>
          <w:rFonts w:hint="eastAsia"/>
          <w:sz w:val="24"/>
          <w:szCs w:val="24"/>
          <w:lang w:val="en-US" w:eastAsia="zh-CN"/>
        </w:rPr>
        <w:t>【关键词】基础施工 垃圾压缩设备 压力中心 分析</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textAlignment w:val="auto"/>
        <w:rPr>
          <w:rFonts w:hint="eastAsia"/>
          <w:sz w:val="28"/>
          <w:szCs w:val="28"/>
          <w:lang w:val="en-US" w:eastAsia="zh-CN"/>
        </w:rPr>
      </w:pPr>
      <w:r>
        <w:rPr>
          <w:rFonts w:hint="eastAsia"/>
          <w:sz w:val="28"/>
          <w:szCs w:val="28"/>
          <w:lang w:val="en-US" w:eastAsia="zh-CN"/>
        </w:rPr>
        <w:t>随着人们的生活水平的提高，对环境的要求也日益提高，都希望生活在美丽乡镇或城市中，传统意义的垃圾站已不能适应新农村、新居民对高效、环保、节能、低耗等新理念的要求，因此，压缩式垃圾中转站的压缩设备推广日益完善。垃圾压缩设备的推广和运用，美化了人们的生活环境，杜绝了二次污染，减少了蚊蝇的滋生，提高了车载效率，减轻了环卫工作的劳动强度，大大降低了运营成本。</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textAlignment w:val="auto"/>
        <w:rPr>
          <w:rFonts w:hint="eastAsia"/>
          <w:sz w:val="28"/>
          <w:szCs w:val="28"/>
          <w:lang w:val="en-US" w:eastAsia="zh-CN"/>
        </w:rPr>
      </w:pPr>
      <w:r>
        <w:rPr>
          <w:rFonts w:hint="eastAsia"/>
          <w:sz w:val="28"/>
          <w:szCs w:val="28"/>
          <w:lang w:val="en-US" w:eastAsia="zh-CN"/>
        </w:rPr>
        <w:t>目前，国家标准《垃圾转动站设备》（JB/T10855-2008）明确规定，垃圾压缩设备分类方式多种多样，按压缩装箱的型式可分为直接压人装箱式和预压缩装箱式，按压缩机是否移动特性分为固定式和移动式。结合襄阳和随州生产企业的现状，垃圾压缩站设备按储存和压缩的方式分为固定式（地埋式、垂直式、侧翻式等）和移动式（垃圾压缩一体机、复合式），其控制的方式一般采用手动式、半自动式、全自动式和智能式。下面以固定垂直式垃圾压缩设备的基础设计为例来进行分析。</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firstLine="562" w:firstLineChars="200"/>
        <w:textAlignment w:val="auto"/>
        <w:rPr>
          <w:rFonts w:hint="eastAsia"/>
          <w:b/>
          <w:bCs/>
          <w:sz w:val="28"/>
          <w:szCs w:val="28"/>
          <w:lang w:val="en-US" w:eastAsia="zh-CN"/>
        </w:rPr>
      </w:pPr>
      <w:r>
        <w:rPr>
          <w:rFonts w:hint="eastAsia"/>
          <w:b/>
          <w:bCs/>
          <w:sz w:val="28"/>
          <w:szCs w:val="28"/>
          <w:lang w:val="en-US" w:eastAsia="zh-CN"/>
        </w:rPr>
        <w:t>设备组成及工作原理</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textAlignment w:val="auto"/>
        <w:rPr>
          <w:rFonts w:hint="eastAsia" w:ascii="宋体" w:hAnsi="宋体"/>
          <w:sz w:val="28"/>
          <w:szCs w:val="28"/>
        </w:rPr>
      </w:pPr>
      <w:r>
        <w:rPr>
          <w:rFonts w:hint="eastAsia" w:ascii="宋体" w:hAnsi="宋体"/>
          <w:sz w:val="28"/>
          <w:szCs w:val="28"/>
        </w:rPr>
        <w:t>滑轨式垃圾垂直压缩机是一种集机电一体化的产品,具有结构合理紧凑、操作方便、自动化程度高、具有人机对话等特点。</w:t>
      </w: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垂直举升水平压缩垃圾设备一般由压缩机构、箱体、水平推料机构、前门、中门、垂直举升机构、压力锁紧机构、安全保险装置、排污系统、喷淋降尘系统、清洗系统及液压电控系统组成。</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560" w:firstLineChars="200"/>
        <w:textAlignment w:val="auto"/>
        <w:rPr>
          <w:rFonts w:hint="default" w:ascii="宋体" w:hAnsi="宋体" w:eastAsiaTheme="minorEastAsia"/>
          <w:sz w:val="28"/>
          <w:szCs w:val="28"/>
          <w:lang w:val="en-US" w:eastAsia="zh-CN"/>
        </w:rPr>
      </w:pPr>
      <w:r>
        <w:rPr>
          <w:rFonts w:hint="eastAsia" w:ascii="宋体" w:hAnsi="宋体"/>
          <w:sz w:val="28"/>
          <w:szCs w:val="28"/>
          <w:lang w:val="en-US" w:eastAsia="zh-CN"/>
        </w:rPr>
        <w:t>2、设备工作原理（</w:t>
      </w:r>
      <w:r>
        <w:rPr>
          <w:rFonts w:hint="eastAsia" w:ascii="宋体" w:hAnsi="宋体" w:eastAsia="宋体" w:cs="宋体"/>
          <w:sz w:val="28"/>
          <w:szCs w:val="28"/>
          <w:lang w:val="en-US" w:eastAsia="zh-CN"/>
        </w:rPr>
        <w:t>如图1所示）</w:t>
      </w:r>
    </w:p>
    <w:p>
      <w:pPr>
        <w:spacing w:line="360" w:lineRule="auto"/>
      </w:pPr>
      <w:r>
        <w:drawing>
          <wp:inline distT="0" distB="0" distL="114300" distR="114300">
            <wp:extent cx="1998980" cy="1204595"/>
            <wp:effectExtent l="0" t="0" r="1270" b="1460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rcRect l="25667" t="28564" r="33734" b="27940"/>
                    <a:stretch>
                      <a:fillRect/>
                    </a:stretch>
                  </pic:blipFill>
                  <pic:spPr>
                    <a:xfrm>
                      <a:off x="0" y="0"/>
                      <a:ext cx="1998980" cy="1204595"/>
                    </a:xfrm>
                    <a:prstGeom prst="rect">
                      <a:avLst/>
                    </a:prstGeom>
                    <a:noFill/>
                    <a:ln>
                      <a:noFill/>
                    </a:ln>
                  </pic:spPr>
                </pic:pic>
              </a:graphicData>
            </a:graphic>
          </wp:inline>
        </w:drawing>
      </w:r>
      <w:r>
        <w:rPr>
          <w:rFonts w:hint="eastAsia"/>
        </w:rPr>
        <w:t xml:space="preserve">  </w:t>
      </w:r>
      <w:r>
        <w:rPr>
          <w:rFonts w:hint="eastAsia"/>
          <w:lang w:val="en-US" w:eastAsia="zh-CN"/>
        </w:rPr>
        <w:t xml:space="preserve">    </w:t>
      </w:r>
      <w:r>
        <w:rPr>
          <w:rFonts w:hint="eastAsia"/>
        </w:rPr>
        <w:t xml:space="preserve"> </w:t>
      </w:r>
      <w:r>
        <w:drawing>
          <wp:inline distT="0" distB="0" distL="114300" distR="114300">
            <wp:extent cx="2211705" cy="1261745"/>
            <wp:effectExtent l="0" t="0" r="17145" b="1460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rcRect l="23500" t="25238" r="29437" b="27002"/>
                    <a:stretch>
                      <a:fillRect/>
                    </a:stretch>
                  </pic:blipFill>
                  <pic:spPr>
                    <a:xfrm>
                      <a:off x="0" y="0"/>
                      <a:ext cx="2211705" cy="1261745"/>
                    </a:xfrm>
                    <a:prstGeom prst="rect">
                      <a:avLst/>
                    </a:prstGeom>
                    <a:noFill/>
                    <a:ln>
                      <a:noFill/>
                    </a:ln>
                  </pic:spPr>
                </pic:pic>
              </a:graphicData>
            </a:graphic>
          </wp:inline>
        </w:drawing>
      </w:r>
    </w:p>
    <w:p>
      <w:pPr>
        <w:widowControl/>
        <w:spacing w:line="360" w:lineRule="auto"/>
        <w:ind w:left="140" w:right="-147" w:hanging="140" w:hangingChars="58"/>
        <w:jc w:val="left"/>
        <w:rPr>
          <w:rFonts w:hint="eastAsia" w:ascii="仿宋_GB2312" w:hAnsi="仿宋_GB2312" w:eastAsia="仿宋_GB2312" w:cs="仿宋_GB2312"/>
          <w:b w:val="0"/>
          <w:bCs/>
          <w:kern w:val="0"/>
          <w:sz w:val="24"/>
          <w:lang w:val="en-US" w:eastAsia="zh-CN"/>
        </w:rPr>
      </w:pPr>
      <w:r>
        <w:rPr>
          <w:rFonts w:hint="eastAsia" w:ascii="楷体" w:hAnsi="楷体" w:eastAsia="楷体" w:cs="楷体"/>
          <w:b/>
          <w:kern w:val="0"/>
          <w:sz w:val="24"/>
        </w:rPr>
        <w:t xml:space="preserve"> </w:t>
      </w:r>
      <w:r>
        <w:rPr>
          <w:rFonts w:hint="eastAsia" w:ascii="楷体" w:hAnsi="楷体" w:eastAsia="楷体" w:cs="楷体"/>
          <w:b w:val="0"/>
          <w:bCs/>
          <w:kern w:val="0"/>
          <w:sz w:val="24"/>
        </w:rPr>
        <w:t xml:space="preserve"> </w:t>
      </w:r>
      <w:r>
        <w:rPr>
          <w:rFonts w:hint="eastAsia" w:ascii="仿宋_GB2312" w:hAnsi="仿宋_GB2312" w:eastAsia="仿宋_GB2312" w:cs="仿宋_GB2312"/>
          <w:b w:val="0"/>
          <w:bCs/>
          <w:kern w:val="0"/>
          <w:sz w:val="24"/>
          <w:lang w:val="en-US" w:eastAsia="zh-CN"/>
        </w:rPr>
        <w:t>a)</w:t>
      </w:r>
      <w:r>
        <w:rPr>
          <w:rFonts w:hint="eastAsia" w:ascii="仿宋_GB2312" w:hAnsi="仿宋_GB2312" w:eastAsia="仿宋_GB2312" w:cs="仿宋_GB2312"/>
          <w:b w:val="0"/>
          <w:bCs/>
          <w:kern w:val="0"/>
          <w:sz w:val="24"/>
          <w:lang w:eastAsia="zh-CN"/>
        </w:rPr>
        <w:t>滑动压</w:t>
      </w:r>
      <w:r>
        <w:rPr>
          <w:rFonts w:hint="eastAsia" w:ascii="仿宋_GB2312" w:hAnsi="仿宋_GB2312" w:eastAsia="仿宋_GB2312" w:cs="仿宋_GB2312"/>
          <w:b w:val="0"/>
          <w:bCs/>
          <w:kern w:val="0"/>
          <w:sz w:val="24"/>
          <w:lang w:val="en-US" w:eastAsia="zh-CN"/>
        </w:rPr>
        <w:t>头后移并倾倒垃圾</w:t>
      </w:r>
      <w:r>
        <w:rPr>
          <w:rFonts w:hint="eastAsia" w:ascii="仿宋_GB2312" w:hAnsi="仿宋_GB2312" w:eastAsia="仿宋_GB2312" w:cs="仿宋_GB2312"/>
          <w:b w:val="0"/>
          <w:bCs/>
          <w:kern w:val="0"/>
          <w:sz w:val="24"/>
        </w:rPr>
        <w:t xml:space="preserve">     </w:t>
      </w:r>
      <w:r>
        <w:rPr>
          <w:rFonts w:hint="eastAsia" w:ascii="仿宋_GB2312" w:hAnsi="仿宋_GB2312" w:eastAsia="仿宋_GB2312" w:cs="仿宋_GB2312"/>
          <w:b w:val="0"/>
          <w:bCs/>
          <w:kern w:val="0"/>
          <w:sz w:val="24"/>
          <w:lang w:val="en-US" w:eastAsia="zh-CN"/>
        </w:rPr>
        <w:t xml:space="preserve">   b)垂直压缩第一、二块垃圾</w:t>
      </w:r>
    </w:p>
    <w:p>
      <w:r>
        <w:drawing>
          <wp:inline distT="0" distB="0" distL="114300" distR="114300">
            <wp:extent cx="1908810" cy="1166495"/>
            <wp:effectExtent l="0" t="0" r="15240" b="1460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rcRect l="16412" t="23219" r="37688" b="26900"/>
                    <a:stretch>
                      <a:fillRect/>
                    </a:stretch>
                  </pic:blipFill>
                  <pic:spPr>
                    <a:xfrm>
                      <a:off x="0" y="0"/>
                      <a:ext cx="1908810" cy="1166495"/>
                    </a:xfrm>
                    <a:prstGeom prst="rect">
                      <a:avLst/>
                    </a:prstGeom>
                    <a:noFill/>
                    <a:ln>
                      <a:noFill/>
                    </a:ln>
                  </pic:spPr>
                </pic:pic>
              </a:graphicData>
            </a:graphic>
          </wp:inline>
        </w:drawing>
      </w:r>
      <w:r>
        <w:rPr>
          <w:rFonts w:hint="eastAsia"/>
        </w:rPr>
        <w:t xml:space="preserve"> </w:t>
      </w:r>
      <w:r>
        <w:rPr>
          <w:rFonts w:hint="eastAsia"/>
          <w:lang w:val="en-US" w:eastAsia="zh-CN"/>
        </w:rPr>
        <w:t xml:space="preserve">          </w:t>
      </w:r>
      <w:r>
        <w:rPr>
          <w:rFonts w:hint="eastAsia"/>
        </w:rPr>
        <w:t xml:space="preserve"> </w:t>
      </w:r>
      <w:r>
        <w:drawing>
          <wp:inline distT="0" distB="0" distL="114300" distR="114300">
            <wp:extent cx="2169795" cy="1018540"/>
            <wp:effectExtent l="0" t="0" r="1905"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rcRect l="28091" t="24663" r="12766" b="25983"/>
                    <a:stretch>
                      <a:fillRect/>
                    </a:stretch>
                  </pic:blipFill>
                  <pic:spPr>
                    <a:xfrm>
                      <a:off x="0" y="0"/>
                      <a:ext cx="2169795" cy="1018540"/>
                    </a:xfrm>
                    <a:prstGeom prst="rect">
                      <a:avLst/>
                    </a:prstGeom>
                    <a:noFill/>
                    <a:ln>
                      <a:noFill/>
                    </a:ln>
                  </pic:spPr>
                </pic:pic>
              </a:graphicData>
            </a:graphic>
          </wp:inline>
        </w:drawing>
      </w:r>
    </w:p>
    <w:p>
      <w:pPr>
        <w:widowControl/>
        <w:spacing w:line="360" w:lineRule="auto"/>
        <w:ind w:left="140" w:right="-147" w:hanging="140" w:hangingChars="58"/>
        <w:jc w:val="left"/>
        <w:rPr>
          <w:rFonts w:hint="default" w:ascii="楷体" w:hAnsi="楷体" w:eastAsia="楷体" w:cs="楷体"/>
          <w:b w:val="0"/>
          <w:bCs/>
          <w:kern w:val="0"/>
          <w:sz w:val="24"/>
          <w:lang w:val="en-US" w:eastAsia="zh-CN"/>
        </w:rPr>
      </w:pPr>
      <w:r>
        <w:rPr>
          <w:rFonts w:hint="eastAsia" w:ascii="楷体" w:hAnsi="楷体" w:eastAsia="楷体" w:cs="楷体"/>
          <w:b/>
          <w:kern w:val="0"/>
          <w:sz w:val="24"/>
        </w:rPr>
        <w:t xml:space="preserve">  </w:t>
      </w:r>
      <w:r>
        <w:rPr>
          <w:rFonts w:hint="eastAsia" w:ascii="楷体" w:hAnsi="楷体" w:eastAsia="楷体" w:cs="楷体"/>
          <w:b w:val="0"/>
          <w:bCs/>
          <w:kern w:val="0"/>
          <w:sz w:val="24"/>
          <w:lang w:val="en-US" w:eastAsia="zh-CN"/>
        </w:rPr>
        <w:t xml:space="preserve"> </w:t>
      </w:r>
      <w:r>
        <w:rPr>
          <w:rFonts w:hint="eastAsia" w:ascii="仿宋_GB2312" w:hAnsi="仿宋_GB2312" w:eastAsia="仿宋_GB2312" w:cs="仿宋_GB2312"/>
          <w:b w:val="0"/>
          <w:bCs/>
          <w:kern w:val="0"/>
          <w:sz w:val="24"/>
          <w:lang w:val="en-US" w:eastAsia="zh-CN"/>
        </w:rPr>
        <w:t>c)液压缸</w:t>
      </w:r>
      <w:r>
        <w:rPr>
          <w:rFonts w:hint="eastAsia" w:ascii="仿宋_GB2312" w:hAnsi="仿宋_GB2312" w:eastAsia="仿宋_GB2312" w:cs="仿宋_GB2312"/>
          <w:b w:val="0"/>
          <w:bCs/>
          <w:kern w:val="0"/>
          <w:sz w:val="24"/>
          <w:lang w:eastAsia="zh-CN"/>
        </w:rPr>
        <w:t>将整个箱体举升</w:t>
      </w:r>
      <w:r>
        <w:rPr>
          <w:rFonts w:hint="eastAsia" w:ascii="仿宋_GB2312" w:hAnsi="仿宋_GB2312" w:eastAsia="仿宋_GB2312" w:cs="仿宋_GB2312"/>
          <w:b w:val="0"/>
          <w:bCs/>
          <w:kern w:val="0"/>
          <w:sz w:val="24"/>
          <w:lang w:val="en-US" w:eastAsia="zh-CN"/>
        </w:rPr>
        <w:t xml:space="preserve"> </w:t>
      </w:r>
      <w:r>
        <w:rPr>
          <w:rFonts w:hint="eastAsia" w:ascii="仿宋_GB2312" w:hAnsi="仿宋_GB2312" w:eastAsia="仿宋_GB2312" w:cs="仿宋_GB2312"/>
          <w:b w:val="0"/>
          <w:bCs/>
          <w:kern w:val="0"/>
          <w:sz w:val="24"/>
        </w:rPr>
        <w:t xml:space="preserve">     </w:t>
      </w:r>
      <w:r>
        <w:rPr>
          <w:rFonts w:hint="eastAsia" w:ascii="仿宋_GB2312" w:hAnsi="仿宋_GB2312" w:eastAsia="仿宋_GB2312" w:cs="仿宋_GB2312"/>
          <w:b w:val="0"/>
          <w:bCs/>
          <w:kern w:val="0"/>
          <w:sz w:val="24"/>
          <w:lang w:val="en-US" w:eastAsia="zh-CN"/>
        </w:rPr>
        <w:t xml:space="preserve">   d)举升并推出二块垃圾至垃圾转运车</w:t>
      </w:r>
    </w:p>
    <w:p>
      <w:pPr>
        <w:ind w:firstLine="480" w:firstLineChars="200"/>
        <w:jc w:val="center"/>
        <w:rPr>
          <w:rFonts w:hint="eastAsia" w:ascii="仿宋_GB2312" w:hAnsi="仿宋_GB2312" w:eastAsia="仿宋_GB2312" w:cs="仿宋_GB2312"/>
          <w:b w:val="0"/>
          <w:bCs/>
          <w:sz w:val="24"/>
          <w:szCs w:val="24"/>
          <w:lang w:val="en-US" w:eastAsia="zh-CN"/>
        </w:rPr>
      </w:pPr>
      <w:r>
        <w:rPr>
          <w:rFonts w:hint="eastAsia" w:ascii="仿宋_GB2312" w:hAnsi="仿宋_GB2312" w:eastAsia="仿宋_GB2312" w:cs="仿宋_GB2312"/>
          <w:b w:val="0"/>
          <w:bCs/>
          <w:sz w:val="24"/>
          <w:szCs w:val="24"/>
          <w:lang w:val="en-US" w:eastAsia="zh-CN"/>
        </w:rPr>
        <w:t>图1  垂直式垃圾压缩设备工作原理图</w:t>
      </w:r>
    </w:p>
    <w:p>
      <w:pPr>
        <w:ind w:firstLine="560" w:firstLineChars="200"/>
        <w:jc w:val="left"/>
      </w:pPr>
      <w:r>
        <w:rPr>
          <w:rFonts w:hint="eastAsia" w:ascii="宋体" w:hAnsi="宋体" w:eastAsia="宋体" w:cs="宋体"/>
          <w:sz w:val="28"/>
          <w:szCs w:val="28"/>
          <w:lang w:val="en-US" w:eastAsia="zh-CN"/>
        </w:rPr>
        <w:t>3、操作流程</w:t>
      </w:r>
      <w:r>
        <w:rPr>
          <w:rFonts w:hint="eastAsia" w:ascii="宋体" w:hAnsi="宋体"/>
          <w:sz w:val="28"/>
          <w:szCs w:val="28"/>
          <w:lang w:val="en-US" w:eastAsia="zh-CN"/>
        </w:rPr>
        <w:t>（</w:t>
      </w:r>
      <w:r>
        <w:rPr>
          <w:rFonts w:hint="eastAsia" w:ascii="宋体" w:hAnsi="宋体" w:eastAsia="宋体" w:cs="宋体"/>
          <w:sz w:val="28"/>
          <w:szCs w:val="28"/>
          <w:lang w:val="en-US" w:eastAsia="zh-CN"/>
        </w:rPr>
        <w:t>如图2所示）</w:t>
      </w:r>
      <w:r>
        <w:drawing>
          <wp:inline distT="0" distB="0" distL="114300" distR="114300">
            <wp:extent cx="5489575" cy="276669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rcRect l="11000" t="31502" r="38602" b="-32"/>
                    <a:stretch>
                      <a:fillRect/>
                    </a:stretch>
                  </pic:blipFill>
                  <pic:spPr>
                    <a:xfrm>
                      <a:off x="0" y="0"/>
                      <a:ext cx="5489575" cy="2766695"/>
                    </a:xfrm>
                    <a:prstGeom prst="rect">
                      <a:avLst/>
                    </a:prstGeom>
                    <a:noFill/>
                    <a:ln>
                      <a:noFill/>
                    </a:ln>
                  </pic:spPr>
                </pic:pic>
              </a:graphicData>
            </a:graphic>
          </wp:inline>
        </w:drawing>
      </w:r>
    </w:p>
    <w:p>
      <w:pPr>
        <w:jc w:val="center"/>
        <w:rPr>
          <w:rFonts w:hint="default" w:ascii="仿宋_GB2312" w:hAnsi="仿宋_GB2312" w:eastAsia="仿宋_GB2312" w:cs="仿宋_GB2312"/>
          <w:b w:val="0"/>
          <w:bCs w:val="0"/>
          <w:lang w:val="en-US" w:eastAsia="zh-CN"/>
        </w:rPr>
      </w:pPr>
      <w:r>
        <w:rPr>
          <w:rFonts w:hint="eastAsia" w:ascii="仿宋_GB2312" w:hAnsi="仿宋_GB2312" w:eastAsia="仿宋_GB2312" w:cs="仿宋_GB2312"/>
          <w:b w:val="0"/>
          <w:bCs w:val="0"/>
          <w:lang w:eastAsia="zh-CN"/>
        </w:rPr>
        <w:t>图</w:t>
      </w:r>
      <w:r>
        <w:rPr>
          <w:rFonts w:hint="eastAsia" w:ascii="仿宋_GB2312" w:hAnsi="仿宋_GB2312" w:eastAsia="仿宋_GB2312" w:cs="仿宋_GB2312"/>
          <w:b w:val="0"/>
          <w:bCs w:val="0"/>
          <w:lang w:val="en-US" w:eastAsia="zh-CN"/>
        </w:rPr>
        <w:t>2  设备操作流程图</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设备受力状况分析</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设备总重（含已压缩的二块垃圾）总重量达21000KG，垃圾箱的容积为8立方米，压缩比为0.85，需要垂直举升液压缸将整体设备提升地面以上1450mm，以便对接垃圾转运车。垂直举升液压缸的缸径为150mm，正常液压工作压力为16MP a。垃圾块水平压缩是液压缸从设备压缩箱体内部逐渐向外推出，工作循环时间为45秒左右，因此设备举升压力的重心逐步向前偏移，导致举升缸支撑点的压力中心与设备重心不一致，对举升缸的刚度产生严重影响。</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562" w:firstLineChars="200"/>
        <w:textAlignment w:val="auto"/>
        <w:rPr>
          <w:rFonts w:hint="eastAsia"/>
          <w:b/>
          <w:bCs/>
          <w:sz w:val="28"/>
          <w:szCs w:val="28"/>
          <w:lang w:val="en-US" w:eastAsia="zh-CN"/>
        </w:rPr>
      </w:pPr>
      <w:r>
        <w:rPr>
          <w:rFonts w:hint="eastAsia"/>
          <w:b/>
          <w:bCs/>
          <w:sz w:val="28"/>
          <w:szCs w:val="28"/>
          <w:lang w:val="en-US" w:eastAsia="zh-CN"/>
        </w:rPr>
        <w:t xml:space="preserve">设备的安装基础处理 </w:t>
      </w:r>
    </w:p>
    <w:p>
      <w:pPr>
        <w:numPr>
          <w:ilvl w:val="0"/>
          <w:numId w:val="0"/>
        </w:numPr>
        <w:ind w:leftChars="0"/>
        <w:rPr>
          <w:rFonts w:hint="eastAsia"/>
          <w:lang w:val="en-US" w:eastAsia="zh-CN"/>
        </w:rPr>
      </w:pPr>
    </w:p>
    <w:p>
      <w:pPr>
        <w:numPr>
          <w:ilvl w:val="0"/>
          <w:numId w:val="0"/>
        </w:numPr>
        <w:ind w:leftChars="0"/>
      </w:pPr>
      <w:r>
        <w:drawing>
          <wp:inline distT="0" distB="0" distL="114300" distR="114300">
            <wp:extent cx="5271135" cy="3131185"/>
            <wp:effectExtent l="0" t="0" r="5715" b="1206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5271135" cy="3131185"/>
                    </a:xfrm>
                    <a:prstGeom prst="rect">
                      <a:avLst/>
                    </a:prstGeom>
                    <a:noFill/>
                    <a:ln>
                      <a:noFill/>
                    </a:ln>
                  </pic:spPr>
                </pic:pic>
              </a:graphicData>
            </a:graphic>
          </wp:inline>
        </w:drawing>
      </w:r>
    </w:p>
    <w:p>
      <w:pPr>
        <w:jc w:val="center"/>
        <w:rPr>
          <w:rFonts w:hint="default" w:ascii="仿宋_GB2312" w:hAnsi="仿宋_GB2312" w:eastAsia="仿宋_GB2312" w:cs="仿宋_GB2312"/>
          <w:b w:val="0"/>
          <w:bCs w:val="0"/>
          <w:lang w:val="en-US" w:eastAsia="zh-CN"/>
        </w:rPr>
      </w:pPr>
      <w:r>
        <w:rPr>
          <w:rFonts w:hint="eastAsia" w:ascii="仿宋_GB2312" w:hAnsi="仿宋_GB2312" w:eastAsia="仿宋_GB2312" w:cs="仿宋_GB2312"/>
          <w:b w:val="0"/>
          <w:bCs w:val="0"/>
          <w:sz w:val="24"/>
          <w:szCs w:val="24"/>
          <w:lang w:eastAsia="zh-CN"/>
        </w:rPr>
        <w:t>图</w:t>
      </w:r>
      <w:r>
        <w:rPr>
          <w:rFonts w:hint="eastAsia" w:ascii="仿宋_GB2312" w:hAnsi="仿宋_GB2312" w:eastAsia="仿宋_GB2312" w:cs="仿宋_GB2312"/>
          <w:b w:val="0"/>
          <w:bCs w:val="0"/>
          <w:sz w:val="24"/>
          <w:szCs w:val="24"/>
          <w:lang w:val="en-US" w:eastAsia="zh-CN"/>
        </w:rPr>
        <w:t>3  设备地基平面图</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1、设备基础施工要求，如图3 所示。根据有关设计规范，设备地基必须稳定牢固，承压能力在30000KG以上。因此，混凝土等级为垫层C15厚200mm以上，底层钢筋网混凝土C30厚500mm、双向双层φ12间距200，基础坑四周壁混凝土为C30厚240mm、双向双层φ12间距200，内壁必须做防水处理，防渗等级S8级。钢筋砼外围可用240砖体砌成，然后架模型板铺钢筋网，并认真复核预埋件尺寸及平面度，将预埋件与钢筋网焊接牢固，浇注砼。</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垂直举升液压缸预埋支座要求，如图4所示。采用二套预埋件，支撑板材料为Q345，厚20mm，钻孔后穿入φ20螺纹钢(展开长度为550)，螺纹钢低于钢板上平面3-5mm，上平面保持平整，焊接牢固。预埋件的螺纹钢与地坑钢筋网捆扎焊接，浇注后保证强度。预埋件，∅20螺纹钢穿入钢板孔内焊接，预埋件二次浇注时安装焊接时调整二个预埋件平面度，不大于2mm。</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textAlignment w:val="auto"/>
        <w:rPr>
          <w:rFonts w:hint="eastAsia" w:ascii="宋体" w:hAnsi="宋体" w:eastAsia="宋体" w:cs="宋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pPr>
      <w:r>
        <w:drawing>
          <wp:inline distT="0" distB="0" distL="114300" distR="114300">
            <wp:extent cx="2032635" cy="278638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rcRect l="32288" t="23453" r="42661" b="21137"/>
                    <a:stretch>
                      <a:fillRect/>
                    </a:stretch>
                  </pic:blipFill>
                  <pic:spPr>
                    <a:xfrm>
                      <a:off x="0" y="0"/>
                      <a:ext cx="2032635" cy="2786380"/>
                    </a:xfrm>
                    <a:prstGeom prst="rect">
                      <a:avLst/>
                    </a:prstGeom>
                    <a:noFill/>
                    <a:ln>
                      <a:noFill/>
                    </a:ln>
                  </pic:spPr>
                </pic:pic>
              </a:graphicData>
            </a:graphic>
          </wp:inline>
        </w:drawing>
      </w:r>
    </w:p>
    <w:p>
      <w:pPr>
        <w:jc w:val="center"/>
        <w:rPr>
          <w:rFonts w:hint="default" w:ascii="仿宋_GB2312" w:hAnsi="仿宋_GB2312" w:eastAsia="仿宋_GB2312" w:cs="仿宋_GB2312"/>
          <w:b w:val="0"/>
          <w:bCs w:val="0"/>
          <w:lang w:val="en-US" w:eastAsia="zh-CN"/>
        </w:rPr>
      </w:pPr>
      <w:r>
        <w:rPr>
          <w:rFonts w:hint="eastAsia" w:ascii="仿宋_GB2312" w:hAnsi="仿宋_GB2312" w:eastAsia="仿宋_GB2312" w:cs="仿宋_GB2312"/>
          <w:b w:val="0"/>
          <w:bCs w:val="0"/>
          <w:sz w:val="24"/>
          <w:szCs w:val="24"/>
          <w:lang w:eastAsia="zh-CN"/>
        </w:rPr>
        <w:t>图</w:t>
      </w:r>
      <w:r>
        <w:rPr>
          <w:rFonts w:hint="eastAsia" w:ascii="仿宋_GB2312" w:hAnsi="仿宋_GB2312" w:eastAsia="仿宋_GB2312" w:cs="仿宋_GB2312"/>
          <w:b w:val="0"/>
          <w:bCs w:val="0"/>
          <w:sz w:val="24"/>
          <w:szCs w:val="24"/>
          <w:lang w:val="en-US" w:eastAsia="zh-CN"/>
        </w:rPr>
        <w:t>4 举升油缸预埋支座示意图</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设备正常工作重心的确定</w:t>
      </w:r>
    </w:p>
    <w:p>
      <w:pPr>
        <w:ind w:firstLine="560" w:firstLineChars="200"/>
        <w:jc w:val="left"/>
        <w:rPr>
          <w:rFonts w:hint="default" w:ascii="仿宋_GB2312" w:hAnsi="仿宋_GB2312" w:eastAsia="仿宋_GB2312" w:cs="仿宋_GB2312"/>
          <w:b w:val="0"/>
          <w:bCs w:val="0"/>
          <w:lang w:val="en-US" w:eastAsia="zh-CN"/>
        </w:rPr>
      </w:pPr>
      <w:r>
        <w:rPr>
          <w:rFonts w:hint="eastAsia" w:ascii="宋体" w:hAnsi="宋体" w:eastAsia="宋体" w:cs="宋体"/>
          <w:sz w:val="28"/>
          <w:szCs w:val="28"/>
          <w:lang w:val="en-US" w:eastAsia="zh-CN"/>
        </w:rPr>
        <w:t>1、设备受力要求。设备在举升的过程中，要求工作平衡，不能出现严重的偏心力矩，否则会使举升油缸产生弯曲现象，严重影响到油的使用寿命，并且缩短油封密封效果。</w:t>
      </w:r>
    </w:p>
    <w:p>
      <w:pPr>
        <w:keepNext w:val="0"/>
        <w:keepLines w:val="0"/>
        <w:pageBreakBefore w:val="0"/>
        <w:widowControl w:val="0"/>
        <w:numPr>
          <w:ilvl w:val="0"/>
          <w:numId w:val="2"/>
        </w:numPr>
        <w:kinsoku/>
        <w:wordWrap/>
        <w:overflowPunct/>
        <w:topLinePunct w:val="0"/>
        <w:autoSpaceDE/>
        <w:autoSpaceDN/>
        <w:bidi w:val="0"/>
        <w:adjustRightInd/>
        <w:snapToGrid/>
        <w:spacing w:line="480" w:lineRule="exact"/>
        <w:ind w:left="0" w:lef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举升力学模型建立，如图5所示。假定设备箱体内含有二块压缩垃圾状态下，设备的举升压力中心在D点，设备在空载状态的重心在C点，设定CD=x，根据力矩平衡的原理可知。</w:t>
      </w:r>
    </w:p>
    <w:p>
      <w:pPr>
        <w:numPr>
          <w:ilvl w:val="0"/>
          <w:numId w:val="0"/>
        </w:numPr>
        <w:ind w:leftChars="0"/>
      </w:pPr>
      <w:r>
        <w:drawing>
          <wp:inline distT="0" distB="0" distL="114300" distR="114300">
            <wp:extent cx="5356225" cy="2139950"/>
            <wp:effectExtent l="0" t="0" r="1587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rcRect l="15270" t="33808" r="21517" b="25923"/>
                    <a:stretch>
                      <a:fillRect/>
                    </a:stretch>
                  </pic:blipFill>
                  <pic:spPr>
                    <a:xfrm>
                      <a:off x="0" y="0"/>
                      <a:ext cx="5356225" cy="2139950"/>
                    </a:xfrm>
                    <a:prstGeom prst="rect">
                      <a:avLst/>
                    </a:prstGeom>
                    <a:noFill/>
                    <a:ln>
                      <a:noFill/>
                    </a:ln>
                  </pic:spPr>
                </pic:pic>
              </a:graphicData>
            </a:graphic>
          </wp:inline>
        </w:drawing>
      </w:r>
    </w:p>
    <w:p>
      <w:pPr>
        <w:jc w:val="center"/>
        <w:rPr>
          <w:rFonts w:hint="default" w:ascii="仿宋_GB2312" w:hAnsi="仿宋_GB2312" w:eastAsia="仿宋_GB2312" w:cs="仿宋_GB2312"/>
          <w:b w:val="0"/>
          <w:bCs w:val="0"/>
          <w:lang w:val="en-US" w:eastAsia="zh-CN"/>
        </w:rPr>
      </w:pPr>
      <w:r>
        <w:rPr>
          <w:rFonts w:hint="eastAsia" w:ascii="仿宋_GB2312" w:hAnsi="仿宋_GB2312" w:eastAsia="仿宋_GB2312" w:cs="仿宋_GB2312"/>
          <w:b w:val="0"/>
          <w:bCs w:val="0"/>
          <w:sz w:val="24"/>
          <w:szCs w:val="24"/>
          <w:lang w:eastAsia="zh-CN"/>
        </w:rPr>
        <w:t>图</w:t>
      </w:r>
      <w:r>
        <w:rPr>
          <w:rFonts w:hint="eastAsia" w:ascii="仿宋_GB2312" w:hAnsi="仿宋_GB2312" w:eastAsia="仿宋_GB2312" w:cs="仿宋_GB2312"/>
          <w:b w:val="0"/>
          <w:bCs w:val="0"/>
          <w:sz w:val="24"/>
          <w:szCs w:val="24"/>
          <w:lang w:val="en-US" w:eastAsia="zh-CN"/>
        </w:rPr>
        <w:t>5 举升中心力学模型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W×CD+W1×BD=W2×DE+W3×DF，代入数值W=17000，W1=3000，W2=800，W3=6800，BC=2150，CD=x，DE=550-x，EF=1600</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经过计算得X=311.95，由此可知，举升油缸支撑点的安装位置D点，安装时让举升缸的中心线与D点重合。</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560" w:firstLineChars="2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3、设备基础中心的确定。根据计算的结果，设备基础在施工的过程中，必须画出设备基坑平面图，找出基础的长度和宽度方向的中心平面，将图4所示的预埋件进行二次浇注在D点处。施工时先按要求架设模型板和基础钢筋网，经测量并校对D点的坐标位置，确定无误后，浇注混凝土砼。</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结论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液压缸的举升压力中心与设备中心完全重合是理想的状态，但在实际工作中，垃圾逐渐由箱体的中部向出口方向推出，导致设备的重心位置发生变化，因此，在设计的过程中，尽量合理计算设备的实际压力中心。</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p>
    <w:p>
      <w:pPr>
        <w:pStyle w:val="2"/>
        <w:spacing w:line="360" w:lineRule="exact"/>
        <w:rPr>
          <w:rFonts w:hint="eastAsia"/>
          <w:sz w:val="21"/>
          <w:szCs w:val="21"/>
        </w:rPr>
      </w:pPr>
      <w:r>
        <w:rPr>
          <w:sz w:val="21"/>
          <w:szCs w:val="21"/>
        </w:rPr>
        <w:t>参考文献</w:t>
      </w:r>
    </w:p>
    <w:p>
      <w:pPr>
        <w:pStyle w:val="2"/>
        <w:numPr>
          <w:ilvl w:val="0"/>
          <w:numId w:val="3"/>
        </w:numPr>
        <w:spacing w:line="360" w:lineRule="exact"/>
        <w:rPr>
          <w:rFonts w:hint="eastAsia"/>
          <w:b w:val="0"/>
          <w:bCs w:val="0"/>
          <w:color w:val="000000"/>
          <w:kern w:val="0"/>
          <w:sz w:val="21"/>
          <w:szCs w:val="21"/>
          <w:lang w:val="en-US" w:eastAsia="zh-CN"/>
        </w:rPr>
      </w:pPr>
      <w:r>
        <w:rPr>
          <w:rFonts w:hint="eastAsia"/>
          <w:b w:val="0"/>
          <w:bCs w:val="0"/>
          <w:color w:val="000000"/>
          <w:kern w:val="0"/>
          <w:sz w:val="21"/>
          <w:szCs w:val="21"/>
          <w:lang w:eastAsia="zh-CN"/>
        </w:rPr>
        <w:t>《</w:t>
      </w:r>
      <w:r>
        <w:rPr>
          <w:rFonts w:hint="eastAsia"/>
          <w:b w:val="0"/>
          <w:bCs w:val="0"/>
          <w:color w:val="000000"/>
          <w:kern w:val="0"/>
          <w:sz w:val="21"/>
          <w:szCs w:val="21"/>
        </w:rPr>
        <w:t>随州欧雅环卫设备有限责任公司企业标准</w:t>
      </w:r>
      <w:r>
        <w:rPr>
          <w:rFonts w:hint="eastAsia"/>
          <w:b w:val="0"/>
          <w:bCs w:val="0"/>
          <w:color w:val="000000"/>
          <w:kern w:val="0"/>
          <w:sz w:val="21"/>
          <w:szCs w:val="21"/>
          <w:lang w:eastAsia="zh-CN"/>
        </w:rPr>
        <w:t>》</w:t>
      </w:r>
      <w:r>
        <w:rPr>
          <w:rFonts w:hint="eastAsia"/>
          <w:b w:val="0"/>
          <w:bCs w:val="0"/>
          <w:color w:val="000000"/>
          <w:kern w:val="0"/>
          <w:sz w:val="21"/>
          <w:szCs w:val="21"/>
        </w:rPr>
        <w:t xml:space="preserve"> Q/SOY-2016，20</w:t>
      </w:r>
      <w:r>
        <w:rPr>
          <w:rFonts w:hint="eastAsia"/>
          <w:b w:val="0"/>
          <w:bCs w:val="0"/>
          <w:color w:val="000000"/>
          <w:kern w:val="0"/>
          <w:sz w:val="21"/>
          <w:szCs w:val="21"/>
          <w:lang w:val="en-US" w:eastAsia="zh-CN"/>
        </w:rPr>
        <w:t>15</w:t>
      </w:r>
    </w:p>
    <w:p>
      <w:pPr>
        <w:pStyle w:val="2"/>
        <w:numPr>
          <w:ilvl w:val="0"/>
          <w:numId w:val="3"/>
        </w:numPr>
        <w:spacing w:line="360" w:lineRule="exact"/>
        <w:rPr>
          <w:rFonts w:hint="eastAsia"/>
          <w:b w:val="0"/>
          <w:bCs w:val="0"/>
          <w:color w:val="000000"/>
          <w:kern w:val="0"/>
          <w:sz w:val="21"/>
          <w:szCs w:val="21"/>
        </w:rPr>
      </w:pPr>
      <w:r>
        <w:rPr>
          <w:rFonts w:hint="eastAsia"/>
          <w:b w:val="0"/>
          <w:bCs w:val="0"/>
          <w:color w:val="000000"/>
          <w:kern w:val="0"/>
          <w:sz w:val="21"/>
          <w:szCs w:val="21"/>
          <w:lang w:eastAsia="zh-CN"/>
        </w:rPr>
        <w:t>《</w:t>
      </w:r>
      <w:r>
        <w:rPr>
          <w:rFonts w:hint="eastAsia"/>
          <w:b w:val="0"/>
          <w:bCs w:val="0"/>
          <w:color w:val="000000"/>
          <w:kern w:val="0"/>
          <w:sz w:val="21"/>
          <w:szCs w:val="21"/>
        </w:rPr>
        <w:t>液压系统通用技术条件</w:t>
      </w:r>
      <w:r>
        <w:rPr>
          <w:rFonts w:hint="eastAsia"/>
          <w:b w:val="0"/>
          <w:bCs w:val="0"/>
          <w:color w:val="000000"/>
          <w:kern w:val="0"/>
          <w:sz w:val="21"/>
          <w:szCs w:val="21"/>
          <w:lang w:eastAsia="zh-CN"/>
        </w:rPr>
        <w:t>》</w:t>
      </w:r>
      <w:r>
        <w:rPr>
          <w:rFonts w:hint="eastAsia"/>
          <w:b w:val="0"/>
          <w:bCs w:val="0"/>
          <w:color w:val="000000"/>
          <w:kern w:val="0"/>
          <w:sz w:val="21"/>
          <w:szCs w:val="21"/>
        </w:rPr>
        <w:t>GB</w:t>
      </w:r>
      <w:r>
        <w:rPr>
          <w:rFonts w:hint="eastAsia"/>
          <w:b w:val="0"/>
          <w:bCs w:val="0"/>
          <w:color w:val="000000"/>
          <w:kern w:val="0"/>
          <w:sz w:val="21"/>
          <w:szCs w:val="21"/>
          <w:lang w:val="en-US" w:eastAsia="zh-CN"/>
        </w:rPr>
        <w:t>/</w:t>
      </w:r>
      <w:r>
        <w:rPr>
          <w:rFonts w:hint="eastAsia"/>
          <w:b w:val="0"/>
          <w:bCs w:val="0"/>
          <w:color w:val="000000"/>
          <w:kern w:val="0"/>
          <w:sz w:val="21"/>
          <w:szCs w:val="21"/>
        </w:rPr>
        <w:t xml:space="preserve">T 3766-2001 </w:t>
      </w:r>
    </w:p>
    <w:p>
      <w:pPr>
        <w:pStyle w:val="2"/>
        <w:spacing w:line="360" w:lineRule="exact"/>
        <w:rPr>
          <w:rFonts w:hint="eastAsia"/>
          <w:b w:val="0"/>
          <w:bCs w:val="0"/>
          <w:color w:val="000000"/>
          <w:kern w:val="0"/>
          <w:sz w:val="21"/>
          <w:szCs w:val="21"/>
        </w:rPr>
      </w:pPr>
      <w:r>
        <w:rPr>
          <w:rFonts w:hint="eastAsia"/>
          <w:b w:val="0"/>
          <w:bCs w:val="0"/>
          <w:color w:val="000000"/>
          <w:kern w:val="0"/>
          <w:sz w:val="21"/>
          <w:szCs w:val="21"/>
        </w:rPr>
        <w:t>[3]</w:t>
      </w:r>
      <w:r>
        <w:rPr>
          <w:rFonts w:hint="eastAsia"/>
          <w:b w:val="0"/>
          <w:bCs w:val="0"/>
          <w:color w:val="000000"/>
          <w:kern w:val="0"/>
          <w:sz w:val="21"/>
          <w:szCs w:val="21"/>
          <w:lang w:eastAsia="zh-CN"/>
        </w:rPr>
        <w:t>《</w:t>
      </w:r>
      <w:r>
        <w:rPr>
          <w:rFonts w:hint="eastAsia"/>
          <w:b w:val="0"/>
          <w:bCs w:val="0"/>
          <w:color w:val="000000"/>
          <w:kern w:val="0"/>
          <w:sz w:val="21"/>
          <w:szCs w:val="21"/>
        </w:rPr>
        <w:t>垃圾转运站设备国家标准</w:t>
      </w:r>
      <w:r>
        <w:rPr>
          <w:rFonts w:hint="eastAsia"/>
          <w:b w:val="0"/>
          <w:bCs w:val="0"/>
          <w:color w:val="000000"/>
          <w:kern w:val="0"/>
          <w:sz w:val="21"/>
          <w:szCs w:val="21"/>
          <w:lang w:eastAsia="zh-CN"/>
        </w:rPr>
        <w:t>》</w:t>
      </w:r>
      <w:r>
        <w:rPr>
          <w:rFonts w:hint="eastAsia"/>
          <w:b w:val="0"/>
          <w:bCs w:val="0"/>
          <w:color w:val="000000"/>
          <w:kern w:val="0"/>
          <w:sz w:val="21"/>
          <w:szCs w:val="21"/>
        </w:rPr>
        <w:t>GB</w:t>
      </w:r>
      <w:r>
        <w:rPr>
          <w:rFonts w:hint="eastAsia"/>
          <w:b w:val="0"/>
          <w:bCs w:val="0"/>
          <w:color w:val="000000"/>
          <w:kern w:val="0"/>
          <w:sz w:val="21"/>
          <w:szCs w:val="21"/>
          <w:lang w:val="en-US" w:eastAsia="zh-CN"/>
        </w:rPr>
        <w:t>/</w:t>
      </w:r>
      <w:r>
        <w:rPr>
          <w:rFonts w:hint="eastAsia"/>
          <w:b w:val="0"/>
          <w:bCs w:val="0"/>
          <w:color w:val="000000"/>
          <w:kern w:val="0"/>
          <w:sz w:val="21"/>
          <w:szCs w:val="21"/>
        </w:rPr>
        <w:t>T 10855-2008</w:t>
      </w:r>
    </w:p>
    <w:p>
      <w:pPr>
        <w:widowControl/>
        <w:spacing w:line="360" w:lineRule="exact"/>
        <w:rPr>
          <w:rFonts w:hint="eastAsia" w:ascii="宋体" w:hAnsi="宋体" w:cs="宋体"/>
          <w:color w:val="000000"/>
          <w:kern w:val="0"/>
          <w:szCs w:val="21"/>
        </w:rPr>
      </w:pPr>
      <w:r>
        <w:rPr>
          <w:rFonts w:ascii="宋体" w:hAnsi="宋体" w:cs="宋体"/>
          <w:color w:val="000000"/>
          <w:kern w:val="0"/>
          <w:szCs w:val="21"/>
        </w:rPr>
        <w:t>[</w:t>
      </w:r>
      <w:r>
        <w:rPr>
          <w:rFonts w:hint="eastAsia" w:ascii="宋体" w:hAnsi="宋体" w:cs="宋体"/>
          <w:color w:val="000000"/>
          <w:kern w:val="0"/>
          <w:szCs w:val="21"/>
        </w:rPr>
        <w:t>4</w:t>
      </w:r>
      <w:r>
        <w:rPr>
          <w:rFonts w:ascii="宋体" w:hAnsi="宋体" w:cs="宋体"/>
          <w:color w:val="000000"/>
          <w:kern w:val="0"/>
          <w:szCs w:val="21"/>
        </w:rPr>
        <w:t>]</w:t>
      </w:r>
      <w:r>
        <w:rPr>
          <w:rFonts w:hint="eastAsia" w:ascii="宋体" w:hAnsi="宋体" w:cs="宋体"/>
          <w:color w:val="000000"/>
          <w:kern w:val="0"/>
          <w:szCs w:val="21"/>
          <w:lang w:eastAsia="zh-CN"/>
        </w:rPr>
        <w:t>李转宁</w:t>
      </w:r>
      <w:r>
        <w:rPr>
          <w:rFonts w:hint="eastAsia" w:ascii="宋体" w:hAnsi="宋体" w:cs="宋体"/>
          <w:color w:val="000000"/>
          <w:kern w:val="0"/>
          <w:szCs w:val="21"/>
        </w:rPr>
        <w:t>.</w:t>
      </w:r>
      <w:r>
        <w:rPr>
          <w:rFonts w:hint="eastAsia" w:ascii="宋体" w:hAnsi="宋体" w:cs="宋体"/>
          <w:color w:val="000000"/>
          <w:kern w:val="0"/>
          <w:szCs w:val="21"/>
          <w:lang w:eastAsia="zh-CN"/>
        </w:rPr>
        <w:t>某水电站厂房设计</w:t>
      </w:r>
      <w:r>
        <w:rPr>
          <w:rFonts w:ascii="宋体" w:hAnsi="宋体" w:cs="宋体"/>
          <w:color w:val="000000"/>
          <w:kern w:val="0"/>
          <w:szCs w:val="21"/>
        </w:rPr>
        <w:t>[J]．</w:t>
      </w:r>
      <w:r>
        <w:rPr>
          <w:rFonts w:hint="eastAsia" w:ascii="宋体" w:hAnsi="宋体" w:cs="宋体"/>
          <w:color w:val="000000"/>
          <w:kern w:val="0"/>
          <w:szCs w:val="21"/>
          <w:lang w:eastAsia="zh-CN"/>
        </w:rPr>
        <w:t>水利科技与经济</w:t>
      </w:r>
      <w:r>
        <w:rPr>
          <w:rFonts w:ascii="宋体" w:hAnsi="宋体" w:cs="宋体"/>
          <w:color w:val="000000"/>
          <w:kern w:val="0"/>
          <w:szCs w:val="21"/>
        </w:rPr>
        <w:t>，20</w:t>
      </w:r>
      <w:r>
        <w:rPr>
          <w:rFonts w:hint="eastAsia" w:ascii="宋体" w:hAnsi="宋体" w:cs="宋体"/>
          <w:color w:val="000000"/>
          <w:kern w:val="0"/>
          <w:szCs w:val="21"/>
          <w:lang w:val="en-US" w:eastAsia="zh-CN"/>
        </w:rPr>
        <w:t>14</w:t>
      </w:r>
      <w:r>
        <w:rPr>
          <w:rFonts w:ascii="宋体" w:hAnsi="宋体" w:cs="宋体"/>
          <w:color w:val="000000"/>
          <w:kern w:val="0"/>
          <w:szCs w:val="21"/>
        </w:rPr>
        <w:t>，（</w:t>
      </w:r>
      <w:r>
        <w:rPr>
          <w:rFonts w:hint="eastAsia" w:ascii="宋体" w:hAnsi="宋体" w:cs="宋体"/>
          <w:color w:val="000000"/>
          <w:kern w:val="0"/>
          <w:szCs w:val="21"/>
          <w:lang w:val="en-US" w:eastAsia="zh-CN"/>
        </w:rPr>
        <w:t>9</w:t>
      </w:r>
      <w:r>
        <w:rPr>
          <w:rFonts w:ascii="宋体" w:hAnsi="宋体" w:cs="宋体"/>
          <w:color w:val="000000"/>
          <w:kern w:val="0"/>
          <w:szCs w:val="21"/>
        </w:rPr>
        <w:t>）</w:t>
      </w:r>
    </w:p>
    <w:p>
      <w:pPr>
        <w:widowControl/>
        <w:spacing w:line="360" w:lineRule="exact"/>
        <w:rPr>
          <w:rFonts w:hint="eastAsia" w:ascii="宋体" w:hAnsi="宋体" w:cs="宋体"/>
          <w:color w:val="000000"/>
          <w:kern w:val="0"/>
          <w:szCs w:val="21"/>
          <w:lang w:val="en-US" w:eastAsia="zh-CN"/>
        </w:rPr>
      </w:pPr>
      <w:r>
        <w:rPr>
          <w:rFonts w:ascii="宋体" w:hAnsi="宋体" w:cs="宋体"/>
          <w:color w:val="000000"/>
          <w:kern w:val="0"/>
          <w:szCs w:val="21"/>
        </w:rPr>
        <w:t>[</w:t>
      </w:r>
      <w:r>
        <w:rPr>
          <w:rFonts w:hint="eastAsia" w:ascii="宋体" w:hAnsi="宋体" w:cs="宋体"/>
          <w:color w:val="000000"/>
          <w:kern w:val="0"/>
          <w:szCs w:val="21"/>
        </w:rPr>
        <w:t>5</w:t>
      </w:r>
      <w:r>
        <w:rPr>
          <w:rFonts w:ascii="宋体" w:hAnsi="宋体" w:cs="宋体"/>
          <w:color w:val="000000"/>
          <w:kern w:val="0"/>
          <w:szCs w:val="21"/>
        </w:rPr>
        <w:t>]</w:t>
      </w:r>
      <w:r>
        <w:rPr>
          <w:rFonts w:hint="eastAsia" w:ascii="宋体" w:hAnsi="宋体" w:cs="宋体"/>
          <w:color w:val="000000"/>
          <w:kern w:val="0"/>
          <w:szCs w:val="21"/>
          <w:lang w:eastAsia="zh-CN"/>
        </w:rPr>
        <w:t>《普通</w:t>
      </w:r>
      <w:r>
        <w:rPr>
          <w:rFonts w:hint="eastAsia" w:ascii="宋体" w:hAnsi="宋体" w:cs="宋体"/>
          <w:color w:val="000000"/>
          <w:kern w:val="0"/>
          <w:szCs w:val="21"/>
        </w:rPr>
        <w:t>混凝土力学性能试验</w:t>
      </w:r>
      <w:r>
        <w:rPr>
          <w:rFonts w:hint="eastAsia" w:ascii="宋体" w:hAnsi="宋体" w:cs="宋体"/>
          <w:color w:val="000000"/>
          <w:kern w:val="0"/>
          <w:szCs w:val="21"/>
          <w:lang w:eastAsia="zh-CN"/>
        </w:rPr>
        <w:t>标准》</w:t>
      </w:r>
      <w:r>
        <w:rPr>
          <w:rFonts w:hint="eastAsia" w:ascii="宋体" w:hAnsi="宋体" w:cs="宋体"/>
          <w:color w:val="000000"/>
          <w:kern w:val="0"/>
          <w:szCs w:val="21"/>
          <w:lang w:val="en-US" w:eastAsia="zh-CN"/>
        </w:rPr>
        <w:t xml:space="preserve"> </w:t>
      </w:r>
      <w:r>
        <w:rPr>
          <w:rFonts w:hint="eastAsia" w:ascii="宋体" w:hAnsi="宋体" w:cs="宋体"/>
          <w:color w:val="000000"/>
          <w:kern w:val="0"/>
          <w:szCs w:val="21"/>
        </w:rPr>
        <w:t xml:space="preserve">GB/T </w:t>
      </w:r>
      <w:r>
        <w:rPr>
          <w:rFonts w:hint="eastAsia" w:ascii="宋体" w:hAnsi="宋体" w:cs="宋体"/>
          <w:color w:val="000000"/>
          <w:kern w:val="0"/>
          <w:szCs w:val="21"/>
          <w:lang w:val="en-US" w:eastAsia="zh-CN"/>
        </w:rPr>
        <w:t>80051</w:t>
      </w:r>
      <w:r>
        <w:rPr>
          <w:rFonts w:hint="eastAsia" w:ascii="宋体" w:hAnsi="宋体" w:cs="宋体"/>
          <w:color w:val="000000"/>
          <w:kern w:val="0"/>
          <w:szCs w:val="21"/>
        </w:rPr>
        <w:t>-200</w:t>
      </w:r>
      <w:r>
        <w:rPr>
          <w:rFonts w:hint="eastAsia" w:ascii="宋体" w:hAnsi="宋体" w:cs="宋体"/>
          <w:color w:val="000000"/>
          <w:kern w:val="0"/>
          <w:szCs w:val="21"/>
          <w:lang w:val="en-US" w:eastAsia="zh-CN"/>
        </w:rPr>
        <w:t>2</w:t>
      </w:r>
    </w:p>
    <w:p>
      <w:pPr>
        <w:widowControl/>
        <w:spacing w:line="360" w:lineRule="exact"/>
        <w:rPr>
          <w:rFonts w:hint="default" w:ascii="宋体" w:hAnsi="宋体" w:cs="宋体"/>
          <w:color w:val="000000"/>
          <w:kern w:val="0"/>
          <w:szCs w:val="21"/>
          <w:lang w:val="en-US" w:eastAsia="zh-CN"/>
        </w:rPr>
      </w:pPr>
      <w:r>
        <w:rPr>
          <w:rFonts w:ascii="宋体" w:hAnsi="宋体" w:cs="宋体"/>
          <w:color w:val="000000"/>
          <w:kern w:val="0"/>
          <w:szCs w:val="21"/>
        </w:rPr>
        <w:t>[</w:t>
      </w:r>
      <w:r>
        <w:rPr>
          <w:rFonts w:hint="eastAsia" w:ascii="宋体" w:hAnsi="宋体" w:cs="宋体"/>
          <w:color w:val="000000"/>
          <w:kern w:val="0"/>
          <w:szCs w:val="21"/>
          <w:lang w:val="en-US" w:eastAsia="zh-CN"/>
        </w:rPr>
        <w:t>6</w:t>
      </w:r>
      <w:r>
        <w:rPr>
          <w:rFonts w:ascii="宋体" w:hAnsi="宋体" w:cs="宋体"/>
          <w:color w:val="000000"/>
          <w:kern w:val="0"/>
          <w:szCs w:val="21"/>
        </w:rPr>
        <w:t>]</w:t>
      </w:r>
      <w:r>
        <w:rPr>
          <w:rFonts w:hint="default" w:ascii="宋体" w:hAnsi="宋体" w:cs="宋体"/>
          <w:color w:val="000000"/>
          <w:kern w:val="0"/>
          <w:szCs w:val="21"/>
          <w:lang w:val="en-US" w:eastAsia="zh-CN"/>
        </w:rPr>
        <w:t>《混凝土结构工程施工质量验收规范》</w:t>
      </w:r>
      <w:r>
        <w:rPr>
          <w:rFonts w:hint="eastAsia" w:ascii="宋体" w:hAnsi="宋体" w:cs="宋体"/>
          <w:color w:val="000000"/>
          <w:kern w:val="0"/>
          <w:szCs w:val="21"/>
          <w:lang w:val="en-US" w:eastAsia="zh-CN"/>
        </w:rPr>
        <w:t xml:space="preserve"> </w:t>
      </w:r>
      <w:r>
        <w:rPr>
          <w:rFonts w:hint="default" w:ascii="宋体" w:hAnsi="宋体" w:cs="宋体"/>
          <w:color w:val="000000"/>
          <w:kern w:val="0"/>
          <w:szCs w:val="21"/>
          <w:lang w:val="en-US" w:eastAsia="zh-CN"/>
        </w:rPr>
        <w:t>GB50204-2002(2011版)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3D383C"/>
    <w:multiLevelType w:val="singleLevel"/>
    <w:tmpl w:val="AD3D383C"/>
    <w:lvl w:ilvl="0" w:tentative="0">
      <w:start w:val="1"/>
      <w:numFmt w:val="decimal"/>
      <w:suff w:val="space"/>
      <w:lvlText w:val="[%1]"/>
      <w:lvlJc w:val="left"/>
    </w:lvl>
  </w:abstractNum>
  <w:abstractNum w:abstractNumId="1">
    <w:nsid w:val="00FB5526"/>
    <w:multiLevelType w:val="singleLevel"/>
    <w:tmpl w:val="00FB5526"/>
    <w:lvl w:ilvl="0" w:tentative="0">
      <w:start w:val="1"/>
      <w:numFmt w:val="chineseCounting"/>
      <w:suff w:val="nothing"/>
      <w:lvlText w:val="%1、"/>
      <w:lvlJc w:val="left"/>
      <w:rPr>
        <w:rFonts w:hint="eastAsia"/>
      </w:rPr>
    </w:lvl>
  </w:abstractNum>
  <w:abstractNum w:abstractNumId="2">
    <w:nsid w:val="6EFD0B77"/>
    <w:multiLevelType w:val="singleLevel"/>
    <w:tmpl w:val="6EFD0B77"/>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094EF7"/>
    <w:rsid w:val="002656C0"/>
    <w:rsid w:val="02BF1469"/>
    <w:rsid w:val="05C468B2"/>
    <w:rsid w:val="078A18A8"/>
    <w:rsid w:val="079E71DC"/>
    <w:rsid w:val="08FC37FD"/>
    <w:rsid w:val="095C29E0"/>
    <w:rsid w:val="099C3CB3"/>
    <w:rsid w:val="09B72D91"/>
    <w:rsid w:val="0AF5554B"/>
    <w:rsid w:val="0B8C7094"/>
    <w:rsid w:val="0D3255C1"/>
    <w:rsid w:val="0D9D2927"/>
    <w:rsid w:val="0E6F7E6E"/>
    <w:rsid w:val="13763DEE"/>
    <w:rsid w:val="13C674A1"/>
    <w:rsid w:val="15227710"/>
    <w:rsid w:val="15C21940"/>
    <w:rsid w:val="1784711B"/>
    <w:rsid w:val="1B756234"/>
    <w:rsid w:val="1DE379D2"/>
    <w:rsid w:val="1EF13BC1"/>
    <w:rsid w:val="1FA02EC6"/>
    <w:rsid w:val="1FE2755C"/>
    <w:rsid w:val="21CF4FCA"/>
    <w:rsid w:val="23957B83"/>
    <w:rsid w:val="2401343B"/>
    <w:rsid w:val="252934D7"/>
    <w:rsid w:val="259A3634"/>
    <w:rsid w:val="26BA7744"/>
    <w:rsid w:val="26E85D8D"/>
    <w:rsid w:val="2C1C7F76"/>
    <w:rsid w:val="2E245A9F"/>
    <w:rsid w:val="31D0564B"/>
    <w:rsid w:val="32655787"/>
    <w:rsid w:val="336C28D9"/>
    <w:rsid w:val="33FF1F0F"/>
    <w:rsid w:val="34351C70"/>
    <w:rsid w:val="34530A9D"/>
    <w:rsid w:val="370F2693"/>
    <w:rsid w:val="37144897"/>
    <w:rsid w:val="37EB14FF"/>
    <w:rsid w:val="38542901"/>
    <w:rsid w:val="387C6ABA"/>
    <w:rsid w:val="38A76016"/>
    <w:rsid w:val="3A664CCB"/>
    <w:rsid w:val="3B4174FE"/>
    <w:rsid w:val="3CA020A4"/>
    <w:rsid w:val="405E745E"/>
    <w:rsid w:val="40B23FA7"/>
    <w:rsid w:val="4268156E"/>
    <w:rsid w:val="434C6450"/>
    <w:rsid w:val="44AE576B"/>
    <w:rsid w:val="479035B0"/>
    <w:rsid w:val="481B5F83"/>
    <w:rsid w:val="48B10DE6"/>
    <w:rsid w:val="4A3919F4"/>
    <w:rsid w:val="4A704FA5"/>
    <w:rsid w:val="4BEC1570"/>
    <w:rsid w:val="4EBE1EE8"/>
    <w:rsid w:val="4F73162E"/>
    <w:rsid w:val="51615474"/>
    <w:rsid w:val="51CE2F53"/>
    <w:rsid w:val="52132178"/>
    <w:rsid w:val="52D62A36"/>
    <w:rsid w:val="52E438A2"/>
    <w:rsid w:val="55094EF7"/>
    <w:rsid w:val="55756424"/>
    <w:rsid w:val="55B07CB7"/>
    <w:rsid w:val="56EB64E7"/>
    <w:rsid w:val="58534051"/>
    <w:rsid w:val="5AE66D5D"/>
    <w:rsid w:val="5B4840E5"/>
    <w:rsid w:val="5D197DC6"/>
    <w:rsid w:val="5E5532E0"/>
    <w:rsid w:val="5F7502C5"/>
    <w:rsid w:val="603A79E1"/>
    <w:rsid w:val="64430577"/>
    <w:rsid w:val="66494CFB"/>
    <w:rsid w:val="66BA56CD"/>
    <w:rsid w:val="67B535D8"/>
    <w:rsid w:val="683D539A"/>
    <w:rsid w:val="68C83C0F"/>
    <w:rsid w:val="6A0A7E89"/>
    <w:rsid w:val="6A89089C"/>
    <w:rsid w:val="6C105F84"/>
    <w:rsid w:val="6C136E2A"/>
    <w:rsid w:val="6D05425A"/>
    <w:rsid w:val="70FC2E16"/>
    <w:rsid w:val="72BC1BD9"/>
    <w:rsid w:val="72F8288C"/>
    <w:rsid w:val="741435F9"/>
    <w:rsid w:val="747E6B22"/>
    <w:rsid w:val="74B06F33"/>
    <w:rsid w:val="76177C41"/>
    <w:rsid w:val="77584D2F"/>
    <w:rsid w:val="78D51DFB"/>
    <w:rsid w:val="791832B1"/>
    <w:rsid w:val="7BF23542"/>
    <w:rsid w:val="7D843369"/>
    <w:rsid w:val="7DDA1819"/>
    <w:rsid w:val="7E01057E"/>
    <w:rsid w:val="7E430576"/>
    <w:rsid w:val="7EAA0821"/>
    <w:rsid w:val="7ECB2296"/>
    <w:rsid w:val="7F2069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widowControl/>
      <w:jc w:val="left"/>
      <w:outlineLvl w:val="0"/>
    </w:pPr>
    <w:rPr>
      <w:rFonts w:ascii="宋体" w:hAnsi="宋体" w:cs="宋体"/>
      <w:b/>
      <w:bCs/>
      <w:kern w:val="36"/>
      <w:sz w:val="27"/>
      <w:szCs w:val="27"/>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w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2019-04-29T12:00:00Z</dcterms:created>
  <dc:creator>lintao201</dc:creator>
  <cp:lastModifiedBy>lintao201</cp:lastModifiedBy>
  <dcterms:modified xsi:type="dcterms:W3CDTF">2019-05-20T11:45:58Z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