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7F7" w:rsidRDefault="00264BD8">
      <w:pPr>
        <w:spacing w:line="400" w:lineRule="exact"/>
        <w:ind w:firstLine="640"/>
        <w:jc w:val="center"/>
        <w:rPr>
          <w:rFonts w:eastAsia="楷体_GB2312"/>
          <w:szCs w:val="21"/>
        </w:rPr>
      </w:pPr>
      <w:r>
        <w:rPr>
          <w:rFonts w:ascii="黑体" w:eastAsia="黑体" w:hAnsi="黑体" w:hint="eastAsia"/>
          <w:sz w:val="32"/>
          <w:szCs w:val="32"/>
        </w:rPr>
        <w:t>现</w:t>
      </w:r>
      <w:r>
        <w:rPr>
          <w:rFonts w:ascii="黑体" w:eastAsia="黑体" w:hAnsi="黑体" w:hint="eastAsia"/>
          <w:sz w:val="32"/>
          <w:szCs w:val="32"/>
        </w:rPr>
        <w:t>金股利政策、代理成本与公司绩效</w:t>
      </w:r>
    </w:p>
    <w:p w:rsidR="00C057F7" w:rsidRPr="000A5B3C" w:rsidRDefault="000A5B3C">
      <w:pPr>
        <w:spacing w:line="400" w:lineRule="exact"/>
        <w:ind w:leftChars="200" w:left="420" w:rightChars="200" w:right="420" w:firstLine="422"/>
        <w:rPr>
          <w:rFonts w:ascii="黑体" w:eastAsia="黑体" w:hAnsi="黑体"/>
          <w:szCs w:val="21"/>
        </w:rPr>
      </w:pPr>
      <w:r>
        <w:rPr>
          <w:rFonts w:ascii="黑体" w:eastAsia="黑体" w:hAnsi="黑体" w:hint="eastAsia"/>
          <w:b/>
          <w:szCs w:val="21"/>
        </w:rPr>
        <w:t xml:space="preserve">                 </w:t>
      </w:r>
      <w:r w:rsidRPr="000A5B3C">
        <w:rPr>
          <w:rFonts w:ascii="黑体" w:eastAsia="黑体" w:hAnsi="黑体" w:hint="eastAsia"/>
          <w:szCs w:val="21"/>
        </w:rPr>
        <w:t xml:space="preserve"> 胡佳雯      孙丽华</w:t>
      </w:r>
      <w:r>
        <w:rPr>
          <w:rFonts w:ascii="黑体" w:eastAsia="黑体" w:hAnsi="黑体" w:hint="eastAsia"/>
          <w:szCs w:val="21"/>
        </w:rPr>
        <w:t>（通讯作者）</w:t>
      </w:r>
    </w:p>
    <w:p w:rsidR="00C057F7" w:rsidRDefault="00264BD8">
      <w:pPr>
        <w:spacing w:line="400" w:lineRule="exact"/>
        <w:ind w:leftChars="200" w:left="420" w:rightChars="200" w:right="420" w:firstLine="422"/>
        <w:rPr>
          <w:rFonts w:eastAsia="楷体_GB2312"/>
          <w:kern w:val="2"/>
          <w:szCs w:val="20"/>
        </w:rPr>
      </w:pPr>
      <w:r>
        <w:rPr>
          <w:rFonts w:ascii="黑体" w:eastAsia="黑体" w:hAnsi="黑体" w:hint="eastAsia"/>
          <w:b/>
          <w:szCs w:val="21"/>
        </w:rPr>
        <w:t>摘要：</w:t>
      </w:r>
      <w:r>
        <w:rPr>
          <w:rFonts w:eastAsia="楷体_GB2312" w:hint="eastAsia"/>
          <w:kern w:val="2"/>
          <w:szCs w:val="20"/>
        </w:rPr>
        <w:t>本文以沪深两市</w:t>
      </w:r>
      <w:r>
        <w:rPr>
          <w:rFonts w:eastAsia="楷体_GB2312" w:hint="eastAsia"/>
          <w:kern w:val="2"/>
          <w:szCs w:val="20"/>
        </w:rPr>
        <w:t>A</w:t>
      </w:r>
      <w:r>
        <w:rPr>
          <w:rFonts w:eastAsia="楷体_GB2312" w:hint="eastAsia"/>
          <w:kern w:val="2"/>
          <w:szCs w:val="20"/>
        </w:rPr>
        <w:t>股</w:t>
      </w:r>
      <w:r>
        <w:rPr>
          <w:rFonts w:eastAsia="楷体_GB2312" w:hint="eastAsia"/>
          <w:kern w:val="2"/>
          <w:szCs w:val="20"/>
        </w:rPr>
        <w:t>2015-2017</w:t>
      </w:r>
      <w:r>
        <w:rPr>
          <w:rFonts w:eastAsia="楷体_GB2312" w:hint="eastAsia"/>
          <w:kern w:val="2"/>
          <w:szCs w:val="20"/>
        </w:rPr>
        <w:t>年的数据为主要研究样本，研究了现金股利政策、代理成本对公司绩效的影响，并探讨了现金股利对两类代理成本可能造成的影响。结果发现：现金股利与企业绩效存在显著的正相关关系；现金股利与第一类代理成</w:t>
      </w:r>
      <w:r>
        <w:rPr>
          <w:rFonts w:eastAsia="楷体_GB2312" w:hint="eastAsia"/>
          <w:kern w:val="2"/>
          <w:szCs w:val="20"/>
        </w:rPr>
        <w:t>本以及第二类代理成本存在显著负相关关系；</w:t>
      </w:r>
      <w:r>
        <w:rPr>
          <w:rFonts w:ascii="楷体_GB2312" w:eastAsia="楷体_GB2312" w:hAnsi="楷体" w:hint="eastAsia"/>
        </w:rPr>
        <w:t>代理成本在现金股利影响公司绩效的过程中发挥中介作用</w:t>
      </w:r>
      <w:r>
        <w:rPr>
          <w:rFonts w:ascii="楷体" w:eastAsia="楷体" w:hAnsi="楷体" w:hint="eastAsia"/>
        </w:rPr>
        <w:t>，</w:t>
      </w:r>
      <w:r>
        <w:rPr>
          <w:rFonts w:eastAsia="楷体_GB2312" w:hint="eastAsia"/>
          <w:kern w:val="2"/>
          <w:szCs w:val="20"/>
        </w:rPr>
        <w:t>提高现金股利分配比例有利于抑制第一类代理成本和第二类代理成本从而提高公司绩效。</w:t>
      </w:r>
    </w:p>
    <w:p w:rsidR="00C057F7" w:rsidRDefault="00264BD8">
      <w:pPr>
        <w:spacing w:line="400" w:lineRule="exact"/>
        <w:ind w:leftChars="200" w:left="420" w:rightChars="200" w:right="420" w:firstLine="422"/>
        <w:rPr>
          <w:rFonts w:eastAsia="黑体"/>
          <w:kern w:val="2"/>
          <w:szCs w:val="20"/>
        </w:rPr>
      </w:pPr>
      <w:r>
        <w:rPr>
          <w:rFonts w:ascii="黑体" w:eastAsia="黑体" w:hAnsi="黑体" w:hint="eastAsia"/>
          <w:b/>
        </w:rPr>
        <w:t>关键词：</w:t>
      </w:r>
      <w:r>
        <w:rPr>
          <w:rFonts w:eastAsia="楷体_GB2312" w:hint="eastAsia"/>
          <w:kern w:val="2"/>
          <w:szCs w:val="20"/>
        </w:rPr>
        <w:t>现金股利；</w:t>
      </w:r>
      <w:r>
        <w:rPr>
          <w:rStyle w:val="chsp4"/>
          <w:rFonts w:ascii="楷体_GB2312" w:eastAsia="楷体_GB2312" w:hAnsi="楷体" w:hint="eastAsia"/>
          <w:szCs w:val="21"/>
          <w:shd w:val="clear" w:color="auto" w:fill="FFFFFF"/>
        </w:rPr>
        <w:t>股利政策</w:t>
      </w:r>
      <w:r>
        <w:rPr>
          <w:rStyle w:val="chsp4"/>
          <w:rFonts w:ascii="楷体" w:eastAsia="楷体" w:hAnsi="楷体" w:hint="eastAsia"/>
          <w:szCs w:val="21"/>
          <w:shd w:val="clear" w:color="auto" w:fill="FFFFFF"/>
        </w:rPr>
        <w:t>；</w:t>
      </w:r>
      <w:r>
        <w:rPr>
          <w:rFonts w:eastAsia="楷体_GB2312" w:hint="eastAsia"/>
          <w:kern w:val="2"/>
          <w:szCs w:val="20"/>
        </w:rPr>
        <w:t>代理成本；公司绩效</w:t>
      </w:r>
    </w:p>
    <w:p w:rsidR="00C057F7" w:rsidRDefault="00264BD8">
      <w:pPr>
        <w:tabs>
          <w:tab w:val="left" w:pos="2790"/>
        </w:tabs>
        <w:spacing w:line="400" w:lineRule="exact"/>
        <w:ind w:leftChars="200" w:left="420" w:rightChars="200" w:right="420" w:firstLine="602"/>
        <w:jc w:val="center"/>
        <w:rPr>
          <w:b/>
          <w:bCs/>
          <w:szCs w:val="21"/>
        </w:rPr>
      </w:pPr>
      <w:r>
        <w:rPr>
          <w:rFonts w:hint="eastAsia"/>
          <w:b/>
          <w:sz w:val="30"/>
          <w:szCs w:val="30"/>
        </w:rPr>
        <w:t>Cash dividend policy, agency costs and company performance</w:t>
      </w:r>
    </w:p>
    <w:p w:rsidR="00C057F7" w:rsidRDefault="00264BD8">
      <w:pPr>
        <w:spacing w:line="400" w:lineRule="exact"/>
        <w:ind w:leftChars="200" w:left="420" w:rightChars="200" w:right="420" w:firstLine="422"/>
        <w:rPr>
          <w:szCs w:val="21"/>
        </w:rPr>
      </w:pPr>
      <w:r>
        <w:rPr>
          <w:b/>
          <w:bCs/>
          <w:szCs w:val="21"/>
        </w:rPr>
        <w:t>Abstract</w:t>
      </w:r>
      <w:r>
        <w:rPr>
          <w:rFonts w:eastAsia="楷体_GB2312"/>
          <w:b/>
          <w:szCs w:val="21"/>
        </w:rPr>
        <w:t>:</w:t>
      </w:r>
      <w:r>
        <w:rPr>
          <w:rFonts w:hint="eastAsia"/>
          <w:szCs w:val="21"/>
        </w:rPr>
        <w:t>This paper takes the data of A-shares in Shanghai and Shenzhen stock markets from 2015 to 2017 as the main research sample, studies the impact of cash dividend policy and agency cost on company performance, and discusses the possible impact of cash dividen</w:t>
      </w:r>
      <w:r>
        <w:rPr>
          <w:rFonts w:hint="eastAsia"/>
          <w:szCs w:val="21"/>
        </w:rPr>
        <w:t>ds on two types of agency costs. The results show that there is a significant positive correlation between cash dividends and corporate performance; there is a significant negative correlation between cash dividends and the first type of agency costs and t</w:t>
      </w:r>
      <w:r>
        <w:rPr>
          <w:rFonts w:hint="eastAsia"/>
          <w:szCs w:val="21"/>
        </w:rPr>
        <w:t xml:space="preserve">he second type of agency costs; </w:t>
      </w:r>
      <w:r>
        <w:rPr>
          <w:szCs w:val="21"/>
        </w:rPr>
        <w:t xml:space="preserve">Agency costs play an intermediary role in the process of cash dividends affecting corporate performance. </w:t>
      </w:r>
      <w:r>
        <w:rPr>
          <w:rFonts w:hint="eastAsia"/>
          <w:szCs w:val="21"/>
        </w:rPr>
        <w:t>we can conclude that increasing the proportion of cash dividends is conducive to curbing the first type of agency costs</w:t>
      </w:r>
      <w:r>
        <w:rPr>
          <w:rFonts w:hint="eastAsia"/>
          <w:szCs w:val="21"/>
        </w:rPr>
        <w:t xml:space="preserve"> and the second type of agency costs to improve company performance.</w:t>
      </w:r>
    </w:p>
    <w:p w:rsidR="00C057F7" w:rsidRDefault="00264BD8">
      <w:pPr>
        <w:ind w:firstLine="422"/>
      </w:pPr>
      <w:r>
        <w:rPr>
          <w:rFonts w:eastAsia="黑体"/>
          <w:b/>
        </w:rPr>
        <w:t>KeyWords:</w:t>
      </w:r>
      <w:r>
        <w:rPr>
          <w:rFonts w:hint="eastAsia"/>
        </w:rPr>
        <w:t>cash dividends;</w:t>
      </w:r>
      <w:r>
        <w:t>dividend policy</w:t>
      </w:r>
      <w:r>
        <w:rPr>
          <w:rStyle w:val="chsp5"/>
          <w:rFonts w:hint="eastAsia"/>
          <w:color w:val="333333"/>
          <w:szCs w:val="21"/>
          <w:shd w:val="clear" w:color="auto" w:fill="FFFFFF"/>
        </w:rPr>
        <w:t>;</w:t>
      </w:r>
      <w:r>
        <w:rPr>
          <w:rFonts w:hint="eastAsia"/>
        </w:rPr>
        <w:t xml:space="preserve"> agency costs; company performance</w:t>
      </w:r>
    </w:p>
    <w:p w:rsidR="00C057F7" w:rsidRDefault="00C057F7">
      <w:pPr>
        <w:spacing w:line="400" w:lineRule="exact"/>
        <w:ind w:firstLineChars="0" w:firstLine="0"/>
        <w:rPr>
          <w:szCs w:val="21"/>
        </w:rPr>
      </w:pPr>
    </w:p>
    <w:p w:rsidR="00C057F7" w:rsidRDefault="00264BD8" w:rsidP="000A5B3C">
      <w:pPr>
        <w:pStyle w:val="1"/>
        <w:spacing w:beforeLines="50" w:afterLines="50"/>
        <w:rPr>
          <w:szCs w:val="21"/>
        </w:rPr>
      </w:pPr>
      <w:bookmarkStart w:id="0" w:name="_Toc385787636"/>
      <w:bookmarkStart w:id="1" w:name="_Toc1113"/>
      <w:bookmarkStart w:id="2" w:name="_Toc8383267"/>
      <w:r>
        <w:rPr>
          <w:rFonts w:hint="eastAsia"/>
          <w:szCs w:val="21"/>
        </w:rPr>
        <w:t>1</w:t>
      </w:r>
      <w:r>
        <w:rPr>
          <w:rFonts w:hint="eastAsia"/>
          <w:szCs w:val="21"/>
        </w:rPr>
        <w:t>引言</w:t>
      </w:r>
      <w:bookmarkEnd w:id="0"/>
      <w:bookmarkEnd w:id="1"/>
      <w:bookmarkEnd w:id="2"/>
    </w:p>
    <w:p w:rsidR="00C057F7" w:rsidRDefault="00264BD8">
      <w:pPr>
        <w:spacing w:line="400" w:lineRule="atLeast"/>
        <w:ind w:firstLine="420"/>
      </w:pPr>
      <w:bookmarkStart w:id="3" w:name="_Toc385787638"/>
      <w:bookmarkStart w:id="4" w:name="_Toc11485"/>
      <w:r>
        <w:rPr>
          <w:rFonts w:hint="eastAsia"/>
        </w:rPr>
        <w:t>股利政策是指公司股东大会或董事会对一切与股利有关的事项，主要关于</w:t>
      </w:r>
      <w:r>
        <w:rPr>
          <w:rFonts w:hint="eastAsia"/>
          <w:color w:val="000000"/>
        </w:rPr>
        <w:t>发放股利方面采取的方针和策略，而现金股利政策是</w:t>
      </w:r>
      <w:r>
        <w:rPr>
          <w:rFonts w:hint="eastAsia"/>
        </w:rPr>
        <w:t>分配股利的其中一种方式</w:t>
      </w:r>
      <w:r>
        <w:rPr>
          <w:rFonts w:hint="eastAsia"/>
          <w:color w:val="000000"/>
        </w:rPr>
        <w:t>。</w:t>
      </w:r>
      <w:r>
        <w:rPr>
          <w:rFonts w:hint="eastAsia"/>
        </w:rPr>
        <w:t>中国上市公司为什么长期以来受监管部门和投资者们非议，原因主要在于现金股利政策缺乏稳定性和连续性，同时股息率又比较低，但是必须要承认的是近几年上市公司现金股利支付情况在中国股票市场中某种程度上出现了许多较乐观的现象，其愿意付现的情况也有所增加，同时现金股利的稳定性和回报率均有较明显的进步。事实上，上市公司的绩效一部分会受现金股利政策的影响。在研究上市公司股利政策的实施时，考察现金股利政策对上市公司绩效的实际影响是根本点之一，同时也是监管部门颁布强制分红政策的主要依据。关于代理成本，主要有两类，分别是由于股东与</w:t>
      </w:r>
      <w:r>
        <w:rPr>
          <w:rFonts w:hint="eastAsia"/>
        </w:rPr>
        <w:t>管理层之间的利益冲突而产生的第一类代理成本，和由于大股东和小股东之间的利益冲突而产生的第二类代理成本。在股权</w:t>
      </w:r>
      <w:r>
        <w:rPr>
          <w:rFonts w:hint="eastAsia"/>
        </w:rPr>
        <w:lastRenderedPageBreak/>
        <w:t>集中、投资者法律保护不足的市场中，第二类代理成本较为突出，但从近几年的相关研究来看，尽管学者们都对上市公司的第二类代理冲突表现出较为关心的形态，但第一类代理成本并没有</w:t>
      </w:r>
      <w:r>
        <w:rPr>
          <w:rFonts w:hint="eastAsia"/>
          <w:color w:val="000000"/>
        </w:rPr>
        <w:t>解决，即在所有权与使用权的分离的情况导致股东与管理层之间的利益冲突，近</w:t>
      </w:r>
      <w:r>
        <w:rPr>
          <w:rFonts w:hint="eastAsia"/>
        </w:rPr>
        <w:t>几年中国资本市场的相关法律法规在一步步完善起来，过程中渐渐改善了大股东与小股东之间的利益关系，反而将股东与管理层之间的利益冲突放大了。代理成本比较难数据化，据于此本文寻</w:t>
      </w:r>
      <w:r>
        <w:rPr>
          <w:rFonts w:hint="eastAsia"/>
        </w:rPr>
        <w:t>找并选取了比较容易考量的变量指标来检验其与现金股利政策和公司绩效的关系。</w:t>
      </w:r>
    </w:p>
    <w:p w:rsidR="00C057F7" w:rsidRDefault="00264BD8">
      <w:pPr>
        <w:ind w:firstLine="420"/>
      </w:pPr>
      <w:r>
        <w:rPr>
          <w:rFonts w:hint="eastAsia"/>
        </w:rPr>
        <w:t>本文旨在理论分析和实证检验以下三个主要问题：一是现金股利政策是否会影响公司绩效？二是代理成本与现金股利政策有什么关系？是如何体现的？三是现金股利政策能否及如何通过代理成本影响公司绩效？基于此，本文以沪深两市</w:t>
      </w:r>
      <w:r>
        <w:rPr>
          <w:rFonts w:hint="eastAsia"/>
        </w:rPr>
        <w:t>A</w:t>
      </w:r>
      <w:r>
        <w:rPr>
          <w:rFonts w:hint="eastAsia"/>
        </w:rPr>
        <w:t>股</w:t>
      </w:r>
      <w:r>
        <w:rPr>
          <w:rFonts w:hint="eastAsia"/>
        </w:rPr>
        <w:t>2015-2017</w:t>
      </w:r>
      <w:r>
        <w:rPr>
          <w:rFonts w:hint="eastAsia"/>
        </w:rPr>
        <w:t>年的数据为主要研究样本，从现金股利政策、代理成本和公司绩效三个方面来考察，研究三者间的关系和相互之间的影响。</w:t>
      </w:r>
    </w:p>
    <w:p w:rsidR="00C057F7" w:rsidRDefault="00264BD8">
      <w:pPr>
        <w:ind w:firstLineChars="0" w:firstLine="0"/>
        <w:rPr>
          <w:rStyle w:val="1Char"/>
        </w:rPr>
      </w:pPr>
      <w:bookmarkStart w:id="5" w:name="_Toc8383268"/>
      <w:r>
        <w:rPr>
          <w:rStyle w:val="1Char"/>
          <w:rFonts w:hint="eastAsia"/>
        </w:rPr>
        <w:t>2</w:t>
      </w:r>
      <w:r>
        <w:rPr>
          <w:rStyle w:val="1Char"/>
          <w:rFonts w:hint="eastAsia"/>
        </w:rPr>
        <w:t>文献综述</w:t>
      </w:r>
      <w:bookmarkEnd w:id="5"/>
    </w:p>
    <w:p w:rsidR="00C057F7" w:rsidRDefault="00264BD8">
      <w:pPr>
        <w:pStyle w:val="2"/>
        <w:tabs>
          <w:tab w:val="left" w:pos="0"/>
        </w:tabs>
        <w:spacing w:before="156" w:afterLines="0" w:line="400" w:lineRule="exact"/>
        <w:ind w:left="0" w:firstLine="0"/>
        <w:rPr>
          <w:rFonts w:ascii="Times New Roman" w:hAnsi="Times New Roman"/>
        </w:rPr>
      </w:pPr>
      <w:bookmarkStart w:id="6" w:name="_Toc8383269"/>
      <w:r>
        <w:rPr>
          <w:rFonts w:ascii="Times New Roman" w:hAnsi="Times New Roman" w:hint="eastAsia"/>
        </w:rPr>
        <w:t>2.1</w:t>
      </w:r>
      <w:r>
        <w:rPr>
          <w:rFonts w:ascii="Times New Roman" w:hAnsi="Times New Roman" w:hint="eastAsia"/>
        </w:rPr>
        <w:t>国外文献</w:t>
      </w:r>
      <w:bookmarkEnd w:id="3"/>
      <w:bookmarkEnd w:id="4"/>
      <w:bookmarkEnd w:id="6"/>
    </w:p>
    <w:p w:rsidR="00C057F7" w:rsidRDefault="00264BD8">
      <w:pPr>
        <w:spacing w:line="400" w:lineRule="atLeast"/>
        <w:ind w:firstLine="420"/>
      </w:pPr>
      <w:r>
        <w:rPr>
          <w:rFonts w:hint="eastAsia"/>
          <w:position w:val="1"/>
          <w:szCs w:val="21"/>
        </w:rPr>
        <w:t>对股利政策方面的研究</w:t>
      </w:r>
      <w:r>
        <w:rPr>
          <w:rFonts w:hint="eastAsia"/>
          <w:color w:val="231F20"/>
          <w:position w:val="1"/>
          <w:szCs w:val="21"/>
        </w:rPr>
        <w:t>国外起始较早</w:t>
      </w:r>
      <w:r>
        <w:rPr>
          <w:rFonts w:hint="eastAsia"/>
          <w:color w:val="231F20"/>
          <w:w w:val="85"/>
          <w:szCs w:val="21"/>
        </w:rPr>
        <w:t>，</w:t>
      </w:r>
      <w:r>
        <w:rPr>
          <w:rFonts w:hint="eastAsia"/>
          <w:color w:val="231F20"/>
          <w:position w:val="1"/>
          <w:szCs w:val="21"/>
        </w:rPr>
        <w:t>与我国相比</w:t>
      </w:r>
      <w:r>
        <w:rPr>
          <w:rFonts w:hint="eastAsia"/>
          <w:color w:val="231F20"/>
          <w:w w:val="85"/>
          <w:szCs w:val="21"/>
        </w:rPr>
        <w:t>，</w:t>
      </w:r>
      <w:r>
        <w:rPr>
          <w:rFonts w:hint="eastAsia"/>
          <w:color w:val="231F20"/>
          <w:position w:val="1"/>
          <w:szCs w:val="21"/>
        </w:rPr>
        <w:t>西方学者进行的实证研究较为成熟和完善</w:t>
      </w:r>
      <w:r>
        <w:rPr>
          <w:rFonts w:hint="eastAsia"/>
          <w:color w:val="231F20"/>
          <w:w w:val="85"/>
          <w:szCs w:val="21"/>
        </w:rPr>
        <w:t>。</w:t>
      </w:r>
      <w:r>
        <w:rPr>
          <w:rFonts w:hint="eastAsia"/>
          <w:spacing w:val="8"/>
          <w:szCs w:val="21"/>
        </w:rPr>
        <w:t>国外的研究收获了许多理论，如</w:t>
      </w:r>
      <w:r>
        <w:rPr>
          <w:rFonts w:hint="eastAsia"/>
          <w:szCs w:val="21"/>
        </w:rPr>
        <w:t xml:space="preserve"> </w:t>
      </w:r>
      <w:r>
        <w:rPr>
          <w:rFonts w:hint="eastAsia"/>
          <w:szCs w:val="21"/>
        </w:rPr>
        <w:t>“一鸟在手”理论、</w:t>
      </w:r>
      <w:r>
        <w:rPr>
          <w:rFonts w:hint="eastAsia"/>
          <w:szCs w:val="21"/>
        </w:rPr>
        <w:t xml:space="preserve">MM </w:t>
      </w:r>
      <w:r>
        <w:rPr>
          <w:rFonts w:hint="eastAsia"/>
          <w:szCs w:val="21"/>
        </w:rPr>
        <w:t>理论、税差理论、</w:t>
      </w:r>
      <w:r>
        <w:rPr>
          <w:rFonts w:hint="eastAsia"/>
          <w:spacing w:val="8"/>
          <w:szCs w:val="21"/>
        </w:rPr>
        <w:t>掏空假说等。</w:t>
      </w:r>
      <w:r>
        <w:rPr>
          <w:rFonts w:hint="eastAsia"/>
        </w:rPr>
        <w:t>最早将代理成本和股利政策联系起来研究的是迈克尔·约瑟夫</w:t>
      </w:r>
      <w:r>
        <w:rPr>
          <w:rFonts w:hint="eastAsia"/>
        </w:rPr>
        <w:t>(Michael S. Rozeff,1982)</w:t>
      </w:r>
      <w:r>
        <w:rPr>
          <w:rFonts w:hint="eastAsia"/>
        </w:rPr>
        <w:t>。研究结果表明支付现金股利会减少企业代理成本的发生，根据研究结果他提出了股利代理成本理论。继迈克尔·约瑟夫之后也有其他学者得到现金股利能通过降低代理成本来提升公司绩效的结论。</w:t>
      </w:r>
      <w:r>
        <w:rPr>
          <w:rFonts w:eastAsia="Times New Roman"/>
          <w:szCs w:val="21"/>
        </w:rPr>
        <w:t>Hess</w:t>
      </w:r>
      <w:r>
        <w:rPr>
          <w:rFonts w:eastAsiaTheme="minorEastAsia" w:hint="eastAsia"/>
          <w:szCs w:val="21"/>
        </w:rPr>
        <w:t xml:space="preserve"> </w:t>
      </w:r>
      <w:r>
        <w:rPr>
          <w:rFonts w:eastAsia="Times New Roman"/>
          <w:szCs w:val="21"/>
        </w:rPr>
        <w:t>and</w:t>
      </w:r>
      <w:r>
        <w:rPr>
          <w:rFonts w:eastAsiaTheme="minorEastAsia" w:hint="eastAsia"/>
          <w:szCs w:val="21"/>
        </w:rPr>
        <w:t xml:space="preserve"> </w:t>
      </w:r>
      <w:r>
        <w:rPr>
          <w:rFonts w:eastAsia="Times New Roman"/>
          <w:szCs w:val="21"/>
        </w:rPr>
        <w:t>Kin(19</w:t>
      </w:r>
      <w:r>
        <w:rPr>
          <w:rFonts w:hint="eastAsia"/>
          <w:szCs w:val="21"/>
        </w:rPr>
        <w:t>82</w:t>
      </w:r>
      <w:r>
        <w:rPr>
          <w:rFonts w:eastAsia="Times New Roman"/>
          <w:szCs w:val="21"/>
        </w:rPr>
        <w:t>)</w:t>
      </w:r>
      <w:r>
        <w:rPr>
          <w:rFonts w:hint="eastAsia"/>
        </w:rPr>
        <w:t>与</w:t>
      </w:r>
      <w:r>
        <w:rPr>
          <w:rFonts w:eastAsia="Times New Roman"/>
          <w:spacing w:val="-9"/>
          <w:szCs w:val="21"/>
        </w:rPr>
        <w:t>Woolridge</w:t>
      </w:r>
      <w:r>
        <w:rPr>
          <w:rFonts w:eastAsiaTheme="minorEastAsia" w:hint="eastAsia"/>
          <w:spacing w:val="-9"/>
          <w:szCs w:val="21"/>
        </w:rPr>
        <w:t xml:space="preserve"> </w:t>
      </w:r>
      <w:r>
        <w:rPr>
          <w:rFonts w:eastAsia="Times New Roman"/>
          <w:szCs w:val="21"/>
        </w:rPr>
        <w:t>Edae</w:t>
      </w:r>
      <w:r>
        <w:rPr>
          <w:rFonts w:eastAsiaTheme="minorEastAsia" w:hint="eastAsia"/>
          <w:szCs w:val="21"/>
        </w:rPr>
        <w:t>san</w:t>
      </w:r>
      <w:r>
        <w:rPr>
          <w:rFonts w:eastAsia="Times New Roman"/>
          <w:szCs w:val="21"/>
        </w:rPr>
        <w:t>d</w:t>
      </w:r>
      <w:r>
        <w:rPr>
          <w:rFonts w:eastAsiaTheme="minorEastAsia" w:hint="eastAsia"/>
          <w:szCs w:val="21"/>
        </w:rPr>
        <w:t xml:space="preserve"> </w:t>
      </w:r>
      <w:r>
        <w:rPr>
          <w:rFonts w:eastAsia="Times New Roman"/>
          <w:szCs w:val="21"/>
        </w:rPr>
        <w:t>Ghosh(1</w:t>
      </w:r>
      <w:r>
        <w:rPr>
          <w:rFonts w:eastAsia="Times New Roman"/>
          <w:szCs w:val="21"/>
        </w:rPr>
        <w:t>9</w:t>
      </w:r>
      <w:r>
        <w:rPr>
          <w:rFonts w:hint="eastAsia"/>
          <w:szCs w:val="21"/>
        </w:rPr>
        <w:t>91</w:t>
      </w:r>
      <w:r>
        <w:rPr>
          <w:rFonts w:eastAsia="Times New Roman"/>
          <w:szCs w:val="21"/>
        </w:rPr>
        <w:t>)</w:t>
      </w:r>
      <w:r>
        <w:rPr>
          <w:rFonts w:hint="eastAsia"/>
        </w:rPr>
        <w:t>，</w:t>
      </w:r>
      <w:r>
        <w:rPr>
          <w:rFonts w:eastAsia="Times New Roman"/>
          <w:szCs w:val="21"/>
        </w:rPr>
        <w:t>Charest</w:t>
      </w:r>
      <w:r>
        <w:rPr>
          <w:rFonts w:eastAsia="Times New Roman"/>
          <w:spacing w:val="6"/>
          <w:szCs w:val="21"/>
        </w:rPr>
        <w:t xml:space="preserve"> (</w:t>
      </w:r>
      <w:r>
        <w:rPr>
          <w:rFonts w:eastAsia="Times New Roman"/>
          <w:spacing w:val="2"/>
          <w:szCs w:val="21"/>
        </w:rPr>
        <w:t>197</w:t>
      </w:r>
      <w:r>
        <w:rPr>
          <w:rFonts w:hint="eastAsia"/>
          <w:spacing w:val="2"/>
          <w:szCs w:val="21"/>
        </w:rPr>
        <w:t>8</w:t>
      </w:r>
      <w:r>
        <w:rPr>
          <w:rFonts w:eastAsia="Times New Roman"/>
          <w:spacing w:val="2"/>
          <w:szCs w:val="21"/>
        </w:rPr>
        <w:t>)</w:t>
      </w:r>
      <w:r>
        <w:rPr>
          <w:spacing w:val="8"/>
          <w:szCs w:val="21"/>
        </w:rPr>
        <w:t>等认为如果一个公司发放</w:t>
      </w:r>
      <w:r>
        <w:rPr>
          <w:rFonts w:hint="eastAsia"/>
          <w:spacing w:val="8"/>
          <w:szCs w:val="21"/>
        </w:rPr>
        <w:t>较少的</w:t>
      </w:r>
      <w:r>
        <w:rPr>
          <w:spacing w:val="8"/>
          <w:szCs w:val="21"/>
        </w:rPr>
        <w:t>现金股利</w:t>
      </w:r>
      <w:r>
        <w:rPr>
          <w:rFonts w:hint="eastAsia"/>
          <w:szCs w:val="21"/>
        </w:rPr>
        <w:t>或者减少</w:t>
      </w:r>
      <w:r>
        <w:rPr>
          <w:szCs w:val="21"/>
        </w:rPr>
        <w:t>发放现金股利的</w:t>
      </w:r>
      <w:r>
        <w:rPr>
          <w:rFonts w:hint="eastAsia"/>
          <w:szCs w:val="21"/>
        </w:rPr>
        <w:t>次数，</w:t>
      </w:r>
      <w:r>
        <w:rPr>
          <w:szCs w:val="21"/>
        </w:rPr>
        <w:t>那么公司</w:t>
      </w:r>
      <w:r>
        <w:rPr>
          <w:rFonts w:hint="eastAsia"/>
          <w:szCs w:val="21"/>
        </w:rPr>
        <w:t>的</w:t>
      </w:r>
      <w:r>
        <w:rPr>
          <w:szCs w:val="21"/>
        </w:rPr>
        <w:t>收益</w:t>
      </w:r>
      <w:r>
        <w:rPr>
          <w:rFonts w:hint="eastAsia"/>
          <w:szCs w:val="21"/>
        </w:rPr>
        <w:t>可能会</w:t>
      </w:r>
      <w:r>
        <w:rPr>
          <w:szCs w:val="21"/>
        </w:rPr>
        <w:t>不同程度</w:t>
      </w:r>
      <w:r>
        <w:rPr>
          <w:rFonts w:hint="eastAsia"/>
          <w:szCs w:val="21"/>
        </w:rPr>
        <w:t>的减少</w:t>
      </w:r>
      <w:r>
        <w:rPr>
          <w:szCs w:val="21"/>
        </w:rPr>
        <w:t>，反之，</w:t>
      </w:r>
      <w:r>
        <w:rPr>
          <w:rFonts w:hint="eastAsia"/>
          <w:szCs w:val="21"/>
        </w:rPr>
        <w:t>收益增加。除此之外，还有许多著名的理论。股利信号传递理论认为</w:t>
      </w:r>
      <w:r>
        <w:rPr>
          <w:rFonts w:hint="eastAsia"/>
        </w:rPr>
        <w:t>，</w:t>
      </w:r>
      <w:r>
        <w:rPr>
          <w:rFonts w:hint="eastAsia"/>
          <w:szCs w:val="21"/>
        </w:rPr>
        <w:t>由于市场和投资者的信息不对称，管理者会通过公司股利政策向他们传递公司未来经营状况的信号，如果企业管理者预计到未来企业会大幅度盈利，就会通过发放股利的方式将好消息传递给股东和潜在投资者。许多研究得出股利政策影响公司绩效和股东财富的结果。</w:t>
      </w:r>
      <w:r>
        <w:rPr>
          <w:rFonts w:eastAsia="Times New Roman"/>
          <w:szCs w:val="21"/>
        </w:rPr>
        <w:t>Balachandran(2014)</w:t>
      </w:r>
      <w:r>
        <w:rPr>
          <w:rFonts w:hint="eastAsia"/>
          <w:szCs w:val="21"/>
        </w:rPr>
        <w:t>对股利政策和股票价格波动</w:t>
      </w:r>
      <w:r>
        <w:rPr>
          <w:rFonts w:hint="eastAsia"/>
          <w:szCs w:val="21"/>
        </w:rPr>
        <w:t>进行了研究，发现毫无先兆地增加或减少股利对传递公司绩效的信息有明显的作用，而单纯的股利政策意料之中地没有传递信息的作用了</w:t>
      </w:r>
      <w:r>
        <w:rPr>
          <w:rFonts w:hint="eastAsia"/>
          <w:szCs w:val="21"/>
        </w:rPr>
        <w:t>。</w:t>
      </w:r>
    </w:p>
    <w:p w:rsidR="00C057F7" w:rsidRDefault="00264BD8">
      <w:pPr>
        <w:spacing w:line="400" w:lineRule="exact"/>
        <w:ind w:firstLine="418"/>
        <w:rPr>
          <w:szCs w:val="21"/>
        </w:rPr>
      </w:pPr>
      <w:r>
        <w:rPr>
          <w:rFonts w:eastAsia="Times New Roman" w:hint="eastAsia"/>
          <w:spacing w:val="-1"/>
        </w:rPr>
        <w:t>Shleifer和Vishny</w:t>
      </w:r>
      <w:r>
        <w:rPr>
          <w:rFonts w:eastAsia="Times New Roman"/>
          <w:szCs w:val="21"/>
        </w:rPr>
        <w:t>(19</w:t>
      </w:r>
      <w:r>
        <w:rPr>
          <w:rFonts w:hint="eastAsia"/>
          <w:szCs w:val="21"/>
        </w:rPr>
        <w:t>97</w:t>
      </w:r>
      <w:r>
        <w:rPr>
          <w:rFonts w:eastAsia="Times New Roman"/>
          <w:szCs w:val="21"/>
        </w:rPr>
        <w:t>)</w:t>
      </w:r>
      <w:r>
        <w:rPr>
          <w:rFonts w:ascii="宋体" w:hAnsi="宋体" w:hint="eastAsia"/>
          <w:spacing w:val="-1"/>
        </w:rPr>
        <w:t>在研究了全世界数十个国家的上市公司后，得出了大型公司最严重的代理问题是控股股东和中小股东之间的冲突，其次才是外部投资者和管理层之间冲突的结论</w:t>
      </w:r>
      <w:r>
        <w:rPr>
          <w:rFonts w:hint="eastAsia"/>
          <w:spacing w:val="-1"/>
        </w:rPr>
        <w:t>。</w:t>
      </w:r>
      <w:r>
        <w:rPr>
          <w:rFonts w:hint="eastAsia"/>
        </w:rPr>
        <w:t>Jensen</w:t>
      </w:r>
      <w:r>
        <w:rPr>
          <w:rFonts w:hint="eastAsia"/>
        </w:rPr>
        <w:t>和</w:t>
      </w:r>
      <w:r>
        <w:rPr>
          <w:rFonts w:hint="eastAsia"/>
        </w:rPr>
        <w:t>Meckling(1976)</w:t>
      </w:r>
      <w:r>
        <w:rPr>
          <w:rFonts w:hint="eastAsia"/>
        </w:rPr>
        <w:t>认为代理成本由：在委托人监督下的支出、代理人约束自己需要的成本、代理人代理执行决策后发生的委托人的剩余损失这三个部分组成，这些损失包括了显性损失和一些隐性损失</w:t>
      </w:r>
      <w:r>
        <w:rPr>
          <w:rFonts w:hint="eastAsia"/>
        </w:rPr>
        <w:t>。</w:t>
      </w:r>
      <w:r>
        <w:rPr>
          <w:rFonts w:eastAsia="Times New Roman" w:hint="eastAsia"/>
          <w:spacing w:val="-1"/>
        </w:rPr>
        <w:t>Bae、Perderson</w:t>
      </w:r>
      <w:r>
        <w:rPr>
          <w:rFonts w:eastAsia="Times New Roman"/>
          <w:szCs w:val="21"/>
        </w:rPr>
        <w:t>(19</w:t>
      </w:r>
      <w:r>
        <w:rPr>
          <w:rFonts w:hint="eastAsia"/>
          <w:szCs w:val="21"/>
        </w:rPr>
        <w:t>94</w:t>
      </w:r>
      <w:r>
        <w:rPr>
          <w:rFonts w:eastAsia="Times New Roman"/>
          <w:szCs w:val="21"/>
        </w:rPr>
        <w:t>)</w:t>
      </w:r>
      <w:r>
        <w:rPr>
          <w:rFonts w:hint="eastAsia"/>
          <w:spacing w:val="-1"/>
        </w:rPr>
        <w:t>和</w:t>
      </w:r>
      <w:r>
        <w:rPr>
          <w:rFonts w:eastAsia="Times New Roman" w:hint="eastAsia"/>
          <w:spacing w:val="-1"/>
        </w:rPr>
        <w:t>Thomsen</w:t>
      </w:r>
      <w:r>
        <w:rPr>
          <w:rFonts w:eastAsia="Times New Roman"/>
          <w:szCs w:val="21"/>
        </w:rPr>
        <w:t>(</w:t>
      </w:r>
      <w:r>
        <w:rPr>
          <w:rFonts w:hint="eastAsia"/>
          <w:szCs w:val="21"/>
        </w:rPr>
        <w:t>2000</w:t>
      </w:r>
      <w:r>
        <w:rPr>
          <w:rFonts w:eastAsia="Times New Roman"/>
          <w:szCs w:val="21"/>
        </w:rPr>
        <w:t>)</w:t>
      </w:r>
      <w:r>
        <w:rPr>
          <w:rFonts w:hint="eastAsia"/>
          <w:szCs w:val="21"/>
        </w:rPr>
        <w:t>的</w:t>
      </w:r>
      <w:r>
        <w:rPr>
          <w:rFonts w:hint="eastAsia"/>
          <w:spacing w:val="-1"/>
        </w:rPr>
        <w:t>研究得出了股权集中度与代理成本呈负相关的结论。</w:t>
      </w:r>
      <w:r>
        <w:rPr>
          <w:rFonts w:eastAsia="Times New Roman" w:hint="eastAsia"/>
          <w:szCs w:val="21"/>
        </w:rPr>
        <w:t>Ang</w:t>
      </w:r>
      <w:r>
        <w:rPr>
          <w:rFonts w:hint="eastAsia"/>
          <w:szCs w:val="21"/>
        </w:rPr>
        <w:t>等</w:t>
      </w:r>
      <w:r>
        <w:rPr>
          <w:rFonts w:eastAsia="Times New Roman" w:hint="eastAsia"/>
          <w:szCs w:val="21"/>
        </w:rPr>
        <w:t>(2000)</w:t>
      </w:r>
      <w:r>
        <w:rPr>
          <w:rFonts w:hint="eastAsia"/>
          <w:szCs w:val="21"/>
        </w:rPr>
        <w:t>认为管理费用率和资产周转率两个指标可以用来反映管理层的代理成本。</w:t>
      </w:r>
    </w:p>
    <w:p w:rsidR="00C057F7" w:rsidRDefault="00264BD8">
      <w:pPr>
        <w:spacing w:line="400" w:lineRule="exact"/>
        <w:ind w:firstLine="418"/>
      </w:pPr>
      <w:r>
        <w:rPr>
          <w:rFonts w:hint="eastAsia"/>
          <w:spacing w:val="-1"/>
        </w:rPr>
        <w:t>Rozeff(1982)</w:t>
      </w:r>
      <w:r>
        <w:rPr>
          <w:rFonts w:hint="eastAsia"/>
          <w:spacing w:val="-1"/>
        </w:rPr>
        <w:t>在</w:t>
      </w:r>
      <w:r>
        <w:rPr>
          <w:rFonts w:hint="eastAsia"/>
        </w:rPr>
        <w:t>对三者的研</w:t>
      </w:r>
      <w:r>
        <w:rPr>
          <w:rFonts w:hint="eastAsia"/>
        </w:rPr>
        <w:t>究中发现现金股利能降低代理成本，但是会使外部股权融资的成本升高，这就是所谓的最优股利模型，同时他认为从结论中能推测出现金股利可以缓解股东与管</w:t>
      </w:r>
      <w:r>
        <w:rPr>
          <w:rFonts w:hint="eastAsia"/>
        </w:rPr>
        <w:lastRenderedPageBreak/>
        <w:t>理者之间的冲突</w:t>
      </w:r>
      <w:r>
        <w:rPr>
          <w:rFonts w:eastAsia="Times New Roman" w:hint="eastAsia"/>
          <w:spacing w:val="-1"/>
        </w:rPr>
        <w:t>，</w:t>
      </w:r>
      <w:r>
        <w:rPr>
          <w:rFonts w:eastAsia="Times New Roman"/>
          <w:color w:val="000000"/>
          <w:spacing w:val="-1"/>
        </w:rPr>
        <w:t>Easterbrook</w:t>
      </w:r>
      <w:r>
        <w:rPr>
          <w:rFonts w:hint="eastAsia"/>
          <w:color w:val="000000"/>
          <w:spacing w:val="-1"/>
        </w:rPr>
        <w:t>也支持了这一观点。</w:t>
      </w:r>
      <w:r>
        <w:rPr>
          <w:rFonts w:eastAsia="Times New Roman"/>
          <w:spacing w:val="-1"/>
        </w:rPr>
        <w:t>Easterbrook(1984)</w:t>
      </w:r>
      <w:r>
        <w:rPr>
          <w:rFonts w:hint="eastAsia"/>
          <w:spacing w:val="-1"/>
        </w:rPr>
        <w:t>认为</w:t>
      </w:r>
      <w:r>
        <w:rPr>
          <w:spacing w:val="-1"/>
        </w:rPr>
        <w:t>公司</w:t>
      </w:r>
      <w:r>
        <w:t>发放现金股利越多</w:t>
      </w:r>
      <w:r>
        <w:rPr>
          <w:rFonts w:hint="eastAsia"/>
        </w:rPr>
        <w:t>，</w:t>
      </w:r>
      <w:r>
        <w:rPr>
          <w:spacing w:val="-1"/>
        </w:rPr>
        <w:t>上市公司</w:t>
      </w:r>
      <w:r>
        <w:rPr>
          <w:rFonts w:hint="eastAsia"/>
          <w:spacing w:val="-1"/>
        </w:rPr>
        <w:t>对</w:t>
      </w:r>
      <w:r>
        <w:rPr>
          <w:spacing w:val="-1"/>
        </w:rPr>
        <w:t>社会公众的发行</w:t>
      </w:r>
      <w:r>
        <w:rPr>
          <w:rFonts w:hint="eastAsia"/>
          <w:spacing w:val="-1"/>
        </w:rPr>
        <w:t>的股份也会越多</w:t>
      </w:r>
      <w:r>
        <w:rPr>
          <w:rFonts w:hint="eastAsia"/>
        </w:rPr>
        <w:t>，</w:t>
      </w:r>
      <w:r>
        <w:t>而市场会监管</w:t>
      </w:r>
      <w:r>
        <w:rPr>
          <w:rFonts w:hint="eastAsia"/>
        </w:rPr>
        <w:t>这些</w:t>
      </w:r>
      <w:r>
        <w:t>上市公司</w:t>
      </w:r>
      <w:r>
        <w:rPr>
          <w:rFonts w:hint="eastAsia"/>
        </w:rPr>
        <w:t>来</w:t>
      </w:r>
      <w:r>
        <w:t>降低公司的代理成本，</w:t>
      </w:r>
      <w:r>
        <w:rPr>
          <w:rFonts w:hint="eastAsia"/>
        </w:rPr>
        <w:t>同时</w:t>
      </w:r>
      <w:r>
        <w:t>股东的收益</w:t>
      </w:r>
      <w:r>
        <w:rPr>
          <w:rFonts w:hint="eastAsia"/>
        </w:rPr>
        <w:t>也</w:t>
      </w:r>
      <w:r>
        <w:t>会</w:t>
      </w:r>
      <w:r>
        <w:rPr>
          <w:rFonts w:hint="eastAsia"/>
        </w:rPr>
        <w:t>变得</w:t>
      </w:r>
      <w:r>
        <w:t>越</w:t>
      </w:r>
      <w:r>
        <w:rPr>
          <w:rFonts w:hint="eastAsia"/>
        </w:rPr>
        <w:t>来越好</w:t>
      </w:r>
      <w:r>
        <w:rPr>
          <w:rFonts w:hint="eastAsia"/>
        </w:rPr>
        <w:t>。</w:t>
      </w:r>
    </w:p>
    <w:p w:rsidR="00C057F7" w:rsidRDefault="00264BD8">
      <w:pPr>
        <w:pStyle w:val="2"/>
        <w:tabs>
          <w:tab w:val="left" w:pos="0"/>
        </w:tabs>
        <w:spacing w:before="156" w:afterLines="0" w:line="400" w:lineRule="exact"/>
        <w:ind w:left="0" w:firstLine="0"/>
        <w:rPr>
          <w:rFonts w:ascii="Times New Roman" w:hAnsi="Times New Roman"/>
        </w:rPr>
      </w:pPr>
      <w:bookmarkStart w:id="7" w:name="_Toc8383273"/>
      <w:bookmarkStart w:id="8" w:name="_Toc24699"/>
      <w:bookmarkStart w:id="9" w:name="_Toc385787639"/>
      <w:r>
        <w:rPr>
          <w:rFonts w:ascii="Times New Roman" w:hAnsi="Times New Roman" w:hint="eastAsia"/>
        </w:rPr>
        <w:t>2.2</w:t>
      </w:r>
      <w:r>
        <w:rPr>
          <w:rFonts w:ascii="Times New Roman" w:hAnsi="Times New Roman" w:hint="eastAsia"/>
        </w:rPr>
        <w:t>国内文献</w:t>
      </w:r>
      <w:bookmarkEnd w:id="7"/>
      <w:bookmarkEnd w:id="8"/>
      <w:bookmarkEnd w:id="9"/>
    </w:p>
    <w:p w:rsidR="00C057F7" w:rsidRDefault="00264BD8">
      <w:pPr>
        <w:spacing w:line="400" w:lineRule="exact"/>
        <w:ind w:firstLine="420"/>
        <w:rPr>
          <w:color w:val="000000"/>
        </w:rPr>
      </w:pPr>
      <w:bookmarkStart w:id="10" w:name="_Toc385787640"/>
      <w:r>
        <w:rPr>
          <w:rFonts w:hint="eastAsia"/>
          <w:color w:val="000000"/>
        </w:rPr>
        <w:t>由于我们国家证券市场起步比西方晚，同时发展程度不是很完善，导致我国对股利政策的研究开始时间落后于西方学者。但在这一方面也取得一定研究成果。郭亚军、钟田丽等</w:t>
      </w:r>
      <w:r>
        <w:rPr>
          <w:rFonts w:hint="eastAsia"/>
          <w:color w:val="000000"/>
        </w:rPr>
        <w:t>(2003)</w:t>
      </w:r>
      <w:r>
        <w:rPr>
          <w:rFonts w:hint="eastAsia"/>
          <w:color w:val="000000"/>
        </w:rPr>
        <w:t>的研究表明公司下一年度的业绩会与股利的支付成正比</w:t>
      </w:r>
      <w:r>
        <w:rPr>
          <w:rFonts w:hint="eastAsia"/>
          <w:color w:val="000000"/>
        </w:rPr>
        <w:t>。倪海霞、谷秀娟</w:t>
      </w:r>
      <w:r>
        <w:rPr>
          <w:rFonts w:hint="eastAsia"/>
          <w:color w:val="000000"/>
        </w:rPr>
        <w:t>(2007)</w:t>
      </w:r>
      <w:r>
        <w:rPr>
          <w:rFonts w:hint="eastAsia"/>
          <w:color w:val="000000"/>
        </w:rPr>
        <w:t>研究</w:t>
      </w:r>
      <w:r>
        <w:rPr>
          <w:rFonts w:hint="eastAsia"/>
          <w:color w:val="000000"/>
        </w:rPr>
        <w:t>109</w:t>
      </w:r>
      <w:r>
        <w:rPr>
          <w:rFonts w:hint="eastAsia"/>
          <w:color w:val="000000"/>
        </w:rPr>
        <w:t>个上市公司后，发现</w:t>
      </w:r>
      <w:r>
        <w:rPr>
          <w:rFonts w:hint="eastAsia"/>
          <w:color w:val="000000"/>
        </w:rPr>
        <w:t xml:space="preserve">2006 </w:t>
      </w:r>
      <w:r>
        <w:rPr>
          <w:rFonts w:hint="eastAsia"/>
          <w:color w:val="000000"/>
        </w:rPr>
        <w:t>年上市公司的经营绩效并不会受福利分配形式的影响。但在之后的</w:t>
      </w:r>
      <w:r>
        <w:rPr>
          <w:rFonts w:hint="eastAsia"/>
          <w:color w:val="000000"/>
        </w:rPr>
        <w:t xml:space="preserve">2007 </w:t>
      </w:r>
      <w:r>
        <w:rPr>
          <w:rFonts w:hint="eastAsia"/>
          <w:color w:val="000000"/>
        </w:rPr>
        <w:t>年，在进行现金股利分配与进行股票股利的公司的经营绩效之间就出现了天差地别的不同</w:t>
      </w:r>
      <w:r>
        <w:rPr>
          <w:rFonts w:hint="eastAsia"/>
          <w:color w:val="000000"/>
        </w:rPr>
        <w:t>。韦秀仙</w:t>
      </w:r>
      <w:r>
        <w:rPr>
          <w:rFonts w:hint="eastAsia"/>
          <w:color w:val="000000"/>
        </w:rPr>
        <w:t>(2014)</w:t>
      </w:r>
      <w:r>
        <w:rPr>
          <w:rFonts w:hint="eastAsia"/>
          <w:color w:val="000000"/>
        </w:rPr>
        <w:t>采用线性回归模型进行实证分析，根据信号传递理论，研</w:t>
      </w:r>
      <w:r>
        <w:rPr>
          <w:rFonts w:hint="eastAsia"/>
          <w:color w:val="000000"/>
        </w:rPr>
        <w:t>究表明现金股利与公司经营业绩呈显著正相关关系</w:t>
      </w:r>
      <w:r>
        <w:rPr>
          <w:rFonts w:hint="eastAsia"/>
          <w:color w:val="000000"/>
        </w:rPr>
        <w:t>。蔡金玉</w:t>
      </w:r>
      <w:r>
        <w:rPr>
          <w:rFonts w:hint="eastAsia"/>
          <w:color w:val="000000"/>
        </w:rPr>
        <w:t>(2014)</w:t>
      </w:r>
      <w:r>
        <w:rPr>
          <w:rFonts w:hint="eastAsia"/>
          <w:color w:val="000000"/>
        </w:rPr>
        <w:t>研究了</w:t>
      </w:r>
      <w:r>
        <w:rPr>
          <w:rFonts w:hint="eastAsia"/>
          <w:color w:val="000000"/>
        </w:rPr>
        <w:t>15</w:t>
      </w:r>
      <w:r>
        <w:rPr>
          <w:rFonts w:hint="eastAsia"/>
          <w:color w:val="000000"/>
        </w:rPr>
        <w:t>家上市公司，研究表明现金股利政策与每股收益呈正相关关系，上市公司的现金股利政策与主营业务收益也成正相关关系</w:t>
      </w:r>
      <w:r>
        <w:rPr>
          <w:rFonts w:hint="eastAsia"/>
          <w:color w:val="000000"/>
        </w:rPr>
        <w:t>。</w:t>
      </w:r>
    </w:p>
    <w:p w:rsidR="00C057F7" w:rsidRDefault="00264BD8">
      <w:pPr>
        <w:spacing w:line="400" w:lineRule="exact"/>
        <w:ind w:firstLine="420"/>
      </w:pPr>
      <w:r>
        <w:rPr>
          <w:rFonts w:hint="eastAsia"/>
        </w:rPr>
        <w:t>宋力和韩亮亮</w:t>
      </w:r>
      <w:r>
        <w:rPr>
          <w:rFonts w:hint="eastAsia"/>
        </w:rPr>
        <w:t>(2005)</w:t>
      </w:r>
      <w:r>
        <w:rPr>
          <w:rFonts w:hint="eastAsia"/>
        </w:rPr>
        <w:t>认为影响代理成本的一大因素是大股东持股的比例，研究发现代理成本与股权集中度呈显著负相关关系，与股权制衡度呈显著正相关关系，从而影响公司绩效</w:t>
      </w:r>
      <w:r>
        <w:rPr>
          <w:rFonts w:hint="eastAsia"/>
        </w:rPr>
        <w:t>。张兆国、何威风和闫炳乾的研究得到了和他们相反的结论，他们认为控股股东的持股比例与代理成本的关系在民营上市公</w:t>
      </w:r>
      <w:r>
        <w:rPr>
          <w:rFonts w:hint="eastAsia"/>
        </w:rPr>
        <w:t>司和国有控股上市公司中会有所不同，他会与民营上市公司负相关，与国有控股上市公司正相关；股权制衡度则与代理成本负相关，从而通过债务来影响公司绩效</w:t>
      </w:r>
      <w:r>
        <w:rPr>
          <w:rFonts w:hint="eastAsia"/>
        </w:rPr>
        <w:t>。周建和袁德利</w:t>
      </w:r>
      <w:r>
        <w:rPr>
          <w:rFonts w:hint="eastAsia"/>
        </w:rPr>
        <w:t>(2013)</w:t>
      </w:r>
      <w:r>
        <w:rPr>
          <w:rFonts w:hint="eastAsia"/>
        </w:rPr>
        <w:t>通过研究沪深两市上市公司，检验了这一过程：治理机制如何通过对两类代理成本产生作用来影响公司绩效</w:t>
      </w:r>
      <w:r>
        <w:rPr>
          <w:rFonts w:hint="eastAsia"/>
        </w:rPr>
        <w:t>。</w:t>
      </w:r>
      <w:r>
        <w:t>陈乾坤</w:t>
      </w:r>
      <w:r>
        <w:rPr>
          <w:rFonts w:hint="eastAsia"/>
        </w:rPr>
        <w:t>、</w:t>
      </w:r>
      <w:r>
        <w:t>卞曰瑭</w:t>
      </w:r>
      <w:r>
        <w:rPr>
          <w:rFonts w:hint="eastAsia"/>
        </w:rPr>
        <w:t>（</w:t>
      </w:r>
      <w:r>
        <w:rPr>
          <w:rFonts w:hint="eastAsia"/>
        </w:rPr>
        <w:t>2015</w:t>
      </w:r>
      <w:r>
        <w:rPr>
          <w:rFonts w:hint="eastAsia"/>
        </w:rPr>
        <w:t>）研究得出股东总数较多的公司，两类代理成本也会较高，公司绩效会明显较低；规模经济效应显著，企业的规模越大，两类代理成本越低，绩效水平越高；负债水平与两类代理成本呈显著正相关关系，与企业绩效呈显著负相关关系的结</w:t>
      </w:r>
      <w:r>
        <w:rPr>
          <w:rFonts w:hint="eastAsia"/>
        </w:rPr>
        <w:t>果</w:t>
      </w:r>
      <w:r>
        <w:rPr>
          <w:rFonts w:hint="eastAsia"/>
        </w:rPr>
        <w:t>。张建平，裘丽</w:t>
      </w:r>
      <w:r>
        <w:rPr>
          <w:rFonts w:hint="eastAsia"/>
        </w:rPr>
        <w:t>(2016)</w:t>
      </w:r>
      <w:r>
        <w:t>研究发现</w:t>
      </w:r>
      <w:r>
        <w:rPr>
          <w:rFonts w:hint="eastAsia"/>
        </w:rPr>
        <w:t>股权结构、代理成本都是会显著影响企业的经营绩效的因素，也就是说，第一大股东持股比例越高，企业经营绩效越好；代理成本越高，企业经营绩效越差</w:t>
      </w:r>
      <w:r>
        <w:rPr>
          <w:rFonts w:hint="eastAsia"/>
        </w:rPr>
        <w:t>。</w:t>
      </w:r>
    </w:p>
    <w:p w:rsidR="00C057F7" w:rsidRDefault="00264BD8">
      <w:pPr>
        <w:spacing w:line="400" w:lineRule="exact"/>
        <w:ind w:firstLine="420"/>
      </w:pPr>
      <w:r>
        <w:rPr>
          <w:rFonts w:hint="eastAsia"/>
        </w:rPr>
        <w:t>杨熠（</w:t>
      </w:r>
      <w:r>
        <w:rPr>
          <w:rFonts w:hint="eastAsia"/>
        </w:rPr>
        <w:t>2004</w:t>
      </w:r>
      <w:r>
        <w:rPr>
          <w:rFonts w:hint="eastAsia"/>
        </w:rPr>
        <w:t>）等对上市公司现金股利的研究显示，上市公司的自由现金流越多，现金股利的支付越能够减少代理成本，起到监督治理作用</w:t>
      </w:r>
      <w:r>
        <w:rPr>
          <w:rFonts w:hint="eastAsia"/>
        </w:rPr>
        <w:t>。</w:t>
      </w:r>
      <w:r>
        <w:rPr>
          <w:rFonts w:hint="eastAsia"/>
          <w:color w:val="000000"/>
        </w:rPr>
        <w:t>肖珉（</w:t>
      </w:r>
      <w:r>
        <w:rPr>
          <w:rFonts w:hint="eastAsia"/>
          <w:color w:val="000000"/>
        </w:rPr>
        <w:t>2005</w:t>
      </w:r>
      <w:r>
        <w:rPr>
          <w:rFonts w:hint="eastAsia"/>
          <w:color w:val="000000"/>
        </w:rPr>
        <w:t>）研究得出中国有些上市公司支付现金股利反而是为大股东转移资金提供机会，并不是因为想减少多余现金的需要</w:t>
      </w:r>
      <w:r>
        <w:rPr>
          <w:rFonts w:hint="eastAsia"/>
          <w:color w:val="000000"/>
        </w:rPr>
        <w:t>。</w:t>
      </w:r>
      <w:r>
        <w:rPr>
          <w:rFonts w:hint="eastAsia"/>
        </w:rPr>
        <w:t>李刚（</w:t>
      </w:r>
      <w:r>
        <w:rPr>
          <w:rFonts w:hint="eastAsia"/>
        </w:rPr>
        <w:t>2018</w:t>
      </w:r>
      <w:r>
        <w:rPr>
          <w:rFonts w:hint="eastAsia"/>
        </w:rPr>
        <w:t>）等认为提高现金股利分配比例在一定程度上能较好地降低控股股东代理成本，调节大股东与小股东之间的问题，从而改善企业绩效</w:t>
      </w:r>
      <w:r>
        <w:rPr>
          <w:rFonts w:hint="eastAsia"/>
        </w:rPr>
        <w:t>。周建和袁德利（</w:t>
      </w:r>
      <w:r>
        <w:rPr>
          <w:rFonts w:hint="eastAsia"/>
        </w:rPr>
        <w:t>2013</w:t>
      </w:r>
      <w:r>
        <w:rPr>
          <w:rFonts w:hint="eastAsia"/>
        </w:rPr>
        <w:t>）对沪深两市上市公司研究后发现，两类代理成本在不同的公司治理机制与企业绩效之间存在部分中介效应</w:t>
      </w:r>
      <w:r>
        <w:rPr>
          <w:rFonts w:hint="eastAsia"/>
        </w:rPr>
        <w:t>。徐宁和任天龙（</w:t>
      </w:r>
      <w:r>
        <w:rPr>
          <w:rFonts w:hint="eastAsia"/>
        </w:rPr>
        <w:t>2014</w:t>
      </w:r>
      <w:r>
        <w:rPr>
          <w:rFonts w:hint="eastAsia"/>
        </w:rPr>
        <w:t>）</w:t>
      </w:r>
      <w:r>
        <w:rPr>
          <w:rFonts w:hint="eastAsia"/>
        </w:rPr>
        <w:t>、陈文强以及贾生华（</w:t>
      </w:r>
      <w:r>
        <w:rPr>
          <w:rFonts w:hint="eastAsia"/>
        </w:rPr>
        <w:t>2015</w:t>
      </w:r>
      <w:r>
        <w:rPr>
          <w:rFonts w:hint="eastAsia"/>
        </w:rPr>
        <w:t>）</w:t>
      </w:r>
      <w:r>
        <w:rPr>
          <w:rFonts w:hint="eastAsia"/>
        </w:rPr>
        <w:t>认为，通过降低第一类代理成本可以影响公司治理机制从而提高公司绩效，但第二类代理成本没有体现出明显的中介效应。徐寿福和徐龙炳（</w:t>
      </w:r>
      <w:r>
        <w:rPr>
          <w:rFonts w:hint="eastAsia"/>
        </w:rPr>
        <w:t>2015</w:t>
      </w:r>
      <w:r>
        <w:rPr>
          <w:rFonts w:hint="eastAsia"/>
        </w:rPr>
        <w:t>）研究得出当上市公司异常派现时，现金股利支付并不能通过降低</w:t>
      </w:r>
      <w:r>
        <w:rPr>
          <w:rFonts w:hint="eastAsia"/>
        </w:rPr>
        <w:t>代理成本继而提高公司绩效，即只有当上市公司实施较为适度的正常派现行为时，现金股利政策的治理效应才得以显现</w:t>
      </w:r>
      <w:r>
        <w:rPr>
          <w:rFonts w:hint="eastAsia"/>
        </w:rPr>
        <w:t>。</w:t>
      </w:r>
    </w:p>
    <w:p w:rsidR="00C057F7" w:rsidRDefault="00264BD8">
      <w:pPr>
        <w:pStyle w:val="2"/>
        <w:tabs>
          <w:tab w:val="left" w:pos="0"/>
        </w:tabs>
        <w:spacing w:before="156" w:afterLines="0" w:line="400" w:lineRule="exact"/>
        <w:ind w:left="0" w:firstLine="0"/>
        <w:rPr>
          <w:rFonts w:ascii="Times New Roman" w:hAnsi="Times New Roman"/>
        </w:rPr>
      </w:pPr>
      <w:bookmarkStart w:id="11" w:name="_Toc20816"/>
      <w:bookmarkStart w:id="12" w:name="_Toc8383277"/>
      <w:r>
        <w:rPr>
          <w:rFonts w:ascii="Times New Roman" w:hAnsi="Times New Roman" w:hint="eastAsia"/>
        </w:rPr>
        <w:lastRenderedPageBreak/>
        <w:t>2.3</w:t>
      </w:r>
      <w:r>
        <w:rPr>
          <w:rFonts w:ascii="Times New Roman" w:hAnsi="Times New Roman" w:hint="eastAsia"/>
        </w:rPr>
        <w:t>文献评价</w:t>
      </w:r>
      <w:bookmarkEnd w:id="10"/>
      <w:bookmarkEnd w:id="11"/>
      <w:bookmarkEnd w:id="12"/>
    </w:p>
    <w:p w:rsidR="00C057F7" w:rsidRDefault="00264BD8">
      <w:pPr>
        <w:autoSpaceDE w:val="0"/>
        <w:autoSpaceDN w:val="0"/>
        <w:adjustRightInd w:val="0"/>
        <w:spacing w:line="400" w:lineRule="exact"/>
        <w:ind w:firstLine="420"/>
        <w:jc w:val="left"/>
        <w:rPr>
          <w:rFonts w:ascii="宋体" w:cs="宋体"/>
          <w:color w:val="000000"/>
          <w:szCs w:val="21"/>
        </w:rPr>
      </w:pPr>
      <w:bookmarkStart w:id="13" w:name="_Toc385787641"/>
      <w:r>
        <w:rPr>
          <w:color w:val="000000"/>
        </w:rPr>
        <w:t>股利政策</w:t>
      </w:r>
      <w:r>
        <w:rPr>
          <w:rFonts w:hint="eastAsia"/>
          <w:color w:val="000000"/>
        </w:rPr>
        <w:t>、代理成本</w:t>
      </w:r>
      <w:r>
        <w:rPr>
          <w:color w:val="000000"/>
        </w:rPr>
        <w:t>对公司绩效的影响</w:t>
      </w:r>
      <w:r>
        <w:rPr>
          <w:rFonts w:hint="eastAsia"/>
          <w:color w:val="000000"/>
        </w:rPr>
        <w:t>这一课题已经有了许多国内外学者的深入研究</w:t>
      </w:r>
      <w:r>
        <w:rPr>
          <w:color w:val="000000"/>
        </w:rPr>
        <w:t>，</w:t>
      </w:r>
      <w:r>
        <w:rPr>
          <w:rFonts w:ascii="宋体" w:hAnsi="宋体" w:cs="宋体" w:hint="eastAsia"/>
          <w:color w:val="000000"/>
          <w:szCs w:val="21"/>
        </w:rPr>
        <w:t>并进行了一系列的理论与实证分析，</w:t>
      </w:r>
      <w:r>
        <w:t>但是得出的结论并</w:t>
      </w:r>
      <w:r>
        <w:rPr>
          <w:rFonts w:hint="eastAsia"/>
        </w:rPr>
        <w:t>全</w:t>
      </w:r>
      <w:r>
        <w:t>不一致。</w:t>
      </w:r>
      <w:r>
        <w:rPr>
          <w:rFonts w:ascii="宋体" w:hAnsi="宋体" w:cs="宋体" w:hint="eastAsia"/>
          <w:color w:val="000000"/>
          <w:szCs w:val="21"/>
        </w:rPr>
        <w:t>这是基于很多因素造成的，如</w:t>
      </w:r>
      <w:r>
        <w:t>研究方法、研究角度、样本选取</w:t>
      </w:r>
      <w:r>
        <w:rPr>
          <w:rFonts w:hint="eastAsia"/>
        </w:rPr>
        <w:t>的</w:t>
      </w:r>
      <w:r>
        <w:t>不同</w:t>
      </w:r>
      <w:r>
        <w:rPr>
          <w:rFonts w:hint="eastAsia"/>
        </w:rPr>
        <w:t>，以及</w:t>
      </w:r>
      <w:r>
        <w:rPr>
          <w:rFonts w:ascii="宋体" w:hAnsi="宋体" w:cs="宋体" w:hint="eastAsia"/>
          <w:color w:val="000000"/>
          <w:szCs w:val="21"/>
        </w:rPr>
        <w:t>国家政治体制的、经济发展程度、资本市场发展程度的不同，文化、法律制度、行业发展、行业特征的不同等等。</w:t>
      </w:r>
      <w:r>
        <w:rPr>
          <w:rFonts w:ascii="宋体" w:cs="宋体" w:hint="eastAsia"/>
          <w:color w:val="000000"/>
          <w:szCs w:val="21"/>
        </w:rPr>
        <w:t>通过对国内外文献进行分析回顾，目前这方面的研究还存在一些缺陷：</w:t>
      </w:r>
    </w:p>
    <w:p w:rsidR="00C057F7" w:rsidRDefault="00264BD8">
      <w:pPr>
        <w:autoSpaceDE w:val="0"/>
        <w:autoSpaceDN w:val="0"/>
        <w:adjustRightInd w:val="0"/>
        <w:spacing w:line="400" w:lineRule="atLeast"/>
        <w:ind w:firstLine="420"/>
        <w:jc w:val="left"/>
        <w:rPr>
          <w:szCs w:val="21"/>
        </w:rPr>
      </w:pPr>
      <w:r>
        <w:rPr>
          <w:szCs w:val="21"/>
        </w:rPr>
        <w:t>（</w:t>
      </w:r>
      <w:r>
        <w:rPr>
          <w:szCs w:val="21"/>
        </w:rPr>
        <w:t>1</w:t>
      </w:r>
      <w:r>
        <w:rPr>
          <w:szCs w:val="21"/>
        </w:rPr>
        <w:t>）</w:t>
      </w:r>
      <w:r>
        <w:rPr>
          <w:rFonts w:hint="eastAsia"/>
          <w:szCs w:val="21"/>
        </w:rPr>
        <w:t>由于股利政策和相关法律法规不同时期有所不同，得到的研究结论亦不同。</w:t>
      </w:r>
    </w:p>
    <w:p w:rsidR="00C057F7" w:rsidRDefault="00264BD8">
      <w:pPr>
        <w:autoSpaceDE w:val="0"/>
        <w:autoSpaceDN w:val="0"/>
        <w:adjustRightInd w:val="0"/>
        <w:spacing w:line="400" w:lineRule="atLeast"/>
        <w:ind w:firstLine="420"/>
        <w:jc w:val="left"/>
        <w:rPr>
          <w:rFonts w:ascii="宋体" w:cs="宋体"/>
          <w:szCs w:val="21"/>
        </w:rPr>
      </w:pPr>
      <w:r>
        <w:rPr>
          <w:szCs w:val="21"/>
        </w:rPr>
        <w:t>（</w:t>
      </w:r>
      <w:r>
        <w:rPr>
          <w:rFonts w:hint="eastAsia"/>
          <w:szCs w:val="21"/>
        </w:rPr>
        <w:t>2</w:t>
      </w:r>
      <w:r>
        <w:rPr>
          <w:szCs w:val="21"/>
        </w:rPr>
        <w:t>）</w:t>
      </w:r>
      <w:r>
        <w:rPr>
          <w:rFonts w:hint="eastAsia"/>
          <w:szCs w:val="21"/>
        </w:rPr>
        <w:t>用于研究的样本选择还不够科学。事实上，能</w:t>
      </w:r>
      <w:r>
        <w:rPr>
          <w:rFonts w:ascii="宋体" w:cs="宋体" w:hint="eastAsia"/>
          <w:szCs w:val="21"/>
        </w:rPr>
        <w:t>影响公司绩效的因素很多也很复杂，每个公司的具体情况也有所不同，选择不同的样本得到的结果也有很大的差异，但是在实际研究中，将所有可能的影响因素都考虑全面是非常困难的。</w:t>
      </w:r>
    </w:p>
    <w:p w:rsidR="00C057F7" w:rsidRDefault="00264BD8">
      <w:pPr>
        <w:autoSpaceDE w:val="0"/>
        <w:autoSpaceDN w:val="0"/>
        <w:adjustRightInd w:val="0"/>
        <w:spacing w:line="400" w:lineRule="atLeast"/>
        <w:ind w:firstLine="420"/>
        <w:jc w:val="left"/>
        <w:rPr>
          <w:szCs w:val="21"/>
        </w:rPr>
      </w:pPr>
      <w:r>
        <w:rPr>
          <w:rFonts w:hint="eastAsia"/>
          <w:szCs w:val="21"/>
        </w:rPr>
        <w:t>（</w:t>
      </w:r>
      <w:r>
        <w:rPr>
          <w:rFonts w:hint="eastAsia"/>
          <w:szCs w:val="21"/>
        </w:rPr>
        <w:t>3</w:t>
      </w:r>
      <w:r>
        <w:rPr>
          <w:rFonts w:hint="eastAsia"/>
          <w:szCs w:val="21"/>
        </w:rPr>
        <w:t>）</w:t>
      </w:r>
      <w:r>
        <w:rPr>
          <w:rFonts w:ascii="Verdana" w:hAnsi="Verdana"/>
          <w:szCs w:val="21"/>
        </w:rPr>
        <w:t>到</w:t>
      </w:r>
      <w:r>
        <w:rPr>
          <w:rFonts w:ascii="Verdana" w:hAnsi="Verdana" w:hint="eastAsia"/>
          <w:szCs w:val="21"/>
        </w:rPr>
        <w:t>目前</w:t>
      </w:r>
      <w:r>
        <w:rPr>
          <w:rFonts w:ascii="Verdana" w:hAnsi="Verdana"/>
          <w:szCs w:val="21"/>
        </w:rPr>
        <w:t>为止，我国学者</w:t>
      </w:r>
      <w:r>
        <w:rPr>
          <w:rFonts w:ascii="Verdana" w:hAnsi="Verdana" w:hint="eastAsia"/>
          <w:szCs w:val="21"/>
        </w:rPr>
        <w:t>对代理成本的研究也很丰富</w:t>
      </w:r>
      <w:r>
        <w:rPr>
          <w:rFonts w:ascii="Verdana" w:hAnsi="Verdana"/>
          <w:szCs w:val="21"/>
        </w:rPr>
        <w:t>，但</w:t>
      </w:r>
      <w:r>
        <w:rPr>
          <w:rFonts w:ascii="Verdana" w:hAnsi="Verdana" w:hint="eastAsia"/>
          <w:szCs w:val="21"/>
        </w:rPr>
        <w:t>是开始</w:t>
      </w:r>
      <w:r>
        <w:rPr>
          <w:rFonts w:ascii="Verdana" w:hAnsi="Verdana"/>
          <w:szCs w:val="21"/>
        </w:rPr>
        <w:t>实证研究较晚</w:t>
      </w:r>
      <w:r>
        <w:rPr>
          <w:rFonts w:ascii="Verdana" w:hAnsi="Verdana" w:hint="eastAsia"/>
          <w:szCs w:val="21"/>
        </w:rPr>
        <w:t>。</w:t>
      </w:r>
    </w:p>
    <w:p w:rsidR="00C057F7" w:rsidRDefault="00264BD8">
      <w:pPr>
        <w:autoSpaceDE w:val="0"/>
        <w:autoSpaceDN w:val="0"/>
        <w:adjustRightInd w:val="0"/>
        <w:spacing w:line="400" w:lineRule="atLeast"/>
        <w:ind w:firstLine="420"/>
        <w:jc w:val="left"/>
        <w:rPr>
          <w:rFonts w:ascii="Verdana" w:hAnsi="Verdana"/>
          <w:szCs w:val="21"/>
        </w:rPr>
      </w:pPr>
      <w:r>
        <w:rPr>
          <w:rFonts w:hint="eastAsia"/>
        </w:rPr>
        <w:t>（</w:t>
      </w:r>
      <w:r>
        <w:rPr>
          <w:rFonts w:hint="eastAsia"/>
        </w:rPr>
        <w:t>4</w:t>
      </w:r>
      <w:r>
        <w:rPr>
          <w:rFonts w:hint="eastAsia"/>
        </w:rPr>
        <w:t>）将现金股利政策、代理成本和公司绩效三者一同纳入一个框架中进行的研究不太多见。</w:t>
      </w:r>
    </w:p>
    <w:p w:rsidR="00C057F7" w:rsidRDefault="00264BD8">
      <w:pPr>
        <w:autoSpaceDE w:val="0"/>
        <w:autoSpaceDN w:val="0"/>
        <w:adjustRightInd w:val="0"/>
        <w:spacing w:line="400" w:lineRule="atLeast"/>
        <w:ind w:firstLine="420"/>
        <w:jc w:val="left"/>
        <w:rPr>
          <w:rFonts w:ascii="Verdana" w:hAnsi="Verdana"/>
          <w:szCs w:val="21"/>
        </w:rPr>
      </w:pPr>
      <w:r>
        <w:rPr>
          <w:rFonts w:ascii="Verdana" w:hAnsi="Verdana" w:hint="eastAsia"/>
          <w:szCs w:val="21"/>
        </w:rPr>
        <w:t>因此，在结合本国的特色的同时，也借鉴一些国外的经验，通过对公司绩效研究，</w:t>
      </w:r>
      <w:r>
        <w:rPr>
          <w:rFonts w:ascii="Verdana" w:hAnsi="Verdana" w:hint="eastAsia"/>
          <w:szCs w:val="21"/>
        </w:rPr>
        <w:t>给我国的上市公司更好的建议，同时也能更好地利用现金股利政策和代理成本来提高效率，促进中国经济更好的发展。</w:t>
      </w:r>
    </w:p>
    <w:p w:rsidR="00C057F7" w:rsidRDefault="00264BD8" w:rsidP="000A5B3C">
      <w:pPr>
        <w:pStyle w:val="1"/>
        <w:spacing w:beforeLines="50" w:afterLines="50"/>
        <w:rPr>
          <w:szCs w:val="21"/>
        </w:rPr>
      </w:pPr>
      <w:bookmarkStart w:id="14" w:name="_Toc8383278"/>
      <w:bookmarkStart w:id="15" w:name="_Toc25141"/>
      <w:bookmarkStart w:id="16" w:name="_Toc10089"/>
      <w:bookmarkStart w:id="17" w:name="_Toc385787644"/>
      <w:bookmarkEnd w:id="13"/>
      <w:r>
        <w:rPr>
          <w:rFonts w:hint="eastAsia"/>
          <w:szCs w:val="21"/>
        </w:rPr>
        <w:t>3</w:t>
      </w:r>
      <w:r>
        <w:rPr>
          <w:rFonts w:hint="eastAsia"/>
          <w:szCs w:val="21"/>
        </w:rPr>
        <w:t>理论分析与研究假设</w:t>
      </w:r>
      <w:bookmarkEnd w:id="14"/>
      <w:bookmarkEnd w:id="15"/>
    </w:p>
    <w:p w:rsidR="00C057F7" w:rsidRDefault="00264BD8">
      <w:pPr>
        <w:ind w:firstLine="420"/>
      </w:pPr>
      <w:r>
        <w:rPr>
          <w:rFonts w:hint="eastAsia"/>
        </w:rPr>
        <w:t>股利政策是指公司股东大会或董事会对一切与股利有关的事项，主要关于</w:t>
      </w:r>
      <w:r>
        <w:rPr>
          <w:rFonts w:hint="eastAsia"/>
          <w:color w:val="000000"/>
        </w:rPr>
        <w:t>发放股利方面采取的方针和策略。股利政策有广义和狭义之分，</w:t>
      </w:r>
      <w:r>
        <w:rPr>
          <w:rFonts w:hint="eastAsia"/>
        </w:rPr>
        <w:t>从狭义方面来说的股利政策就是关于保留还是支付股利的比例关系问题；而广义的股利政策则包括决定股利发放比例、确定股利宣布的日期、股利发放时的筹集资金等等问题。而现金股利政策是我国企业分配股利的其中一种方式，它是以支付货币的方式给股东支付股息红利的一种政策。本文用现金股</w:t>
      </w:r>
      <w:r>
        <w:rPr>
          <w:rFonts w:hint="eastAsia"/>
        </w:rPr>
        <w:t>利支付率（</w:t>
      </w:r>
      <w:r>
        <w:rPr>
          <w:rFonts w:hint="eastAsia"/>
        </w:rPr>
        <w:t>DE</w:t>
      </w:r>
      <w:r>
        <w:rPr>
          <w:rFonts w:hint="eastAsia"/>
        </w:rPr>
        <w:t>）来代表现金股利政策。公司绩效也有广义和狭义之分。广义的绩效是根据公司不同的经营情况，采用不同定性或定量的方法对绩效进行分析与评价；而狭义的绩效评价的对象主要是具体的财务指标。本文主要以盈利能力来评价公司绩效，我们常用来评价盈利</w:t>
      </w:r>
      <w:r>
        <w:rPr>
          <w:color w:val="231F20"/>
          <w:position w:val="1"/>
        </w:rPr>
        <w:t>能力</w:t>
      </w:r>
      <w:r>
        <w:rPr>
          <w:rFonts w:hint="eastAsia"/>
        </w:rPr>
        <w:t>的指标主要有总资产回报率（</w:t>
      </w:r>
      <w:r>
        <w:rPr>
          <w:rFonts w:hint="eastAsia"/>
        </w:rPr>
        <w:t>ROA</w:t>
      </w:r>
      <w:r>
        <w:rPr>
          <w:rFonts w:hint="eastAsia"/>
        </w:rPr>
        <w:t>）、净资产收益率（</w:t>
      </w:r>
      <w:r>
        <w:rPr>
          <w:rFonts w:hint="eastAsia"/>
        </w:rPr>
        <w:t>ROE</w:t>
      </w:r>
      <w:r>
        <w:rPr>
          <w:rFonts w:hint="eastAsia"/>
        </w:rPr>
        <w:t>）等。本文根据总资产回报率（</w:t>
      </w:r>
      <w:r>
        <w:rPr>
          <w:rFonts w:hint="eastAsia"/>
        </w:rPr>
        <w:t>ROA</w:t>
      </w:r>
      <w:r>
        <w:rPr>
          <w:rFonts w:hint="eastAsia"/>
        </w:rPr>
        <w:t>）来研究。当企业的经营状况较好时</w:t>
      </w:r>
      <w:r>
        <w:rPr>
          <w:rFonts w:hint="eastAsia"/>
          <w:color w:val="000000"/>
        </w:rPr>
        <w:t>，净盈利会增加，</w:t>
      </w:r>
      <w:r>
        <w:rPr>
          <w:rFonts w:hint="eastAsia"/>
        </w:rPr>
        <w:t>当总资产不变时，则企业内部净资产收益率会随着净盈利的增加而增加，</w:t>
      </w:r>
      <w:r>
        <w:rPr>
          <w:rFonts w:hint="eastAsia"/>
          <w:color w:val="000000"/>
        </w:rPr>
        <w:t>分配现金股利的几率就会越高。</w:t>
      </w:r>
      <w:r>
        <w:rPr>
          <w:rFonts w:hint="eastAsia"/>
        </w:rPr>
        <w:t>此时公司正常派现，</w:t>
      </w:r>
      <w:r>
        <w:rPr>
          <w:rFonts w:hint="eastAsia"/>
        </w:rPr>
        <w:t xml:space="preserve"> </w:t>
      </w:r>
      <w:r>
        <w:rPr>
          <w:rFonts w:hint="eastAsia"/>
        </w:rPr>
        <w:t>同时也在向投资者</w:t>
      </w:r>
      <w:r>
        <w:rPr>
          <w:rFonts w:hint="eastAsia"/>
        </w:rPr>
        <w:t>传递公司发展良好的信号。“税差理论”也提出上市公司的股票价格越高，则现金分红比例越低，而且现金分红比例越高，权益资本成本越高，公司绩效越好。基于上述分析，提出假设</w:t>
      </w:r>
      <w:r>
        <w:rPr>
          <w:rFonts w:hint="eastAsia"/>
        </w:rPr>
        <w:t xml:space="preserve"> 1</w:t>
      </w:r>
      <w:r>
        <w:rPr>
          <w:rFonts w:hint="eastAsia"/>
        </w:rPr>
        <w:t>：</w:t>
      </w:r>
    </w:p>
    <w:p w:rsidR="00C057F7" w:rsidRDefault="00264BD8">
      <w:pPr>
        <w:ind w:firstLine="420"/>
      </w:pPr>
      <w:r>
        <w:rPr>
          <w:rFonts w:hint="eastAsia"/>
        </w:rPr>
        <w:t>H1</w:t>
      </w:r>
      <w:r>
        <w:rPr>
          <w:rFonts w:hint="eastAsia"/>
        </w:rPr>
        <w:t>：现金股利与企业绩效存在显著的正相关关系，提高现金股利有利于改进公司绩效。</w:t>
      </w:r>
    </w:p>
    <w:p w:rsidR="00C057F7" w:rsidRDefault="00264BD8">
      <w:pPr>
        <w:ind w:firstLine="420"/>
      </w:pPr>
      <w:r>
        <w:rPr>
          <w:rFonts w:hint="eastAsia"/>
        </w:rPr>
        <w:t>代理成本是资产不同权之间分配时产生的费用。代理成本的产生是由于资产所有权与使用权的分离产生了委托代理关系，这种关系是代理成本的基础。代理成本分为两类，第一类代理成本和第二类代理成本分别产生在股东与代理人之间、大股东与小股东之间。本文用管理费用率（</w:t>
      </w:r>
      <w:r>
        <w:rPr>
          <w:rFonts w:hint="eastAsia"/>
        </w:rPr>
        <w:t>MNFEE</w:t>
      </w:r>
      <w:r>
        <w:rPr>
          <w:rFonts w:hint="eastAsia"/>
        </w:rPr>
        <w:t>）代表</w:t>
      </w:r>
      <w:r>
        <w:rPr>
          <w:rFonts w:hint="eastAsia"/>
        </w:rPr>
        <w:t>第一类代理成本，用应收账款占总资产的比例（</w:t>
      </w:r>
      <w:r>
        <w:rPr>
          <w:rFonts w:hint="eastAsia"/>
        </w:rPr>
        <w:t>ACCRT</w:t>
      </w:r>
      <w:r>
        <w:rPr>
          <w:rFonts w:hint="eastAsia"/>
        </w:rPr>
        <w:t>）代表第二类代理成本。</w:t>
      </w:r>
      <w:r>
        <w:rPr>
          <w:rFonts w:hint="eastAsia"/>
        </w:rPr>
        <w:lastRenderedPageBreak/>
        <w:t>在这种两权分离的形式下，股东通常不直接参与企业的日常运营，股东与管理层之间的目标又存在差异，这就导致了股东与管理者之间的信息不对称，股东自然追求股东财富的最大化，而管理者拥有更多的可支配资金时和自由，通常会追求私人利益而进行过度投资，在不同程度上牺牲股东的利益，倾向于投资能够扩大企业规模的非盈利项目来达到个人利益最大化，或通过在职消费来侵占企业资产，损害企业的经营绩效。同时大股东有动机利用权力掏空企业或者联合高管侵占中小股东的利益，同</w:t>
      </w:r>
      <w:r>
        <w:rPr>
          <w:rFonts w:hint="eastAsia"/>
        </w:rPr>
        <w:t>样也会导致代理成本的增加，减少股东与管理者之间的利益冲突必然会产生代理成本，同时现金股利的支付可以在一定程度上减少代理成本。基于上述分析，提出假设</w:t>
      </w:r>
      <w:r>
        <w:rPr>
          <w:rFonts w:hint="eastAsia"/>
        </w:rPr>
        <w:t xml:space="preserve"> 2</w:t>
      </w:r>
      <w:r>
        <w:rPr>
          <w:rFonts w:hint="eastAsia"/>
        </w:rPr>
        <w:t>：</w:t>
      </w:r>
    </w:p>
    <w:p w:rsidR="00C057F7" w:rsidRDefault="00264BD8">
      <w:pPr>
        <w:ind w:firstLine="420"/>
      </w:pPr>
      <w:r>
        <w:rPr>
          <w:rFonts w:hint="eastAsia"/>
        </w:rPr>
        <w:t>H2</w:t>
      </w:r>
      <w:r>
        <w:rPr>
          <w:rFonts w:hint="eastAsia"/>
        </w:rPr>
        <w:t>：代理成本与现金股利存在显著负相关关系，提高现金股利有利于降低代理成本。</w:t>
      </w:r>
    </w:p>
    <w:p w:rsidR="00C057F7" w:rsidRDefault="00264BD8">
      <w:pPr>
        <w:ind w:firstLine="420"/>
      </w:pPr>
      <w:r>
        <w:rPr>
          <w:rFonts w:hint="eastAsia"/>
        </w:rPr>
        <w:t>现金股利政策也作为重要的公司治理机制，会影响公司内部治理结构，据上文分析，现金股利的支付在一定程度上能增加公司绩效。现金股利的支付又能够减少代理成本，发挥监督治理的作用，代理成本的支付从而又会使公司绩效降低，因此我们推断现金股利可能通过影响代理成本进来影响公司绩效。据于此，我们认</w:t>
      </w:r>
      <w:r>
        <w:rPr>
          <w:rFonts w:hint="eastAsia"/>
        </w:rPr>
        <w:t>为两类代理成本可能在现金股利对公司绩效的影响过程中存在一种传导中介效应。基于上述分析，提出假设</w:t>
      </w:r>
      <w:r>
        <w:rPr>
          <w:rFonts w:hint="eastAsia"/>
        </w:rPr>
        <w:t>3</w:t>
      </w:r>
      <w:r>
        <w:rPr>
          <w:rFonts w:hint="eastAsia"/>
        </w:rPr>
        <w:t>：</w:t>
      </w:r>
    </w:p>
    <w:p w:rsidR="00C057F7" w:rsidRDefault="00264BD8">
      <w:pPr>
        <w:ind w:firstLine="420"/>
      </w:pPr>
      <w:r>
        <w:rPr>
          <w:rFonts w:hint="eastAsia"/>
        </w:rPr>
        <w:t>H3</w:t>
      </w:r>
      <w:r>
        <w:rPr>
          <w:rFonts w:hint="eastAsia"/>
        </w:rPr>
        <w:t>：代理成本在现金股利影响公司绩效的过程中发挥中介作用。</w:t>
      </w:r>
    </w:p>
    <w:p w:rsidR="00C057F7" w:rsidRDefault="00264BD8" w:rsidP="000A5B3C">
      <w:pPr>
        <w:pStyle w:val="1"/>
        <w:spacing w:beforeLines="50" w:afterLines="50"/>
      </w:pPr>
      <w:bookmarkStart w:id="18" w:name="_Toc385787642"/>
      <w:bookmarkStart w:id="19" w:name="_Toc12811"/>
      <w:bookmarkStart w:id="20" w:name="_Toc8383279"/>
      <w:r>
        <w:rPr>
          <w:rFonts w:hint="eastAsia"/>
          <w:szCs w:val="21"/>
        </w:rPr>
        <w:t>4</w:t>
      </w:r>
      <w:r>
        <w:rPr>
          <w:rFonts w:hint="eastAsia"/>
          <w:szCs w:val="21"/>
        </w:rPr>
        <w:t>研究设计</w:t>
      </w:r>
      <w:bookmarkEnd w:id="18"/>
      <w:bookmarkEnd w:id="19"/>
      <w:bookmarkEnd w:id="20"/>
    </w:p>
    <w:p w:rsidR="00C057F7" w:rsidRDefault="00264BD8">
      <w:pPr>
        <w:pStyle w:val="2"/>
        <w:tabs>
          <w:tab w:val="left" w:pos="0"/>
        </w:tabs>
        <w:spacing w:before="156" w:afterLines="0" w:line="400" w:lineRule="exact"/>
        <w:ind w:left="0" w:firstLine="0"/>
      </w:pPr>
      <w:bookmarkStart w:id="21" w:name="_Toc29927"/>
      <w:bookmarkStart w:id="22" w:name="_Toc385787643"/>
      <w:bookmarkStart w:id="23" w:name="_Toc8383280"/>
      <w:r>
        <w:rPr>
          <w:rFonts w:ascii="Times New Roman" w:hAnsi="Times New Roman" w:hint="eastAsia"/>
        </w:rPr>
        <w:t>4.1</w:t>
      </w:r>
      <w:r>
        <w:rPr>
          <w:rFonts w:ascii="Times New Roman" w:hAnsi="Times New Roman" w:hint="eastAsia"/>
        </w:rPr>
        <w:t>样本与数据来源</w:t>
      </w:r>
      <w:bookmarkEnd w:id="21"/>
      <w:bookmarkEnd w:id="22"/>
      <w:bookmarkEnd w:id="23"/>
    </w:p>
    <w:p w:rsidR="00C057F7" w:rsidRDefault="00264BD8">
      <w:pPr>
        <w:spacing w:line="400" w:lineRule="exact"/>
        <w:ind w:firstLine="420"/>
      </w:pPr>
      <w:r>
        <w:rPr>
          <w:rFonts w:ascii="宋体" w:hAnsi="宋体" w:cs="宋体" w:hint="eastAsia"/>
        </w:rPr>
        <w:t>本文的主要研究样本为</w:t>
      </w:r>
      <w:r>
        <w:t>201</w:t>
      </w:r>
      <w:r>
        <w:rPr>
          <w:rFonts w:hint="eastAsia"/>
        </w:rPr>
        <w:t>5</w:t>
      </w:r>
      <w:r>
        <w:t>-201</w:t>
      </w:r>
      <w:r>
        <w:rPr>
          <w:rFonts w:hint="eastAsia"/>
        </w:rPr>
        <w:t>7</w:t>
      </w:r>
      <w:r>
        <w:rPr>
          <w:rFonts w:ascii="宋体" w:hAnsi="宋体" w:cs="宋体" w:hint="eastAsia"/>
        </w:rPr>
        <w:t>年的沪深两地上市公司。为了数据的有效性，剔除了异常样本，本文剔除了以下样本：第一，剔除了无法完整取得数据的样本。第二，剔除了金融类以及保险类行业的样本，防止由于会计处理方法的不同导致对研究结果准确性的影响。第三，剔除了</w:t>
      </w:r>
      <w:r>
        <w:t>B</w:t>
      </w:r>
      <w:r>
        <w:rPr>
          <w:rFonts w:ascii="宋体" w:hAnsi="宋体" w:cs="宋体" w:hint="eastAsia"/>
        </w:rPr>
        <w:t>股、</w:t>
      </w:r>
      <w:r>
        <w:t>H</w:t>
      </w:r>
      <w:r>
        <w:rPr>
          <w:rFonts w:ascii="宋体" w:hAnsi="宋体" w:cs="宋体" w:hint="eastAsia"/>
        </w:rPr>
        <w:t>股的样本。第四，剔除了</w:t>
      </w:r>
      <w:r>
        <w:t>ST</w:t>
      </w:r>
      <w:r>
        <w:rPr>
          <w:rFonts w:ascii="宋体" w:hAnsi="宋体" w:cs="宋体" w:hint="eastAsia"/>
        </w:rPr>
        <w:t>的公司的样本数据。第五，剔除了数据缺失的样本。最终得到</w:t>
      </w:r>
      <w:r>
        <w:rPr>
          <w:rFonts w:hint="eastAsia"/>
        </w:rPr>
        <w:t>6808</w:t>
      </w:r>
      <w:r>
        <w:rPr>
          <w:rFonts w:ascii="宋体" w:hAnsi="宋体" w:cs="宋体" w:hint="eastAsia"/>
        </w:rPr>
        <w:t>个样本值。本文主要是从国泰安（</w:t>
      </w:r>
      <w:r>
        <w:t>CSMAR</w:t>
      </w:r>
      <w:r>
        <w:rPr>
          <w:rFonts w:ascii="宋体" w:hAnsi="宋体" w:cs="宋体" w:hint="eastAsia"/>
        </w:rPr>
        <w:t>）数据库中提取的相关变量，现金股利政策的数据来自于万德（</w:t>
      </w:r>
      <w:r>
        <w:rPr>
          <w:rFonts w:hint="eastAsia"/>
        </w:rPr>
        <w:t>WIND</w:t>
      </w:r>
      <w:r>
        <w:rPr>
          <w:rFonts w:ascii="宋体" w:hAnsi="宋体" w:cs="宋体" w:hint="eastAsia"/>
        </w:rPr>
        <w:t>）数据库。本文运用</w:t>
      </w:r>
      <w:r>
        <w:t>SPSS</w:t>
      </w:r>
      <w:r>
        <w:rPr>
          <w:rFonts w:hint="eastAsia"/>
        </w:rPr>
        <w:t>20</w:t>
      </w:r>
      <w:r>
        <w:t>.0</w:t>
      </w:r>
      <w:r>
        <w:rPr>
          <w:rFonts w:ascii="宋体" w:hAnsi="宋体" w:cs="宋体" w:hint="eastAsia"/>
        </w:rPr>
        <w:t>软件对样本进行数据分析。</w:t>
      </w:r>
    </w:p>
    <w:p w:rsidR="00C057F7" w:rsidRDefault="00264BD8">
      <w:pPr>
        <w:pStyle w:val="2"/>
        <w:tabs>
          <w:tab w:val="left" w:pos="0"/>
        </w:tabs>
        <w:spacing w:before="156" w:afterLines="0" w:line="400" w:lineRule="exact"/>
        <w:ind w:left="0" w:firstLine="0"/>
      </w:pPr>
      <w:bookmarkStart w:id="24" w:name="_Toc8383281"/>
      <w:r>
        <w:rPr>
          <w:rFonts w:ascii="Times New Roman" w:hAnsi="Times New Roman" w:hint="eastAsia"/>
        </w:rPr>
        <w:t>4.2</w:t>
      </w:r>
      <w:r>
        <w:rPr>
          <w:rFonts w:ascii="Times New Roman" w:hAnsi="Times New Roman" w:hint="eastAsia"/>
        </w:rPr>
        <w:t>模型设定与变量定义</w:t>
      </w:r>
      <w:bookmarkEnd w:id="16"/>
      <w:bookmarkEnd w:id="17"/>
      <w:bookmarkEnd w:id="24"/>
    </w:p>
    <w:p w:rsidR="00C057F7" w:rsidRDefault="00264BD8">
      <w:pPr>
        <w:spacing w:line="400" w:lineRule="exact"/>
        <w:ind w:firstLine="420"/>
      </w:pPr>
      <w:r>
        <w:rPr>
          <w:rFonts w:hint="eastAsia"/>
        </w:rPr>
        <w:t>本文采用多元回归分析对现金股利政策、代理成本和公司绩效的之间关系进行研究。根据本文假设，回归模型如下所示：</w:t>
      </w:r>
    </w:p>
    <w:p w:rsidR="00C057F7" w:rsidRDefault="00264BD8">
      <w:pPr>
        <w:ind w:firstLineChars="0" w:firstLine="0"/>
      </w:pPr>
      <w:r>
        <w:rPr>
          <w:rFonts w:hint="eastAsia"/>
        </w:rPr>
        <w:t>模型（</w:t>
      </w:r>
      <w:r>
        <w:t>1</w:t>
      </w:r>
      <w:r>
        <w:rPr>
          <w:rFonts w:hint="eastAsia"/>
        </w:rPr>
        <w:t>）：</w:t>
      </w:r>
    </w:p>
    <w:p w:rsidR="00C057F7" w:rsidRDefault="00C057F7">
      <w:pPr>
        <w:ind w:firstLineChars="0" w:firstLine="0"/>
        <w:rPr>
          <w:rFonts w:ascii="Arial" w:hAnsi="Arial"/>
          <w:color w:val="231F20"/>
        </w:rPr>
      </w:pPr>
      <w:r w:rsidRPr="00C057F7">
        <w:rPr>
          <w:rFonts w:ascii="Arial" w:hAnsi="Arial"/>
          <w:color w:val="231F20"/>
          <w:position w:val="-14"/>
        </w:rPr>
        <w:object w:dxaOrig="79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0.25pt" o:ole="">
            <v:imagedata r:id="rId7" o:title=""/>
          </v:shape>
          <o:OLEObject Type="Embed" ProgID="Equations" ShapeID="_x0000_i1025" DrawAspect="Content" ObjectID="_1620027812" r:id="rId8"/>
        </w:object>
      </w:r>
      <w:r w:rsidR="00264BD8">
        <w:rPr>
          <w:rFonts w:ascii="Arial" w:hAnsi="Arial" w:hint="eastAsia"/>
          <w:color w:val="231F20"/>
          <w:position w:val="-14"/>
        </w:rPr>
        <w:t xml:space="preserve">                                               </w:t>
      </w:r>
      <w:r w:rsidR="00264BD8">
        <w:rPr>
          <w:rFonts w:ascii="Arial" w:hAnsi="Arial" w:hint="eastAsia"/>
          <w:color w:val="231F20"/>
          <w:position w:val="-14"/>
        </w:rPr>
        <w:t xml:space="preserve">                                                                                                 </w:t>
      </w:r>
      <w:r w:rsidR="00264BD8">
        <w:rPr>
          <w:rFonts w:hint="eastAsia"/>
        </w:rPr>
        <w:t>（</w:t>
      </w:r>
      <w:r w:rsidR="00264BD8">
        <w:t>1</w:t>
      </w:r>
      <w:r w:rsidR="00264BD8">
        <w:rPr>
          <w:rFonts w:hint="eastAsia"/>
        </w:rPr>
        <w:t>）</w:t>
      </w:r>
    </w:p>
    <w:p w:rsidR="00C057F7" w:rsidRDefault="00264BD8">
      <w:pPr>
        <w:ind w:firstLineChars="0" w:firstLine="0"/>
      </w:pPr>
      <w:r>
        <w:rPr>
          <w:rFonts w:hint="eastAsia"/>
        </w:rPr>
        <w:t>模型（</w:t>
      </w:r>
      <w:r>
        <w:t>2</w:t>
      </w:r>
      <w:r>
        <w:rPr>
          <w:rFonts w:hint="eastAsia"/>
        </w:rPr>
        <w:t>）：</w:t>
      </w:r>
    </w:p>
    <w:p w:rsidR="00C057F7" w:rsidRDefault="00C057F7">
      <w:pPr>
        <w:ind w:leftChars="2" w:left="4" w:firstLineChars="0" w:firstLine="0"/>
        <w:rPr>
          <w:rFonts w:ascii="Arial" w:hAnsi="Arial"/>
          <w:color w:val="231F20"/>
        </w:rPr>
      </w:pPr>
      <w:r w:rsidRPr="00C057F7">
        <w:rPr>
          <w:rFonts w:hint="eastAsia"/>
          <w:position w:val="-14"/>
        </w:rPr>
        <w:object w:dxaOrig="7520" w:dyaOrig="400">
          <v:shape id="_x0000_i1026" type="#_x0000_t75" style="width:457.5pt;height:19.5pt" o:ole="">
            <v:imagedata r:id="rId9" o:title=""/>
          </v:shape>
          <o:OLEObject Type="Embed" ProgID="Equations" ShapeID="_x0000_i1026" DrawAspect="Content" ObjectID="_1620027813" r:id="rId10"/>
        </w:object>
      </w:r>
      <w:r w:rsidR="00264BD8">
        <w:rPr>
          <w:rFonts w:hint="eastAsia"/>
          <w:position w:val="-14"/>
        </w:rPr>
        <w:t xml:space="preserve">                                                                                                                                                               </w:t>
      </w:r>
      <w:r w:rsidR="00264BD8">
        <w:rPr>
          <w:rFonts w:hint="eastAsia"/>
        </w:rPr>
        <w:t>（</w:t>
      </w:r>
      <w:r w:rsidR="00264BD8">
        <w:t>2</w:t>
      </w:r>
      <w:r w:rsidR="00264BD8">
        <w:rPr>
          <w:rFonts w:hint="eastAsia"/>
        </w:rPr>
        <w:t>a</w:t>
      </w:r>
      <w:r w:rsidR="00264BD8">
        <w:rPr>
          <w:rFonts w:hint="eastAsia"/>
        </w:rPr>
        <w:t>）</w:t>
      </w:r>
    </w:p>
    <w:p w:rsidR="00C057F7" w:rsidRDefault="00C057F7">
      <w:pPr>
        <w:ind w:firstLineChars="0" w:firstLine="0"/>
      </w:pPr>
      <w:r w:rsidRPr="00C057F7">
        <w:rPr>
          <w:rFonts w:hint="eastAsia"/>
          <w:position w:val="-14"/>
        </w:rPr>
        <w:object w:dxaOrig="7500" w:dyaOrig="400">
          <v:shape id="_x0000_i1027" type="#_x0000_t75" style="width:459pt;height:21pt" o:ole="">
            <v:imagedata r:id="rId11" o:title=""/>
          </v:shape>
          <o:OLEObject Type="Embed" ProgID="Equations" ShapeID="_x0000_i1027" DrawAspect="Content" ObjectID="_1620027814" r:id="rId12"/>
        </w:object>
      </w:r>
      <w:r w:rsidR="00264BD8">
        <w:rPr>
          <w:rFonts w:hint="eastAsia"/>
          <w:position w:val="-14"/>
        </w:rPr>
        <w:t xml:space="preserve">                                                                                                                                                               </w:t>
      </w:r>
      <w:r w:rsidR="00264BD8">
        <w:rPr>
          <w:rFonts w:hint="eastAsia"/>
        </w:rPr>
        <w:t>（</w:t>
      </w:r>
      <w:r w:rsidR="00264BD8">
        <w:t>2</w:t>
      </w:r>
      <w:r w:rsidR="00264BD8">
        <w:rPr>
          <w:rFonts w:hint="eastAsia"/>
        </w:rPr>
        <w:t>b</w:t>
      </w:r>
      <w:r w:rsidR="00264BD8">
        <w:rPr>
          <w:rFonts w:hint="eastAsia"/>
        </w:rPr>
        <w:t>）</w:t>
      </w:r>
    </w:p>
    <w:p w:rsidR="00C057F7" w:rsidRDefault="00264BD8">
      <w:pPr>
        <w:ind w:firstLineChars="0" w:firstLine="0"/>
        <w:rPr>
          <w:rFonts w:ascii="Arial" w:hAnsi="Arial"/>
          <w:color w:val="231F20"/>
        </w:rPr>
      </w:pPr>
      <w:r>
        <w:rPr>
          <w:rFonts w:ascii="Arial" w:hAnsi="Arial" w:hint="eastAsia"/>
          <w:color w:val="231F20"/>
        </w:rPr>
        <w:t>模型（</w:t>
      </w:r>
      <w:r>
        <w:rPr>
          <w:rFonts w:hint="eastAsia"/>
          <w:color w:val="231F20"/>
        </w:rPr>
        <w:t>3</w:t>
      </w:r>
      <w:r>
        <w:rPr>
          <w:rFonts w:ascii="Arial" w:hAnsi="Arial" w:hint="eastAsia"/>
          <w:color w:val="231F20"/>
        </w:rPr>
        <w:t>）：</w:t>
      </w:r>
    </w:p>
    <w:p w:rsidR="00C057F7" w:rsidRDefault="00C057F7">
      <w:pPr>
        <w:ind w:firstLineChars="0" w:firstLine="0"/>
        <w:rPr>
          <w:rFonts w:ascii="宋体" w:hAnsi="宋体"/>
          <w:szCs w:val="21"/>
        </w:rPr>
      </w:pPr>
      <w:r w:rsidRPr="00C057F7">
        <w:rPr>
          <w:rFonts w:hint="eastAsia"/>
          <w:position w:val="-34"/>
        </w:rPr>
        <w:object w:dxaOrig="7620" w:dyaOrig="800">
          <v:shape id="_x0000_i1028" type="#_x0000_t75" style="width:460.5pt;height:41.25pt" o:ole="">
            <v:imagedata r:id="rId13" o:title=""/>
          </v:shape>
          <o:OLEObject Type="Embed" ProgID="Equations" ShapeID="_x0000_i1028" DrawAspect="Content" ObjectID="_1620027815" r:id="rId14"/>
        </w:object>
      </w:r>
      <w:r w:rsidR="00264BD8">
        <w:rPr>
          <w:rFonts w:ascii="Arial" w:hAnsi="Arial" w:hint="eastAsia"/>
          <w:color w:val="231F20"/>
        </w:rPr>
        <w:t xml:space="preserve">                                                               </w:t>
      </w:r>
      <w:r w:rsidR="00264BD8">
        <w:rPr>
          <w:rFonts w:ascii="Arial" w:hAnsi="Arial" w:hint="eastAsia"/>
          <w:color w:val="231F20"/>
        </w:rPr>
        <w:t xml:space="preserve">                                                                                </w:t>
      </w:r>
      <w:r w:rsidR="00264BD8">
        <w:rPr>
          <w:rFonts w:ascii="Arial" w:hAnsi="Arial" w:hint="eastAsia"/>
          <w:color w:val="231F20"/>
        </w:rPr>
        <w:t>（</w:t>
      </w:r>
      <w:r w:rsidR="00264BD8">
        <w:rPr>
          <w:rFonts w:hint="eastAsia"/>
          <w:color w:val="231F20"/>
        </w:rPr>
        <w:t>3</w:t>
      </w:r>
      <w:r w:rsidR="00264BD8">
        <w:rPr>
          <w:rFonts w:ascii="Arial" w:hAnsi="Arial" w:hint="eastAsia"/>
          <w:color w:val="231F20"/>
        </w:rPr>
        <w:t>）</w:t>
      </w:r>
    </w:p>
    <w:p w:rsidR="00C057F7" w:rsidRDefault="00264BD8">
      <w:pPr>
        <w:ind w:firstLine="420"/>
        <w:rPr>
          <w:rFonts w:ascii="宋体" w:hAnsi="宋体" w:cs="宋体"/>
          <w:b/>
          <w:bCs/>
          <w:sz w:val="15"/>
          <w:szCs w:val="15"/>
        </w:rPr>
      </w:pPr>
      <w:r>
        <w:rPr>
          <w:rFonts w:ascii="宋体" w:hAnsi="宋体" w:hint="eastAsia"/>
          <w:szCs w:val="21"/>
        </w:rPr>
        <w:t>研究变量的定义见表</w:t>
      </w:r>
      <w:r>
        <w:rPr>
          <w:rFonts w:hint="eastAsia"/>
        </w:rPr>
        <w:t>4.1</w:t>
      </w:r>
      <w:r>
        <w:rPr>
          <w:rFonts w:hint="eastAsia"/>
        </w:rPr>
        <w:t>：</w:t>
      </w:r>
    </w:p>
    <w:p w:rsidR="00C057F7" w:rsidRDefault="00264BD8">
      <w:pPr>
        <w:pStyle w:val="a3"/>
        <w:ind w:firstLine="361"/>
        <w:jc w:val="center"/>
        <w:rPr>
          <w:rFonts w:ascii="宋体" w:eastAsia="宋体" w:hAnsi="宋体" w:cs="宋体"/>
          <w:b/>
          <w:bCs/>
          <w:sz w:val="18"/>
          <w:szCs w:val="18"/>
        </w:rPr>
      </w:pPr>
      <w:r>
        <w:rPr>
          <w:rFonts w:ascii="宋体" w:eastAsia="宋体" w:hAnsi="宋体" w:cs="宋体" w:hint="eastAsia"/>
          <w:b/>
          <w:bCs/>
          <w:sz w:val="18"/>
          <w:szCs w:val="18"/>
        </w:rPr>
        <w:t>表</w:t>
      </w:r>
      <w:r>
        <w:rPr>
          <w:rFonts w:ascii="宋体" w:eastAsia="宋体" w:hAnsi="宋体" w:cs="宋体" w:hint="eastAsia"/>
          <w:b/>
          <w:bCs/>
          <w:sz w:val="18"/>
          <w:szCs w:val="18"/>
        </w:rPr>
        <w:t xml:space="preserve">4.1 </w:t>
      </w:r>
      <w:r>
        <w:rPr>
          <w:rFonts w:ascii="宋体" w:eastAsia="宋体" w:hAnsi="宋体" w:cs="宋体" w:hint="eastAsia"/>
          <w:b/>
          <w:bCs/>
          <w:sz w:val="18"/>
          <w:szCs w:val="18"/>
        </w:rPr>
        <w:t>研究变量的定义</w:t>
      </w:r>
    </w:p>
    <w:tbl>
      <w:tblPr>
        <w:tblW w:w="906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15" w:type="dxa"/>
          <w:left w:w="15" w:type="dxa"/>
          <w:bottom w:w="15" w:type="dxa"/>
          <w:right w:w="15" w:type="dxa"/>
        </w:tblCellMar>
        <w:tblLook w:val="04A0"/>
      </w:tblPr>
      <w:tblGrid>
        <w:gridCol w:w="1741"/>
        <w:gridCol w:w="2282"/>
        <w:gridCol w:w="5037"/>
      </w:tblGrid>
      <w:tr w:rsidR="00C057F7">
        <w:trPr>
          <w:trHeight w:val="345"/>
          <w:jc w:val="center"/>
        </w:trPr>
        <w:tc>
          <w:tcPr>
            <w:tcW w:w="1741" w:type="dxa"/>
            <w:vAlign w:val="center"/>
          </w:tcPr>
          <w:p w:rsidR="00C057F7" w:rsidRDefault="00264BD8">
            <w:pPr>
              <w:widowControl/>
              <w:ind w:firstLineChars="0" w:firstLine="0"/>
              <w:jc w:val="center"/>
              <w:textAlignment w:val="center"/>
              <w:rPr>
                <w:rFonts w:ascii="宋体" w:hAnsi="宋体" w:cs="宋体"/>
                <w:color w:val="000000"/>
                <w:sz w:val="18"/>
                <w:szCs w:val="18"/>
              </w:rPr>
            </w:pPr>
            <w:r>
              <w:rPr>
                <w:rFonts w:ascii="宋体" w:hAnsi="宋体" w:cs="宋体" w:hint="eastAsia"/>
                <w:color w:val="000000"/>
                <w:sz w:val="18"/>
                <w:szCs w:val="18"/>
              </w:rPr>
              <w:t>变量类型</w:t>
            </w:r>
          </w:p>
        </w:tc>
        <w:tc>
          <w:tcPr>
            <w:tcW w:w="2282" w:type="dxa"/>
            <w:vAlign w:val="center"/>
          </w:tcPr>
          <w:p w:rsidR="00C057F7" w:rsidRDefault="00264BD8">
            <w:pPr>
              <w:widowControl/>
              <w:ind w:firstLineChars="0" w:firstLine="0"/>
              <w:jc w:val="center"/>
              <w:textAlignment w:val="center"/>
              <w:rPr>
                <w:rFonts w:ascii="宋体" w:hAnsi="宋体" w:cs="宋体"/>
                <w:color w:val="000000"/>
                <w:sz w:val="18"/>
                <w:szCs w:val="18"/>
              </w:rPr>
            </w:pPr>
            <w:r>
              <w:rPr>
                <w:rFonts w:ascii="宋体" w:hAnsi="宋体" w:cs="宋体" w:hint="eastAsia"/>
                <w:color w:val="000000"/>
                <w:sz w:val="18"/>
                <w:szCs w:val="18"/>
              </w:rPr>
              <w:t>变量名称</w:t>
            </w:r>
          </w:p>
        </w:tc>
        <w:tc>
          <w:tcPr>
            <w:tcW w:w="5037" w:type="dxa"/>
            <w:vAlign w:val="center"/>
          </w:tcPr>
          <w:p w:rsidR="00C057F7" w:rsidRDefault="00264BD8">
            <w:pPr>
              <w:widowControl/>
              <w:ind w:firstLineChars="0" w:firstLine="0"/>
              <w:jc w:val="center"/>
              <w:textAlignment w:val="center"/>
              <w:rPr>
                <w:rFonts w:ascii="宋体" w:hAnsi="宋体" w:cs="宋体"/>
                <w:color w:val="000000"/>
                <w:sz w:val="18"/>
                <w:szCs w:val="18"/>
              </w:rPr>
            </w:pPr>
            <w:r>
              <w:rPr>
                <w:rFonts w:ascii="宋体" w:hAnsi="宋体" w:cs="宋体" w:hint="eastAsia"/>
                <w:color w:val="000000"/>
                <w:sz w:val="18"/>
                <w:szCs w:val="18"/>
              </w:rPr>
              <w:t>变量定义</w:t>
            </w:r>
          </w:p>
        </w:tc>
      </w:tr>
      <w:tr w:rsidR="00C057F7">
        <w:trPr>
          <w:trHeight w:val="371"/>
          <w:jc w:val="center"/>
        </w:trPr>
        <w:tc>
          <w:tcPr>
            <w:tcW w:w="1741" w:type="dxa"/>
            <w:vAlign w:val="center"/>
          </w:tcPr>
          <w:p w:rsidR="00C057F7" w:rsidRDefault="00264BD8">
            <w:pPr>
              <w:widowControl/>
              <w:ind w:firstLineChars="0" w:firstLine="0"/>
              <w:jc w:val="center"/>
              <w:textAlignment w:val="center"/>
              <w:rPr>
                <w:rFonts w:ascii="宋体" w:hAnsi="宋体" w:cs="宋体"/>
                <w:color w:val="000000"/>
                <w:sz w:val="18"/>
                <w:szCs w:val="18"/>
              </w:rPr>
            </w:pPr>
            <w:r>
              <w:rPr>
                <w:rFonts w:ascii="宋体" w:hAnsi="宋体" w:cs="宋体" w:hint="eastAsia"/>
                <w:color w:val="000000"/>
                <w:sz w:val="18"/>
                <w:szCs w:val="18"/>
              </w:rPr>
              <w:t>解释变量</w:t>
            </w:r>
          </w:p>
        </w:tc>
        <w:tc>
          <w:tcPr>
            <w:tcW w:w="2282" w:type="dxa"/>
            <w:vAlign w:val="center"/>
          </w:tcPr>
          <w:p w:rsidR="00C057F7" w:rsidRDefault="00264BD8">
            <w:pPr>
              <w:widowControl/>
              <w:ind w:firstLineChars="0" w:firstLine="0"/>
              <w:jc w:val="center"/>
              <w:textAlignment w:val="center"/>
              <w:rPr>
                <w:rFonts w:ascii="宋体" w:hAnsi="宋体" w:cs="宋体"/>
                <w:color w:val="000000"/>
                <w:sz w:val="18"/>
                <w:szCs w:val="18"/>
              </w:rPr>
            </w:pPr>
            <w:r>
              <w:rPr>
                <w:rFonts w:ascii="宋体" w:hAnsi="宋体" w:cs="宋体" w:hint="eastAsia"/>
                <w:sz w:val="18"/>
                <w:szCs w:val="18"/>
              </w:rPr>
              <w:t>总资产回报率（</w:t>
            </w:r>
            <w:r>
              <w:rPr>
                <w:sz w:val="18"/>
                <w:szCs w:val="18"/>
              </w:rPr>
              <w:t>ROA</w:t>
            </w:r>
            <w:r>
              <w:rPr>
                <w:rFonts w:ascii="宋体" w:hAnsi="宋体" w:cs="宋体" w:hint="eastAsia"/>
                <w:sz w:val="18"/>
                <w:szCs w:val="18"/>
              </w:rPr>
              <w:t>）</w:t>
            </w:r>
          </w:p>
        </w:tc>
        <w:tc>
          <w:tcPr>
            <w:tcW w:w="5037" w:type="dxa"/>
            <w:vAlign w:val="center"/>
          </w:tcPr>
          <w:p w:rsidR="00C057F7" w:rsidRDefault="00264BD8">
            <w:pPr>
              <w:widowControl/>
              <w:ind w:firstLineChars="0" w:firstLine="0"/>
              <w:jc w:val="center"/>
              <w:textAlignment w:val="center"/>
              <w:rPr>
                <w:rFonts w:ascii="宋体" w:hAnsi="宋体" w:cs="宋体"/>
                <w:color w:val="000000"/>
                <w:sz w:val="18"/>
                <w:szCs w:val="18"/>
              </w:rPr>
            </w:pPr>
            <w:r>
              <w:rPr>
                <w:rFonts w:ascii="宋体" w:hAnsi="宋体" w:cs="宋体" w:hint="eastAsia"/>
                <w:color w:val="000000"/>
                <w:sz w:val="18"/>
                <w:szCs w:val="18"/>
              </w:rPr>
              <w:t>净利润</w:t>
            </w:r>
            <w:r>
              <w:rPr>
                <w:rFonts w:ascii="宋体" w:hAnsi="宋体" w:cs="宋体" w:hint="eastAsia"/>
                <w:color w:val="000000"/>
                <w:sz w:val="18"/>
                <w:szCs w:val="18"/>
              </w:rPr>
              <w:t>/</w:t>
            </w:r>
            <w:r>
              <w:rPr>
                <w:rFonts w:ascii="宋体" w:hAnsi="宋体" w:cs="宋体" w:hint="eastAsia"/>
                <w:color w:val="000000"/>
                <w:sz w:val="18"/>
                <w:szCs w:val="18"/>
              </w:rPr>
              <w:t>总资产总额</w:t>
            </w:r>
          </w:p>
        </w:tc>
      </w:tr>
      <w:tr w:rsidR="00C057F7">
        <w:trPr>
          <w:trHeight w:val="403"/>
          <w:jc w:val="center"/>
        </w:trPr>
        <w:tc>
          <w:tcPr>
            <w:tcW w:w="1741" w:type="dxa"/>
            <w:vAlign w:val="center"/>
          </w:tcPr>
          <w:p w:rsidR="00C057F7" w:rsidRDefault="00264BD8">
            <w:pPr>
              <w:ind w:firstLineChars="0" w:firstLine="0"/>
              <w:jc w:val="center"/>
              <w:rPr>
                <w:rFonts w:ascii="宋体" w:hAnsi="宋体" w:cs="宋体"/>
                <w:color w:val="000000"/>
                <w:sz w:val="18"/>
                <w:szCs w:val="18"/>
              </w:rPr>
            </w:pPr>
            <w:r>
              <w:rPr>
                <w:rFonts w:ascii="宋体" w:hAnsi="宋体" w:cs="宋体" w:hint="eastAsia"/>
                <w:color w:val="000000"/>
                <w:sz w:val="18"/>
                <w:szCs w:val="18"/>
              </w:rPr>
              <w:t>被解释变量</w:t>
            </w:r>
          </w:p>
        </w:tc>
        <w:tc>
          <w:tcPr>
            <w:tcW w:w="2282" w:type="dxa"/>
            <w:vAlign w:val="center"/>
          </w:tcPr>
          <w:p w:rsidR="00C057F7" w:rsidRDefault="00264BD8">
            <w:pPr>
              <w:widowControl/>
              <w:ind w:firstLineChars="0" w:firstLine="0"/>
              <w:jc w:val="center"/>
              <w:textAlignment w:val="center"/>
              <w:rPr>
                <w:rFonts w:ascii="宋体" w:hAnsi="宋体" w:cs="宋体"/>
                <w:color w:val="000000"/>
                <w:sz w:val="18"/>
                <w:szCs w:val="18"/>
              </w:rPr>
            </w:pPr>
            <w:r>
              <w:rPr>
                <w:rFonts w:ascii="宋体" w:hAnsi="宋体" w:cs="宋体" w:hint="eastAsia"/>
                <w:color w:val="000000"/>
                <w:sz w:val="18"/>
                <w:szCs w:val="18"/>
              </w:rPr>
              <w:t>现金股利支付率（</w:t>
            </w:r>
            <w:r>
              <w:rPr>
                <w:color w:val="000000"/>
                <w:sz w:val="18"/>
                <w:szCs w:val="18"/>
              </w:rPr>
              <w:t>DE</w:t>
            </w:r>
            <w:r>
              <w:rPr>
                <w:rFonts w:ascii="宋体" w:hAnsi="宋体" w:cs="宋体" w:hint="eastAsia"/>
                <w:color w:val="000000"/>
                <w:sz w:val="18"/>
                <w:szCs w:val="18"/>
              </w:rPr>
              <w:t>）</w:t>
            </w:r>
          </w:p>
        </w:tc>
        <w:tc>
          <w:tcPr>
            <w:tcW w:w="5037" w:type="dxa"/>
            <w:vAlign w:val="center"/>
          </w:tcPr>
          <w:p w:rsidR="00C057F7" w:rsidRDefault="00264BD8">
            <w:pPr>
              <w:widowControl/>
              <w:ind w:firstLineChars="0" w:firstLine="0"/>
              <w:jc w:val="center"/>
              <w:textAlignment w:val="center"/>
              <w:rPr>
                <w:rFonts w:ascii="宋体" w:hAnsi="宋体" w:cs="宋体"/>
                <w:color w:val="000000"/>
                <w:sz w:val="18"/>
                <w:szCs w:val="18"/>
              </w:rPr>
            </w:pPr>
            <w:r>
              <w:rPr>
                <w:rFonts w:ascii="宋体" w:hAnsi="宋体" w:cs="宋体" w:hint="eastAsia"/>
                <w:color w:val="000000"/>
                <w:sz w:val="18"/>
                <w:szCs w:val="18"/>
              </w:rPr>
              <w:t>本年度累计支付的现金股利</w:t>
            </w:r>
            <w:r>
              <w:rPr>
                <w:rFonts w:ascii="宋体" w:hAnsi="宋体" w:cs="宋体" w:hint="eastAsia"/>
                <w:color w:val="000000"/>
                <w:sz w:val="18"/>
                <w:szCs w:val="18"/>
              </w:rPr>
              <w:t>/</w:t>
            </w:r>
            <w:r>
              <w:rPr>
                <w:rFonts w:ascii="宋体" w:hAnsi="宋体" w:cs="宋体" w:hint="eastAsia"/>
                <w:color w:val="000000"/>
                <w:sz w:val="18"/>
                <w:szCs w:val="18"/>
              </w:rPr>
              <w:t>净利润</w:t>
            </w:r>
          </w:p>
        </w:tc>
      </w:tr>
      <w:tr w:rsidR="00C057F7">
        <w:trPr>
          <w:trHeight w:val="397"/>
          <w:jc w:val="center"/>
        </w:trPr>
        <w:tc>
          <w:tcPr>
            <w:tcW w:w="1741" w:type="dxa"/>
            <w:vMerge w:val="restart"/>
            <w:vAlign w:val="center"/>
          </w:tcPr>
          <w:p w:rsidR="00C057F7" w:rsidRDefault="00264BD8">
            <w:pPr>
              <w:ind w:firstLineChars="0" w:firstLine="0"/>
              <w:jc w:val="center"/>
              <w:rPr>
                <w:rFonts w:ascii="宋体" w:hAnsi="宋体" w:cs="宋体"/>
                <w:color w:val="000000"/>
                <w:sz w:val="18"/>
                <w:szCs w:val="18"/>
              </w:rPr>
            </w:pPr>
            <w:r>
              <w:rPr>
                <w:rFonts w:ascii="宋体" w:hAnsi="宋体" w:cs="宋体" w:hint="eastAsia"/>
                <w:color w:val="000000"/>
                <w:sz w:val="18"/>
                <w:szCs w:val="18"/>
              </w:rPr>
              <w:t>中介变量</w:t>
            </w:r>
          </w:p>
        </w:tc>
        <w:tc>
          <w:tcPr>
            <w:tcW w:w="2282" w:type="dxa"/>
            <w:vAlign w:val="center"/>
          </w:tcPr>
          <w:p w:rsidR="00C057F7" w:rsidRDefault="00264BD8">
            <w:pPr>
              <w:widowControl/>
              <w:ind w:firstLineChars="0" w:firstLine="0"/>
              <w:jc w:val="center"/>
              <w:textAlignment w:val="center"/>
              <w:rPr>
                <w:rFonts w:ascii="宋体" w:hAnsi="宋体" w:cs="宋体"/>
                <w:color w:val="FF0000"/>
                <w:sz w:val="18"/>
                <w:szCs w:val="18"/>
              </w:rPr>
            </w:pPr>
            <w:r>
              <w:rPr>
                <w:rFonts w:ascii="宋体" w:hAnsi="宋体" w:cs="宋体" w:hint="eastAsia"/>
                <w:sz w:val="18"/>
                <w:szCs w:val="18"/>
              </w:rPr>
              <w:t>管理费用率（</w:t>
            </w:r>
            <w:r>
              <w:rPr>
                <w:sz w:val="18"/>
                <w:szCs w:val="18"/>
              </w:rPr>
              <w:t>MNFEE</w:t>
            </w:r>
            <w:r>
              <w:rPr>
                <w:rFonts w:ascii="宋体" w:hAnsi="宋体" w:cs="宋体" w:hint="eastAsia"/>
                <w:sz w:val="18"/>
                <w:szCs w:val="18"/>
              </w:rPr>
              <w:t>）</w:t>
            </w:r>
          </w:p>
        </w:tc>
        <w:tc>
          <w:tcPr>
            <w:tcW w:w="5037" w:type="dxa"/>
            <w:vAlign w:val="center"/>
          </w:tcPr>
          <w:p w:rsidR="00C057F7" w:rsidRDefault="00264BD8">
            <w:pPr>
              <w:widowControl/>
              <w:ind w:firstLineChars="0" w:firstLine="0"/>
              <w:jc w:val="center"/>
              <w:textAlignment w:val="center"/>
              <w:rPr>
                <w:rFonts w:ascii="宋体" w:hAnsi="宋体" w:cs="宋体"/>
                <w:color w:val="000000"/>
                <w:sz w:val="18"/>
                <w:szCs w:val="18"/>
              </w:rPr>
            </w:pPr>
            <w:r>
              <w:rPr>
                <w:rFonts w:ascii="宋体" w:hAnsi="宋体" w:cs="宋体" w:hint="eastAsia"/>
                <w:color w:val="000000"/>
                <w:sz w:val="18"/>
                <w:szCs w:val="18"/>
              </w:rPr>
              <w:t>管理费用</w:t>
            </w:r>
            <w:r>
              <w:rPr>
                <w:rFonts w:ascii="宋体" w:hAnsi="宋体" w:cs="宋体" w:hint="eastAsia"/>
                <w:color w:val="000000"/>
                <w:sz w:val="18"/>
                <w:szCs w:val="18"/>
              </w:rPr>
              <w:t>/</w:t>
            </w:r>
            <w:r>
              <w:rPr>
                <w:rFonts w:ascii="宋体" w:hAnsi="宋体" w:cs="宋体" w:hint="eastAsia"/>
                <w:color w:val="000000"/>
                <w:sz w:val="18"/>
                <w:szCs w:val="18"/>
              </w:rPr>
              <w:t>主营业务收入</w:t>
            </w:r>
          </w:p>
        </w:tc>
      </w:tr>
      <w:tr w:rsidR="00C057F7">
        <w:trPr>
          <w:trHeight w:val="620"/>
          <w:jc w:val="center"/>
        </w:trPr>
        <w:tc>
          <w:tcPr>
            <w:tcW w:w="1741" w:type="dxa"/>
            <w:vMerge/>
            <w:vAlign w:val="center"/>
          </w:tcPr>
          <w:p w:rsidR="00C057F7" w:rsidRDefault="00C057F7">
            <w:pPr>
              <w:ind w:firstLine="360"/>
              <w:jc w:val="center"/>
              <w:rPr>
                <w:rFonts w:ascii="宋体" w:hAnsi="宋体" w:cs="宋体"/>
                <w:color w:val="000000"/>
                <w:sz w:val="18"/>
                <w:szCs w:val="18"/>
              </w:rPr>
            </w:pPr>
          </w:p>
        </w:tc>
        <w:tc>
          <w:tcPr>
            <w:tcW w:w="2282" w:type="dxa"/>
            <w:vAlign w:val="center"/>
          </w:tcPr>
          <w:p w:rsidR="00C057F7" w:rsidRDefault="00264BD8">
            <w:pPr>
              <w:widowControl/>
              <w:ind w:firstLineChars="0" w:firstLine="0"/>
              <w:jc w:val="center"/>
              <w:textAlignment w:val="center"/>
              <w:rPr>
                <w:rFonts w:ascii="宋体" w:hAnsi="宋体" w:cs="宋体"/>
                <w:color w:val="000000"/>
                <w:sz w:val="18"/>
                <w:szCs w:val="18"/>
              </w:rPr>
            </w:pPr>
            <w:r>
              <w:rPr>
                <w:rFonts w:ascii="宋体" w:hAnsi="宋体" w:cs="宋体" w:hint="eastAsia"/>
                <w:sz w:val="18"/>
                <w:szCs w:val="18"/>
              </w:rPr>
              <w:t>其他应收款占总资产的比例</w:t>
            </w:r>
            <w:r>
              <w:rPr>
                <w:rFonts w:ascii="宋体" w:hAnsi="宋体" w:cs="宋体" w:hint="eastAsia"/>
                <w:color w:val="000000"/>
                <w:sz w:val="18"/>
                <w:szCs w:val="18"/>
              </w:rPr>
              <w:t>（</w:t>
            </w:r>
            <w:r>
              <w:rPr>
                <w:color w:val="000000"/>
                <w:sz w:val="18"/>
                <w:szCs w:val="18"/>
              </w:rPr>
              <w:t>ACCRT</w:t>
            </w:r>
            <w:r>
              <w:rPr>
                <w:rFonts w:ascii="宋体" w:hAnsi="宋体" w:cs="宋体" w:hint="eastAsia"/>
                <w:color w:val="000000"/>
                <w:sz w:val="18"/>
                <w:szCs w:val="18"/>
              </w:rPr>
              <w:t>）</w:t>
            </w:r>
          </w:p>
        </w:tc>
        <w:tc>
          <w:tcPr>
            <w:tcW w:w="5037" w:type="dxa"/>
            <w:vAlign w:val="center"/>
          </w:tcPr>
          <w:p w:rsidR="00C057F7" w:rsidRDefault="00264BD8">
            <w:pPr>
              <w:widowControl/>
              <w:ind w:firstLineChars="0" w:firstLine="0"/>
              <w:jc w:val="center"/>
              <w:textAlignment w:val="center"/>
              <w:rPr>
                <w:rFonts w:ascii="宋体" w:hAnsi="宋体" w:cs="宋体"/>
                <w:color w:val="FF0000"/>
                <w:sz w:val="18"/>
                <w:szCs w:val="18"/>
              </w:rPr>
            </w:pPr>
            <w:r>
              <w:rPr>
                <w:rFonts w:ascii="宋体" w:hAnsi="宋体" w:cs="宋体" w:hint="eastAsia"/>
                <w:sz w:val="18"/>
                <w:szCs w:val="18"/>
              </w:rPr>
              <w:t>其他应收款</w:t>
            </w:r>
            <w:r>
              <w:rPr>
                <w:rFonts w:ascii="宋体" w:hAnsi="宋体" w:cs="宋体" w:hint="eastAsia"/>
                <w:sz w:val="18"/>
                <w:szCs w:val="18"/>
              </w:rPr>
              <w:t>/</w:t>
            </w:r>
            <w:r>
              <w:rPr>
                <w:rFonts w:ascii="宋体" w:hAnsi="宋体" w:cs="宋体" w:hint="eastAsia"/>
                <w:sz w:val="18"/>
                <w:szCs w:val="18"/>
              </w:rPr>
              <w:t>总资产</w:t>
            </w:r>
          </w:p>
        </w:tc>
      </w:tr>
      <w:tr w:rsidR="00C057F7">
        <w:trPr>
          <w:trHeight w:val="332"/>
          <w:jc w:val="center"/>
        </w:trPr>
        <w:tc>
          <w:tcPr>
            <w:tcW w:w="1741" w:type="dxa"/>
            <w:vMerge w:val="restart"/>
            <w:vAlign w:val="center"/>
          </w:tcPr>
          <w:p w:rsidR="00C057F7" w:rsidRDefault="00264BD8">
            <w:pPr>
              <w:widowControl/>
              <w:ind w:firstLineChars="0" w:firstLine="0"/>
              <w:jc w:val="center"/>
              <w:textAlignment w:val="center"/>
              <w:rPr>
                <w:rFonts w:ascii="宋体" w:hAnsi="宋体" w:cs="宋体"/>
                <w:color w:val="000000"/>
                <w:sz w:val="18"/>
                <w:szCs w:val="18"/>
              </w:rPr>
            </w:pPr>
            <w:r>
              <w:rPr>
                <w:rFonts w:ascii="宋体" w:hAnsi="宋体" w:cs="宋体" w:hint="eastAsia"/>
                <w:color w:val="000000"/>
                <w:sz w:val="18"/>
                <w:szCs w:val="18"/>
              </w:rPr>
              <w:t>控制变量</w:t>
            </w:r>
          </w:p>
        </w:tc>
        <w:tc>
          <w:tcPr>
            <w:tcW w:w="2282" w:type="dxa"/>
            <w:vAlign w:val="center"/>
          </w:tcPr>
          <w:p w:rsidR="00C057F7" w:rsidRDefault="00264BD8">
            <w:pPr>
              <w:widowControl/>
              <w:ind w:firstLineChars="0" w:firstLine="0"/>
              <w:jc w:val="center"/>
              <w:textAlignment w:val="center"/>
              <w:rPr>
                <w:rFonts w:ascii="宋体" w:hAnsi="宋体" w:cs="宋体"/>
                <w:sz w:val="18"/>
                <w:szCs w:val="18"/>
              </w:rPr>
            </w:pPr>
            <w:r>
              <w:rPr>
                <w:rFonts w:ascii="宋体" w:hAnsi="宋体" w:cs="宋体" w:hint="eastAsia"/>
                <w:sz w:val="18"/>
                <w:szCs w:val="18"/>
              </w:rPr>
              <w:t>资产负债率（</w:t>
            </w:r>
            <w:r>
              <w:rPr>
                <w:sz w:val="18"/>
                <w:szCs w:val="18"/>
              </w:rPr>
              <w:t>LEV</w:t>
            </w:r>
            <w:r>
              <w:rPr>
                <w:rFonts w:ascii="宋体" w:hAnsi="宋体" w:cs="宋体" w:hint="eastAsia"/>
                <w:sz w:val="18"/>
                <w:szCs w:val="18"/>
              </w:rPr>
              <w:t>）</w:t>
            </w:r>
          </w:p>
        </w:tc>
        <w:tc>
          <w:tcPr>
            <w:tcW w:w="5037" w:type="dxa"/>
            <w:vAlign w:val="center"/>
          </w:tcPr>
          <w:p w:rsidR="00C057F7" w:rsidRDefault="00264BD8">
            <w:pPr>
              <w:widowControl/>
              <w:ind w:firstLineChars="0" w:firstLine="0"/>
              <w:jc w:val="center"/>
              <w:textAlignment w:val="center"/>
              <w:rPr>
                <w:rFonts w:ascii="宋体" w:hAnsi="宋体" w:cs="宋体"/>
                <w:color w:val="000000"/>
                <w:sz w:val="18"/>
                <w:szCs w:val="18"/>
              </w:rPr>
            </w:pPr>
            <w:r>
              <w:rPr>
                <w:rFonts w:ascii="宋体" w:hAnsi="宋体" w:cs="宋体" w:hint="eastAsia"/>
                <w:color w:val="000000"/>
                <w:sz w:val="18"/>
                <w:szCs w:val="18"/>
              </w:rPr>
              <w:t>总负债</w:t>
            </w:r>
            <w:r>
              <w:rPr>
                <w:rFonts w:ascii="宋体" w:hAnsi="宋体" w:cs="宋体" w:hint="eastAsia"/>
                <w:color w:val="000000"/>
                <w:sz w:val="18"/>
                <w:szCs w:val="18"/>
              </w:rPr>
              <w:t>/</w:t>
            </w:r>
            <w:r>
              <w:rPr>
                <w:rFonts w:ascii="宋体" w:hAnsi="宋体" w:cs="宋体" w:hint="eastAsia"/>
                <w:color w:val="000000"/>
                <w:sz w:val="18"/>
                <w:szCs w:val="18"/>
              </w:rPr>
              <w:t>总资产</w:t>
            </w:r>
          </w:p>
        </w:tc>
      </w:tr>
      <w:tr w:rsidR="00C057F7">
        <w:trPr>
          <w:trHeight w:val="354"/>
          <w:jc w:val="center"/>
        </w:trPr>
        <w:tc>
          <w:tcPr>
            <w:tcW w:w="1741" w:type="dxa"/>
            <w:vMerge/>
            <w:vAlign w:val="center"/>
          </w:tcPr>
          <w:p w:rsidR="00C057F7" w:rsidRDefault="00C057F7">
            <w:pPr>
              <w:ind w:firstLine="360"/>
              <w:jc w:val="center"/>
              <w:rPr>
                <w:rFonts w:ascii="宋体" w:hAnsi="宋体" w:cs="宋体"/>
                <w:color w:val="000000"/>
                <w:sz w:val="18"/>
                <w:szCs w:val="18"/>
              </w:rPr>
            </w:pPr>
          </w:p>
        </w:tc>
        <w:tc>
          <w:tcPr>
            <w:tcW w:w="2282" w:type="dxa"/>
            <w:vAlign w:val="center"/>
          </w:tcPr>
          <w:p w:rsidR="00C057F7" w:rsidRDefault="00264BD8">
            <w:pPr>
              <w:widowControl/>
              <w:ind w:firstLineChars="0" w:firstLine="0"/>
              <w:jc w:val="center"/>
              <w:textAlignment w:val="center"/>
              <w:rPr>
                <w:rFonts w:ascii="宋体" w:hAnsi="宋体" w:cs="宋体"/>
                <w:sz w:val="18"/>
                <w:szCs w:val="18"/>
              </w:rPr>
            </w:pPr>
            <w:r>
              <w:rPr>
                <w:rFonts w:ascii="宋体" w:hAnsi="宋体" w:cs="宋体" w:hint="eastAsia"/>
                <w:sz w:val="18"/>
                <w:szCs w:val="18"/>
              </w:rPr>
              <w:t>公司规模（</w:t>
            </w:r>
            <w:r>
              <w:rPr>
                <w:sz w:val="18"/>
                <w:szCs w:val="18"/>
              </w:rPr>
              <w:t>SIZE</w:t>
            </w:r>
            <w:r>
              <w:rPr>
                <w:rFonts w:ascii="宋体" w:hAnsi="宋体" w:cs="宋体" w:hint="eastAsia"/>
                <w:sz w:val="18"/>
                <w:szCs w:val="18"/>
              </w:rPr>
              <w:t>）</w:t>
            </w:r>
          </w:p>
        </w:tc>
        <w:tc>
          <w:tcPr>
            <w:tcW w:w="5037" w:type="dxa"/>
            <w:vAlign w:val="center"/>
          </w:tcPr>
          <w:p w:rsidR="00C057F7" w:rsidRDefault="00264BD8">
            <w:pPr>
              <w:widowControl/>
              <w:ind w:firstLineChars="0" w:firstLine="0"/>
              <w:jc w:val="center"/>
              <w:textAlignment w:val="center"/>
              <w:rPr>
                <w:rFonts w:ascii="宋体" w:hAnsi="宋体" w:cs="宋体"/>
                <w:color w:val="000000"/>
                <w:sz w:val="18"/>
                <w:szCs w:val="18"/>
              </w:rPr>
            </w:pPr>
            <w:r>
              <w:rPr>
                <w:rFonts w:ascii="宋体" w:hAnsi="宋体" w:cs="宋体" w:hint="eastAsia"/>
                <w:color w:val="000000"/>
                <w:sz w:val="18"/>
                <w:szCs w:val="18"/>
              </w:rPr>
              <w:t>总资产的自然对数</w:t>
            </w:r>
          </w:p>
        </w:tc>
      </w:tr>
      <w:tr w:rsidR="00C057F7">
        <w:trPr>
          <w:trHeight w:val="386"/>
          <w:jc w:val="center"/>
        </w:trPr>
        <w:tc>
          <w:tcPr>
            <w:tcW w:w="1741" w:type="dxa"/>
            <w:vMerge/>
            <w:vAlign w:val="center"/>
          </w:tcPr>
          <w:p w:rsidR="00C057F7" w:rsidRDefault="00C057F7">
            <w:pPr>
              <w:ind w:firstLine="360"/>
              <w:jc w:val="center"/>
              <w:rPr>
                <w:rFonts w:ascii="宋体" w:hAnsi="宋体" w:cs="宋体"/>
                <w:color w:val="000000"/>
                <w:sz w:val="18"/>
                <w:szCs w:val="18"/>
              </w:rPr>
            </w:pPr>
          </w:p>
        </w:tc>
        <w:tc>
          <w:tcPr>
            <w:tcW w:w="2282" w:type="dxa"/>
            <w:vAlign w:val="center"/>
          </w:tcPr>
          <w:p w:rsidR="00C057F7" w:rsidRDefault="00264BD8">
            <w:pPr>
              <w:widowControl/>
              <w:ind w:firstLineChars="0" w:firstLine="0"/>
              <w:jc w:val="center"/>
              <w:textAlignment w:val="center"/>
              <w:rPr>
                <w:rFonts w:ascii="宋体" w:hAnsi="宋体" w:cs="宋体"/>
                <w:sz w:val="18"/>
                <w:szCs w:val="18"/>
              </w:rPr>
            </w:pPr>
            <w:r>
              <w:rPr>
                <w:rFonts w:ascii="宋体" w:hAnsi="宋体" w:cs="宋体" w:hint="eastAsia"/>
                <w:sz w:val="18"/>
                <w:szCs w:val="18"/>
              </w:rPr>
              <w:t>成长性（</w:t>
            </w:r>
            <w:r>
              <w:rPr>
                <w:sz w:val="18"/>
                <w:szCs w:val="18"/>
              </w:rPr>
              <w:t>GRTH</w:t>
            </w:r>
            <w:r>
              <w:rPr>
                <w:rFonts w:ascii="宋体" w:hAnsi="宋体" w:cs="宋体" w:hint="eastAsia"/>
                <w:sz w:val="18"/>
                <w:szCs w:val="18"/>
              </w:rPr>
              <w:t>）</w:t>
            </w:r>
          </w:p>
        </w:tc>
        <w:tc>
          <w:tcPr>
            <w:tcW w:w="5037" w:type="dxa"/>
            <w:vAlign w:val="center"/>
          </w:tcPr>
          <w:p w:rsidR="00C057F7" w:rsidRDefault="00264BD8">
            <w:pPr>
              <w:widowControl/>
              <w:ind w:firstLineChars="0" w:firstLine="0"/>
              <w:jc w:val="center"/>
              <w:textAlignment w:val="center"/>
              <w:rPr>
                <w:rFonts w:ascii="宋体" w:hAnsi="宋体" w:cs="宋体"/>
                <w:color w:val="000000"/>
                <w:sz w:val="18"/>
                <w:szCs w:val="18"/>
              </w:rPr>
            </w:pPr>
            <w:r>
              <w:rPr>
                <w:rFonts w:ascii="宋体" w:hAnsi="宋体" w:cs="宋体" w:hint="eastAsia"/>
                <w:color w:val="000000"/>
                <w:sz w:val="18"/>
                <w:szCs w:val="18"/>
              </w:rPr>
              <w:t>主营业务收入增长率</w:t>
            </w:r>
          </w:p>
        </w:tc>
      </w:tr>
      <w:tr w:rsidR="00C057F7">
        <w:trPr>
          <w:trHeight w:val="285"/>
          <w:jc w:val="center"/>
        </w:trPr>
        <w:tc>
          <w:tcPr>
            <w:tcW w:w="1741" w:type="dxa"/>
            <w:vMerge/>
            <w:vAlign w:val="center"/>
          </w:tcPr>
          <w:p w:rsidR="00C057F7" w:rsidRDefault="00C057F7">
            <w:pPr>
              <w:ind w:firstLine="360"/>
              <w:jc w:val="center"/>
              <w:rPr>
                <w:rFonts w:ascii="宋体" w:hAnsi="宋体" w:cs="宋体"/>
                <w:color w:val="000000"/>
                <w:sz w:val="18"/>
                <w:szCs w:val="18"/>
              </w:rPr>
            </w:pPr>
          </w:p>
        </w:tc>
        <w:tc>
          <w:tcPr>
            <w:tcW w:w="2282" w:type="dxa"/>
            <w:vAlign w:val="center"/>
          </w:tcPr>
          <w:p w:rsidR="00C057F7" w:rsidRDefault="00264BD8">
            <w:pPr>
              <w:widowControl/>
              <w:ind w:firstLineChars="0" w:firstLine="0"/>
              <w:jc w:val="center"/>
              <w:textAlignment w:val="center"/>
              <w:rPr>
                <w:rFonts w:ascii="宋体" w:hAnsi="宋体" w:cs="宋体"/>
                <w:sz w:val="18"/>
                <w:szCs w:val="18"/>
              </w:rPr>
            </w:pPr>
            <w:r>
              <w:rPr>
                <w:rFonts w:ascii="宋体" w:hAnsi="宋体" w:cs="宋体" w:hint="eastAsia"/>
                <w:sz w:val="18"/>
                <w:szCs w:val="18"/>
              </w:rPr>
              <w:t>第一大股东持股比例（</w:t>
            </w:r>
            <w:r>
              <w:rPr>
                <w:sz w:val="18"/>
                <w:szCs w:val="18"/>
              </w:rPr>
              <w:t>FIRST</w:t>
            </w:r>
            <w:r>
              <w:rPr>
                <w:rFonts w:ascii="宋体" w:hAnsi="宋体" w:cs="宋体" w:hint="eastAsia"/>
                <w:sz w:val="18"/>
                <w:szCs w:val="18"/>
              </w:rPr>
              <w:t>）</w:t>
            </w:r>
          </w:p>
        </w:tc>
        <w:tc>
          <w:tcPr>
            <w:tcW w:w="5037" w:type="dxa"/>
            <w:vAlign w:val="center"/>
          </w:tcPr>
          <w:p w:rsidR="00C057F7" w:rsidRDefault="00264BD8">
            <w:pPr>
              <w:widowControl/>
              <w:ind w:firstLineChars="0" w:firstLine="0"/>
              <w:jc w:val="center"/>
              <w:textAlignment w:val="center"/>
              <w:rPr>
                <w:rFonts w:ascii="宋体" w:hAnsi="宋体" w:cs="宋体"/>
                <w:color w:val="000000"/>
                <w:sz w:val="18"/>
                <w:szCs w:val="18"/>
              </w:rPr>
            </w:pPr>
            <w:r>
              <w:rPr>
                <w:rFonts w:ascii="宋体" w:hAnsi="宋体" w:cs="宋体" w:hint="eastAsia"/>
                <w:color w:val="000000"/>
                <w:sz w:val="18"/>
                <w:szCs w:val="18"/>
              </w:rPr>
              <w:t>第一大股东持股总数</w:t>
            </w:r>
            <w:r>
              <w:rPr>
                <w:rFonts w:ascii="宋体" w:hAnsi="宋体" w:cs="宋体" w:hint="eastAsia"/>
                <w:color w:val="000000"/>
                <w:sz w:val="18"/>
                <w:szCs w:val="18"/>
              </w:rPr>
              <w:t xml:space="preserve"> /</w:t>
            </w:r>
            <w:r>
              <w:rPr>
                <w:rFonts w:ascii="宋体" w:hAnsi="宋体" w:cs="宋体" w:hint="eastAsia"/>
                <w:color w:val="000000"/>
                <w:sz w:val="18"/>
                <w:szCs w:val="18"/>
              </w:rPr>
              <w:t>总股本</w:t>
            </w:r>
          </w:p>
        </w:tc>
      </w:tr>
    </w:tbl>
    <w:p w:rsidR="00C057F7" w:rsidRDefault="00264BD8" w:rsidP="000A5B3C">
      <w:pPr>
        <w:pStyle w:val="1"/>
        <w:spacing w:beforeLines="50" w:afterLines="50"/>
      </w:pPr>
      <w:bookmarkStart w:id="25" w:name="_Toc8383282"/>
      <w:bookmarkStart w:id="26" w:name="_Toc385787645"/>
      <w:bookmarkStart w:id="27" w:name="_Toc10263"/>
      <w:r>
        <w:rPr>
          <w:rFonts w:hint="eastAsia"/>
          <w:szCs w:val="21"/>
        </w:rPr>
        <w:t>5</w:t>
      </w:r>
      <w:r>
        <w:rPr>
          <w:rFonts w:hint="eastAsia"/>
          <w:szCs w:val="21"/>
        </w:rPr>
        <w:t>实证分析</w:t>
      </w:r>
      <w:bookmarkEnd w:id="25"/>
      <w:bookmarkEnd w:id="26"/>
      <w:bookmarkEnd w:id="27"/>
    </w:p>
    <w:p w:rsidR="00C057F7" w:rsidRDefault="00264BD8">
      <w:pPr>
        <w:pStyle w:val="2"/>
        <w:tabs>
          <w:tab w:val="left" w:pos="0"/>
        </w:tabs>
        <w:spacing w:before="156" w:afterLines="0" w:line="400" w:lineRule="exact"/>
        <w:ind w:left="0" w:firstLine="0"/>
        <w:rPr>
          <w:rFonts w:ascii="Times New Roman" w:hAnsi="Times New Roman"/>
        </w:rPr>
      </w:pPr>
      <w:bookmarkStart w:id="28" w:name="_Toc8383283"/>
      <w:bookmarkStart w:id="29" w:name="_Toc385787646"/>
      <w:bookmarkStart w:id="30" w:name="_Toc285"/>
      <w:r>
        <w:rPr>
          <w:rFonts w:ascii="Times New Roman" w:hAnsi="Times New Roman" w:hint="eastAsia"/>
        </w:rPr>
        <w:t>5.1</w:t>
      </w:r>
      <w:r>
        <w:rPr>
          <w:rFonts w:ascii="Times New Roman" w:hAnsi="Times New Roman" w:hint="eastAsia"/>
        </w:rPr>
        <w:t>描述性统计</w:t>
      </w:r>
      <w:bookmarkEnd w:id="28"/>
      <w:bookmarkEnd w:id="29"/>
      <w:bookmarkEnd w:id="30"/>
    </w:p>
    <w:p w:rsidR="00C057F7" w:rsidRDefault="00264BD8">
      <w:pPr>
        <w:ind w:firstLine="420"/>
        <w:rPr>
          <w:rFonts w:ascii="宋体" w:hAnsi="宋体" w:cs="宋体"/>
          <w:b/>
          <w:bCs/>
          <w:color w:val="000000"/>
          <w:sz w:val="15"/>
          <w:szCs w:val="15"/>
        </w:rPr>
      </w:pPr>
      <w:r>
        <w:rPr>
          <w:rFonts w:hint="eastAsia"/>
        </w:rPr>
        <w:t>描述性统计分析结果如表</w:t>
      </w:r>
      <w:r>
        <w:rPr>
          <w:rFonts w:hint="eastAsia"/>
        </w:rPr>
        <w:t>5.1</w:t>
      </w:r>
      <w:r>
        <w:rPr>
          <w:rFonts w:hint="eastAsia"/>
        </w:rPr>
        <w:t>。由表</w:t>
      </w:r>
      <w:r>
        <w:rPr>
          <w:rFonts w:hint="eastAsia"/>
        </w:rPr>
        <w:t>5.1</w:t>
      </w:r>
      <w:r>
        <w:rPr>
          <w:rFonts w:hint="eastAsia"/>
        </w:rPr>
        <w:t>数据可知，样本总资产回报率（</w:t>
      </w:r>
      <w:r>
        <w:t>ROA</w:t>
      </w:r>
      <w:r>
        <w:rPr>
          <w:rFonts w:hint="eastAsia"/>
        </w:rPr>
        <w:t>）的均值为</w:t>
      </w:r>
      <w:r>
        <w:t>0.032</w:t>
      </w:r>
      <w:r>
        <w:rPr>
          <w:rFonts w:hint="eastAsia"/>
        </w:rPr>
        <w:t>，说明样本中公司的业绩大体上并不突出。现金股利支付率（</w:t>
      </w:r>
      <w:r>
        <w:rPr>
          <w:rFonts w:hint="eastAsia"/>
        </w:rPr>
        <w:t>DE</w:t>
      </w:r>
      <w:r>
        <w:rPr>
          <w:rFonts w:hint="eastAsia"/>
        </w:rPr>
        <w:t>）均值为</w:t>
      </w:r>
      <w:r>
        <w:t>0.296</w:t>
      </w:r>
      <w:r>
        <w:rPr>
          <w:rFonts w:hint="eastAsia"/>
        </w:rPr>
        <w:t xml:space="preserve"> </w:t>
      </w:r>
      <w:r>
        <w:rPr>
          <w:rFonts w:hint="eastAsia"/>
        </w:rPr>
        <w:t>，表明样本中公司现金股利分配水平不高。分别代表两类代理成本的管理费用率（</w:t>
      </w:r>
      <w:r>
        <w:t>MNFEE</w:t>
      </w:r>
      <w:r>
        <w:rPr>
          <w:rFonts w:hint="eastAsia"/>
        </w:rPr>
        <w:t>）和其他应收款占比（</w:t>
      </w:r>
      <w:r>
        <w:t>ACCRT</w:t>
      </w:r>
      <w:r>
        <w:rPr>
          <w:rFonts w:hint="eastAsia"/>
        </w:rPr>
        <w:t>）均值分别为</w:t>
      </w:r>
      <w:r>
        <w:t>0.106</w:t>
      </w:r>
      <w:r>
        <w:rPr>
          <w:rFonts w:hint="eastAsia"/>
        </w:rPr>
        <w:t>和</w:t>
      </w:r>
      <w:r>
        <w:t>0.008</w:t>
      </w:r>
      <w:r>
        <w:rPr>
          <w:rFonts w:hint="eastAsia"/>
        </w:rPr>
        <w:t>，说明样本中公司大体上代理成本都不高。公司规模（</w:t>
      </w:r>
      <w:r>
        <w:t>SIZE</w:t>
      </w:r>
      <w:r>
        <w:rPr>
          <w:rFonts w:hint="eastAsia"/>
        </w:rPr>
        <w:t>）的平均值</w:t>
      </w:r>
      <w:r>
        <w:t>22.379</w:t>
      </w:r>
      <w:r>
        <w:rPr>
          <w:rFonts w:hint="eastAsia"/>
        </w:rPr>
        <w:t>。样本公司资产负债率（</w:t>
      </w:r>
      <w:r>
        <w:t>LEV</w:t>
      </w:r>
      <w:r>
        <w:rPr>
          <w:rFonts w:hint="eastAsia"/>
        </w:rPr>
        <w:t>）均值为</w:t>
      </w:r>
      <w:r>
        <w:t>0.438</w:t>
      </w:r>
      <w:r>
        <w:rPr>
          <w:rFonts w:hint="eastAsia"/>
        </w:rPr>
        <w:t>，成长性（</w:t>
      </w:r>
      <w:r>
        <w:t>GRTH</w:t>
      </w:r>
      <w:r>
        <w:rPr>
          <w:rFonts w:hint="eastAsia"/>
        </w:rPr>
        <w:t>）均值为</w:t>
      </w:r>
      <w:r>
        <w:t>0.260</w:t>
      </w:r>
      <w:r>
        <w:rPr>
          <w:rFonts w:hint="eastAsia"/>
        </w:rPr>
        <w:t>。样本公司第一大股东持股比例（</w:t>
      </w:r>
      <w:r>
        <w:t>FIRST</w:t>
      </w:r>
      <w:r>
        <w:rPr>
          <w:rFonts w:hint="eastAsia"/>
        </w:rPr>
        <w:t>）均值为</w:t>
      </w:r>
      <w:r>
        <w:t>0.358</w:t>
      </w:r>
      <w:r>
        <w:rPr>
          <w:rFonts w:hint="eastAsia"/>
        </w:rPr>
        <w:t>，说明样本公司</w:t>
      </w:r>
      <w:r>
        <w:rPr>
          <w:rFonts w:hint="eastAsia"/>
          <w:color w:val="000000"/>
        </w:rPr>
        <w:t>股东持股比较集中。全表来看，各变量的标准差、最小值和最大值数值表示样本公司个体间的差异不大。</w:t>
      </w:r>
    </w:p>
    <w:p w:rsidR="00C057F7" w:rsidRDefault="00264BD8">
      <w:pPr>
        <w:pStyle w:val="a3"/>
        <w:ind w:firstLine="361"/>
        <w:jc w:val="center"/>
        <w:rPr>
          <w:rFonts w:ascii="宋体" w:eastAsia="宋体" w:hAnsi="宋体" w:cs="宋体"/>
          <w:b/>
          <w:bCs/>
          <w:sz w:val="18"/>
          <w:szCs w:val="18"/>
        </w:rPr>
      </w:pPr>
      <w:r>
        <w:rPr>
          <w:rFonts w:ascii="宋体" w:eastAsia="宋体" w:hAnsi="宋体" w:cs="宋体" w:hint="eastAsia"/>
          <w:b/>
          <w:bCs/>
          <w:sz w:val="18"/>
          <w:szCs w:val="18"/>
        </w:rPr>
        <w:t>表</w:t>
      </w:r>
      <w:r>
        <w:rPr>
          <w:rFonts w:ascii="宋体" w:eastAsia="宋体" w:hAnsi="宋体" w:cs="宋体" w:hint="eastAsia"/>
          <w:b/>
          <w:bCs/>
          <w:sz w:val="18"/>
          <w:szCs w:val="18"/>
        </w:rPr>
        <w:t>5.</w:t>
      </w:r>
      <w:r w:rsidR="00C057F7">
        <w:rPr>
          <w:rFonts w:ascii="宋体" w:eastAsia="宋体" w:hAnsi="宋体" w:cs="宋体" w:hint="eastAsia"/>
          <w:b/>
          <w:bCs/>
          <w:sz w:val="18"/>
          <w:szCs w:val="18"/>
        </w:rPr>
        <w:fldChar w:fldCharType="begin"/>
      </w:r>
      <w:r>
        <w:rPr>
          <w:rFonts w:ascii="宋体" w:eastAsia="宋体" w:hAnsi="宋体" w:cs="宋体" w:hint="eastAsia"/>
          <w:b/>
          <w:bCs/>
          <w:sz w:val="18"/>
          <w:szCs w:val="18"/>
        </w:rPr>
        <w:instrText xml:space="preserve"> SEQ </w:instrText>
      </w:r>
      <w:r>
        <w:rPr>
          <w:rFonts w:ascii="宋体" w:eastAsia="宋体" w:hAnsi="宋体" w:cs="宋体" w:hint="eastAsia"/>
          <w:b/>
          <w:bCs/>
          <w:sz w:val="18"/>
          <w:szCs w:val="18"/>
        </w:rPr>
        <w:instrText>表</w:instrText>
      </w:r>
      <w:r>
        <w:rPr>
          <w:rFonts w:ascii="宋体" w:eastAsia="宋体" w:hAnsi="宋体" w:cs="宋体" w:hint="eastAsia"/>
          <w:b/>
          <w:bCs/>
          <w:sz w:val="18"/>
          <w:szCs w:val="18"/>
        </w:rPr>
        <w:instrText xml:space="preserve">5. \* ARABIC </w:instrText>
      </w:r>
      <w:r w:rsidR="00C057F7">
        <w:rPr>
          <w:rFonts w:ascii="宋体" w:eastAsia="宋体" w:hAnsi="宋体" w:cs="宋体" w:hint="eastAsia"/>
          <w:b/>
          <w:bCs/>
          <w:sz w:val="18"/>
          <w:szCs w:val="18"/>
        </w:rPr>
        <w:fldChar w:fldCharType="separate"/>
      </w:r>
      <w:r>
        <w:rPr>
          <w:rFonts w:ascii="宋体" w:eastAsia="宋体" w:hAnsi="宋体" w:cs="宋体"/>
          <w:b/>
          <w:bCs/>
          <w:sz w:val="18"/>
          <w:szCs w:val="18"/>
        </w:rPr>
        <w:t>1</w:t>
      </w:r>
      <w:r w:rsidR="00C057F7">
        <w:rPr>
          <w:rFonts w:ascii="宋体" w:eastAsia="宋体" w:hAnsi="宋体" w:cs="宋体" w:hint="eastAsia"/>
          <w:b/>
          <w:bCs/>
          <w:sz w:val="18"/>
          <w:szCs w:val="18"/>
        </w:rPr>
        <w:fldChar w:fldCharType="end"/>
      </w:r>
      <w:r>
        <w:rPr>
          <w:rFonts w:ascii="宋体" w:eastAsia="宋体" w:hAnsi="宋体" w:hint="eastAsia"/>
          <w:b/>
          <w:sz w:val="18"/>
          <w:szCs w:val="18"/>
        </w:rPr>
        <w:t>描述性统计结果</w:t>
      </w:r>
    </w:p>
    <w:tbl>
      <w:tblPr>
        <w:tblW w:w="91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4A0"/>
      </w:tblPr>
      <w:tblGrid>
        <w:gridCol w:w="2427"/>
        <w:gridCol w:w="1252"/>
        <w:gridCol w:w="1357"/>
        <w:gridCol w:w="1359"/>
        <w:gridCol w:w="1328"/>
        <w:gridCol w:w="1377"/>
      </w:tblGrid>
      <w:tr w:rsidR="00C057F7">
        <w:trPr>
          <w:cantSplit/>
          <w:trHeight w:val="454"/>
          <w:jc w:val="center"/>
        </w:trPr>
        <w:tc>
          <w:tcPr>
            <w:tcW w:w="2427" w:type="dxa"/>
            <w:shd w:val="clear" w:color="auto" w:fill="FFFFFF"/>
          </w:tcPr>
          <w:p w:rsidR="00C057F7" w:rsidRDefault="00C057F7">
            <w:pPr>
              <w:spacing w:line="320" w:lineRule="atLeast"/>
              <w:ind w:left="60" w:right="60" w:firstLine="360"/>
              <w:rPr>
                <w:rFonts w:ascii="MingLiU" w:eastAsia="MingLiU" w:hAnsi="MingLiU"/>
                <w:sz w:val="18"/>
              </w:rPr>
            </w:pPr>
          </w:p>
        </w:tc>
        <w:tc>
          <w:tcPr>
            <w:tcW w:w="1252" w:type="dxa"/>
            <w:shd w:val="clear" w:color="auto" w:fill="FFFFFF"/>
          </w:tcPr>
          <w:p w:rsidR="00C057F7" w:rsidRDefault="00264BD8">
            <w:pPr>
              <w:spacing w:line="320" w:lineRule="atLeast"/>
              <w:ind w:left="60" w:right="60" w:firstLine="360"/>
              <w:jc w:val="center"/>
              <w:rPr>
                <w:rFonts w:ascii="MingLiU" w:eastAsia="MingLiU" w:hAnsi="MingLiU"/>
                <w:sz w:val="18"/>
              </w:rPr>
            </w:pPr>
            <w:r>
              <w:rPr>
                <w:rFonts w:eastAsia="MingLiU"/>
                <w:sz w:val="18"/>
              </w:rPr>
              <w:t>N</w:t>
            </w:r>
          </w:p>
        </w:tc>
        <w:tc>
          <w:tcPr>
            <w:tcW w:w="1357" w:type="dxa"/>
            <w:shd w:val="clear" w:color="auto" w:fill="FFFFFF"/>
          </w:tcPr>
          <w:p w:rsidR="00C057F7" w:rsidRDefault="00264BD8">
            <w:pPr>
              <w:spacing w:line="320" w:lineRule="atLeast"/>
              <w:ind w:left="60" w:right="60" w:firstLine="360"/>
              <w:rPr>
                <w:rFonts w:ascii="MingLiU" w:eastAsia="MingLiU" w:hAnsi="MingLiU"/>
                <w:sz w:val="18"/>
              </w:rPr>
            </w:pPr>
            <w:r>
              <w:rPr>
                <w:rFonts w:ascii="宋体" w:hAnsi="宋体" w:cs="宋体" w:hint="eastAsia"/>
                <w:sz w:val="18"/>
              </w:rPr>
              <w:t>极小值</w:t>
            </w:r>
          </w:p>
        </w:tc>
        <w:tc>
          <w:tcPr>
            <w:tcW w:w="1359" w:type="dxa"/>
            <w:shd w:val="clear" w:color="auto" w:fill="FFFFFF"/>
          </w:tcPr>
          <w:p w:rsidR="00C057F7" w:rsidRDefault="00264BD8">
            <w:pPr>
              <w:spacing w:line="320" w:lineRule="atLeast"/>
              <w:ind w:right="60" w:firstLineChars="0" w:firstLine="0"/>
              <w:jc w:val="center"/>
              <w:rPr>
                <w:rFonts w:ascii="MingLiU" w:eastAsia="MingLiU" w:hAnsi="MingLiU"/>
                <w:sz w:val="18"/>
              </w:rPr>
            </w:pPr>
            <w:r>
              <w:rPr>
                <w:rFonts w:ascii="宋体" w:hAnsi="宋体" w:cs="宋体" w:hint="eastAsia"/>
                <w:sz w:val="18"/>
              </w:rPr>
              <w:t>极大值</w:t>
            </w:r>
          </w:p>
        </w:tc>
        <w:tc>
          <w:tcPr>
            <w:tcW w:w="1328" w:type="dxa"/>
            <w:shd w:val="clear" w:color="auto" w:fill="FFFFFF"/>
          </w:tcPr>
          <w:p w:rsidR="00C057F7" w:rsidRDefault="00264BD8">
            <w:pPr>
              <w:spacing w:line="320" w:lineRule="atLeast"/>
              <w:ind w:right="60" w:firstLineChars="0" w:firstLine="0"/>
              <w:jc w:val="center"/>
              <w:rPr>
                <w:rFonts w:ascii="宋体" w:hAnsi="宋体" w:cs="宋体"/>
                <w:sz w:val="18"/>
              </w:rPr>
            </w:pPr>
            <w:r>
              <w:rPr>
                <w:rFonts w:ascii="宋体" w:hAnsi="宋体" w:cs="宋体" w:hint="eastAsia"/>
                <w:sz w:val="18"/>
              </w:rPr>
              <w:t>均值</w:t>
            </w:r>
          </w:p>
        </w:tc>
        <w:tc>
          <w:tcPr>
            <w:tcW w:w="1377" w:type="dxa"/>
            <w:shd w:val="clear" w:color="auto" w:fill="FFFFFF"/>
          </w:tcPr>
          <w:p w:rsidR="00C057F7" w:rsidRDefault="00264BD8">
            <w:pPr>
              <w:spacing w:line="320" w:lineRule="atLeast"/>
              <w:ind w:right="60" w:firstLineChars="0" w:firstLine="0"/>
              <w:jc w:val="center"/>
              <w:rPr>
                <w:rFonts w:ascii="宋体" w:hAnsi="宋体" w:cs="宋体"/>
                <w:sz w:val="18"/>
              </w:rPr>
            </w:pPr>
            <w:r>
              <w:rPr>
                <w:rFonts w:ascii="宋体" w:hAnsi="宋体" w:cs="宋体" w:hint="eastAsia"/>
                <w:sz w:val="18"/>
              </w:rPr>
              <w:t>标准差</w:t>
            </w:r>
          </w:p>
        </w:tc>
      </w:tr>
      <w:tr w:rsidR="00C057F7">
        <w:trPr>
          <w:cantSplit/>
          <w:trHeight w:val="454"/>
          <w:jc w:val="center"/>
        </w:trPr>
        <w:tc>
          <w:tcPr>
            <w:tcW w:w="2427" w:type="dxa"/>
            <w:shd w:val="clear" w:color="auto" w:fill="FFFFFF"/>
            <w:vAlign w:val="center"/>
          </w:tcPr>
          <w:p w:rsidR="00C057F7" w:rsidRDefault="00264BD8">
            <w:pPr>
              <w:spacing w:line="320" w:lineRule="atLeast"/>
              <w:ind w:left="60" w:right="60" w:firstLine="360"/>
              <w:rPr>
                <w:rFonts w:eastAsia="MingLiU"/>
                <w:sz w:val="18"/>
              </w:rPr>
            </w:pPr>
            <w:r>
              <w:rPr>
                <w:rFonts w:eastAsia="MingLiU"/>
                <w:sz w:val="18"/>
              </w:rPr>
              <w:t>ROA</w:t>
            </w:r>
          </w:p>
        </w:tc>
        <w:tc>
          <w:tcPr>
            <w:tcW w:w="1252"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6808</w:t>
            </w:r>
          </w:p>
        </w:tc>
        <w:tc>
          <w:tcPr>
            <w:tcW w:w="1357"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-1.1</w:t>
            </w:r>
          </w:p>
        </w:tc>
        <w:tc>
          <w:tcPr>
            <w:tcW w:w="1359" w:type="dxa"/>
            <w:shd w:val="clear" w:color="auto" w:fill="FFFFFF"/>
            <w:vAlign w:val="center"/>
          </w:tcPr>
          <w:p w:rsidR="00C057F7" w:rsidRDefault="00264BD8">
            <w:pPr>
              <w:spacing w:line="320" w:lineRule="atLeast"/>
              <w:ind w:left="60" w:right="60" w:firstLine="360"/>
              <w:jc w:val="right"/>
              <w:rPr>
                <w:rFonts w:eastAsia="MingLiU"/>
                <w:sz w:val="18"/>
              </w:rPr>
            </w:pPr>
            <w:r>
              <w:rPr>
                <w:rFonts w:hint="eastAsia"/>
                <w:sz w:val="18"/>
              </w:rPr>
              <w:t>0</w:t>
            </w:r>
            <w:r>
              <w:rPr>
                <w:rFonts w:eastAsia="MingLiU"/>
                <w:sz w:val="18"/>
              </w:rPr>
              <w:t>.5</w:t>
            </w:r>
          </w:p>
        </w:tc>
        <w:tc>
          <w:tcPr>
            <w:tcW w:w="1328" w:type="dxa"/>
            <w:shd w:val="clear" w:color="auto" w:fill="FFFFFF"/>
            <w:vAlign w:val="center"/>
          </w:tcPr>
          <w:p w:rsidR="00C057F7" w:rsidRDefault="00264BD8">
            <w:pPr>
              <w:spacing w:line="320" w:lineRule="atLeast"/>
              <w:ind w:left="60" w:right="60" w:firstLine="360"/>
              <w:jc w:val="right"/>
              <w:rPr>
                <w:rFonts w:eastAsia="MingLiU"/>
                <w:sz w:val="18"/>
              </w:rPr>
            </w:pPr>
            <w:r>
              <w:rPr>
                <w:rFonts w:hint="eastAsia"/>
                <w:sz w:val="18"/>
              </w:rPr>
              <w:t>0</w:t>
            </w:r>
            <w:r>
              <w:rPr>
                <w:rFonts w:eastAsia="MingLiU"/>
                <w:sz w:val="18"/>
              </w:rPr>
              <w:t>.032</w:t>
            </w:r>
          </w:p>
        </w:tc>
        <w:tc>
          <w:tcPr>
            <w:tcW w:w="1377" w:type="dxa"/>
            <w:shd w:val="clear" w:color="auto" w:fill="FFFFFF"/>
            <w:vAlign w:val="center"/>
          </w:tcPr>
          <w:p w:rsidR="00C057F7" w:rsidRDefault="00264BD8">
            <w:pPr>
              <w:spacing w:line="320" w:lineRule="atLeast"/>
              <w:ind w:left="60" w:right="60" w:firstLine="360"/>
              <w:jc w:val="right"/>
              <w:rPr>
                <w:rFonts w:eastAsia="MingLiU"/>
                <w:sz w:val="18"/>
              </w:rPr>
            </w:pPr>
            <w:r>
              <w:rPr>
                <w:rFonts w:hint="eastAsia"/>
                <w:sz w:val="18"/>
              </w:rPr>
              <w:t>0</w:t>
            </w:r>
            <w:r>
              <w:rPr>
                <w:rFonts w:eastAsia="MingLiU"/>
                <w:sz w:val="18"/>
              </w:rPr>
              <w:t>.0721</w:t>
            </w:r>
          </w:p>
        </w:tc>
      </w:tr>
      <w:tr w:rsidR="00C057F7">
        <w:trPr>
          <w:cantSplit/>
          <w:trHeight w:val="454"/>
          <w:jc w:val="center"/>
        </w:trPr>
        <w:tc>
          <w:tcPr>
            <w:tcW w:w="2427" w:type="dxa"/>
            <w:shd w:val="clear" w:color="auto" w:fill="FFFFFF"/>
            <w:vAlign w:val="center"/>
          </w:tcPr>
          <w:p w:rsidR="00C057F7" w:rsidRDefault="00264BD8">
            <w:pPr>
              <w:spacing w:line="320" w:lineRule="atLeast"/>
              <w:ind w:left="60" w:right="60" w:firstLine="360"/>
              <w:rPr>
                <w:rFonts w:eastAsia="MingLiU"/>
                <w:sz w:val="18"/>
              </w:rPr>
            </w:pPr>
            <w:r>
              <w:rPr>
                <w:rFonts w:eastAsia="MingLiU"/>
                <w:sz w:val="18"/>
              </w:rPr>
              <w:t>DE</w:t>
            </w:r>
          </w:p>
        </w:tc>
        <w:tc>
          <w:tcPr>
            <w:tcW w:w="1252"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6808</w:t>
            </w:r>
          </w:p>
        </w:tc>
        <w:tc>
          <w:tcPr>
            <w:tcW w:w="1357"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-3.9</w:t>
            </w:r>
          </w:p>
        </w:tc>
        <w:tc>
          <w:tcPr>
            <w:tcW w:w="1359"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12.3</w:t>
            </w:r>
          </w:p>
        </w:tc>
        <w:tc>
          <w:tcPr>
            <w:tcW w:w="1328" w:type="dxa"/>
            <w:shd w:val="clear" w:color="auto" w:fill="FFFFFF"/>
            <w:vAlign w:val="center"/>
          </w:tcPr>
          <w:p w:rsidR="00C057F7" w:rsidRDefault="00264BD8">
            <w:pPr>
              <w:spacing w:line="320" w:lineRule="atLeast"/>
              <w:ind w:left="60" w:right="60" w:firstLine="360"/>
              <w:jc w:val="right"/>
              <w:rPr>
                <w:rFonts w:eastAsia="MingLiU"/>
                <w:sz w:val="18"/>
              </w:rPr>
            </w:pPr>
            <w:r>
              <w:rPr>
                <w:rFonts w:hint="eastAsia"/>
                <w:sz w:val="18"/>
              </w:rPr>
              <w:t>0</w:t>
            </w:r>
            <w:r>
              <w:rPr>
                <w:rFonts w:eastAsia="MingLiU"/>
                <w:sz w:val="18"/>
              </w:rPr>
              <w:t>.296</w:t>
            </w:r>
          </w:p>
        </w:tc>
        <w:tc>
          <w:tcPr>
            <w:tcW w:w="1377" w:type="dxa"/>
            <w:shd w:val="clear" w:color="auto" w:fill="FFFFFF"/>
            <w:vAlign w:val="center"/>
          </w:tcPr>
          <w:p w:rsidR="00C057F7" w:rsidRDefault="00264BD8">
            <w:pPr>
              <w:spacing w:line="320" w:lineRule="atLeast"/>
              <w:ind w:left="60" w:right="60" w:firstLine="360"/>
              <w:jc w:val="right"/>
              <w:rPr>
                <w:rFonts w:eastAsia="MingLiU"/>
                <w:sz w:val="18"/>
              </w:rPr>
            </w:pPr>
            <w:r>
              <w:rPr>
                <w:rFonts w:hint="eastAsia"/>
                <w:sz w:val="18"/>
              </w:rPr>
              <w:t>0</w:t>
            </w:r>
            <w:r>
              <w:rPr>
                <w:rFonts w:eastAsia="MingLiU"/>
                <w:sz w:val="18"/>
              </w:rPr>
              <w:t>.4660</w:t>
            </w:r>
          </w:p>
        </w:tc>
      </w:tr>
      <w:tr w:rsidR="00C057F7">
        <w:trPr>
          <w:cantSplit/>
          <w:trHeight w:val="454"/>
          <w:jc w:val="center"/>
        </w:trPr>
        <w:tc>
          <w:tcPr>
            <w:tcW w:w="2427" w:type="dxa"/>
            <w:shd w:val="clear" w:color="auto" w:fill="FFFFFF"/>
            <w:vAlign w:val="center"/>
          </w:tcPr>
          <w:p w:rsidR="00C057F7" w:rsidRDefault="00264BD8">
            <w:pPr>
              <w:spacing w:line="320" w:lineRule="atLeast"/>
              <w:ind w:left="60" w:right="60" w:firstLine="360"/>
              <w:rPr>
                <w:rFonts w:eastAsia="MingLiU"/>
                <w:sz w:val="18"/>
              </w:rPr>
            </w:pPr>
            <w:r>
              <w:rPr>
                <w:rFonts w:eastAsia="MingLiU"/>
                <w:sz w:val="18"/>
              </w:rPr>
              <w:t>MNFEE</w:t>
            </w:r>
          </w:p>
        </w:tc>
        <w:tc>
          <w:tcPr>
            <w:tcW w:w="1252"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6808</w:t>
            </w:r>
          </w:p>
        </w:tc>
        <w:tc>
          <w:tcPr>
            <w:tcW w:w="1357" w:type="dxa"/>
            <w:shd w:val="clear" w:color="auto" w:fill="FFFFFF"/>
            <w:vAlign w:val="center"/>
          </w:tcPr>
          <w:p w:rsidR="00C057F7" w:rsidRDefault="00264BD8">
            <w:pPr>
              <w:spacing w:line="320" w:lineRule="atLeast"/>
              <w:ind w:left="60" w:right="60" w:firstLine="360"/>
              <w:jc w:val="right"/>
              <w:rPr>
                <w:rFonts w:eastAsia="MingLiU"/>
                <w:sz w:val="18"/>
              </w:rPr>
            </w:pPr>
            <w:r>
              <w:rPr>
                <w:rFonts w:hint="eastAsia"/>
                <w:sz w:val="18"/>
              </w:rPr>
              <w:t>0</w:t>
            </w:r>
            <w:r>
              <w:rPr>
                <w:rFonts w:eastAsia="MingLiU"/>
                <w:sz w:val="18"/>
              </w:rPr>
              <w:t>.0</w:t>
            </w:r>
          </w:p>
        </w:tc>
        <w:tc>
          <w:tcPr>
            <w:tcW w:w="1359"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7.3</w:t>
            </w:r>
          </w:p>
        </w:tc>
        <w:tc>
          <w:tcPr>
            <w:tcW w:w="1328" w:type="dxa"/>
            <w:shd w:val="clear" w:color="auto" w:fill="FFFFFF"/>
            <w:vAlign w:val="center"/>
          </w:tcPr>
          <w:p w:rsidR="00C057F7" w:rsidRDefault="00264BD8">
            <w:pPr>
              <w:spacing w:line="320" w:lineRule="atLeast"/>
              <w:ind w:left="60" w:right="60" w:firstLine="360"/>
              <w:jc w:val="right"/>
              <w:rPr>
                <w:rFonts w:eastAsia="MingLiU"/>
                <w:sz w:val="18"/>
              </w:rPr>
            </w:pPr>
            <w:r>
              <w:rPr>
                <w:rFonts w:hint="eastAsia"/>
                <w:sz w:val="18"/>
              </w:rPr>
              <w:t>0</w:t>
            </w:r>
            <w:r>
              <w:rPr>
                <w:rFonts w:eastAsia="MingLiU"/>
                <w:sz w:val="18"/>
              </w:rPr>
              <w:t>.106</w:t>
            </w:r>
          </w:p>
        </w:tc>
        <w:tc>
          <w:tcPr>
            <w:tcW w:w="1377" w:type="dxa"/>
            <w:shd w:val="clear" w:color="auto" w:fill="FFFFFF"/>
            <w:vAlign w:val="center"/>
          </w:tcPr>
          <w:p w:rsidR="00C057F7" w:rsidRDefault="00264BD8">
            <w:pPr>
              <w:spacing w:line="320" w:lineRule="atLeast"/>
              <w:ind w:left="60" w:right="60" w:firstLine="360"/>
              <w:jc w:val="right"/>
              <w:rPr>
                <w:rFonts w:eastAsia="MingLiU"/>
                <w:sz w:val="18"/>
              </w:rPr>
            </w:pPr>
            <w:r>
              <w:rPr>
                <w:rFonts w:hint="eastAsia"/>
                <w:sz w:val="18"/>
              </w:rPr>
              <w:t>0</w:t>
            </w:r>
            <w:r>
              <w:rPr>
                <w:rFonts w:eastAsia="MingLiU"/>
                <w:sz w:val="18"/>
              </w:rPr>
              <w:t>.1844</w:t>
            </w:r>
          </w:p>
        </w:tc>
      </w:tr>
      <w:tr w:rsidR="00C057F7">
        <w:trPr>
          <w:cantSplit/>
          <w:trHeight w:val="454"/>
          <w:jc w:val="center"/>
        </w:trPr>
        <w:tc>
          <w:tcPr>
            <w:tcW w:w="2427" w:type="dxa"/>
            <w:shd w:val="clear" w:color="auto" w:fill="FFFFFF"/>
            <w:vAlign w:val="center"/>
          </w:tcPr>
          <w:p w:rsidR="00C057F7" w:rsidRDefault="00264BD8">
            <w:pPr>
              <w:spacing w:line="320" w:lineRule="atLeast"/>
              <w:ind w:left="60" w:right="60" w:firstLine="360"/>
              <w:rPr>
                <w:rFonts w:eastAsia="MingLiU"/>
                <w:sz w:val="18"/>
              </w:rPr>
            </w:pPr>
            <w:r>
              <w:rPr>
                <w:rFonts w:eastAsia="MingLiU"/>
                <w:sz w:val="18"/>
              </w:rPr>
              <w:t>ACCRT</w:t>
            </w:r>
          </w:p>
        </w:tc>
        <w:tc>
          <w:tcPr>
            <w:tcW w:w="1252"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6808</w:t>
            </w:r>
          </w:p>
        </w:tc>
        <w:tc>
          <w:tcPr>
            <w:tcW w:w="1357" w:type="dxa"/>
            <w:shd w:val="clear" w:color="auto" w:fill="FFFFFF"/>
            <w:vAlign w:val="center"/>
          </w:tcPr>
          <w:p w:rsidR="00C057F7" w:rsidRDefault="00264BD8">
            <w:pPr>
              <w:spacing w:line="320" w:lineRule="atLeast"/>
              <w:ind w:left="60" w:right="60" w:firstLine="360"/>
              <w:jc w:val="right"/>
              <w:rPr>
                <w:rFonts w:eastAsia="MingLiU"/>
                <w:sz w:val="18"/>
              </w:rPr>
            </w:pPr>
            <w:r>
              <w:rPr>
                <w:rFonts w:hint="eastAsia"/>
                <w:sz w:val="18"/>
              </w:rPr>
              <w:t>0</w:t>
            </w:r>
            <w:r>
              <w:rPr>
                <w:rFonts w:eastAsia="MingLiU"/>
                <w:sz w:val="18"/>
              </w:rPr>
              <w:t>.0</w:t>
            </w:r>
          </w:p>
        </w:tc>
        <w:tc>
          <w:tcPr>
            <w:tcW w:w="1359" w:type="dxa"/>
            <w:shd w:val="clear" w:color="auto" w:fill="FFFFFF"/>
            <w:vAlign w:val="center"/>
          </w:tcPr>
          <w:p w:rsidR="00C057F7" w:rsidRDefault="00264BD8">
            <w:pPr>
              <w:spacing w:line="320" w:lineRule="atLeast"/>
              <w:ind w:left="60" w:right="60" w:firstLine="360"/>
              <w:jc w:val="right"/>
              <w:rPr>
                <w:rFonts w:eastAsia="MingLiU"/>
                <w:sz w:val="18"/>
              </w:rPr>
            </w:pPr>
            <w:r>
              <w:rPr>
                <w:rFonts w:hint="eastAsia"/>
                <w:sz w:val="18"/>
              </w:rPr>
              <w:t>0</w:t>
            </w:r>
            <w:r>
              <w:rPr>
                <w:rFonts w:eastAsia="MingLiU"/>
                <w:sz w:val="18"/>
              </w:rPr>
              <w:t>.6</w:t>
            </w:r>
          </w:p>
        </w:tc>
        <w:tc>
          <w:tcPr>
            <w:tcW w:w="1328" w:type="dxa"/>
            <w:shd w:val="clear" w:color="auto" w:fill="FFFFFF"/>
            <w:vAlign w:val="center"/>
          </w:tcPr>
          <w:p w:rsidR="00C057F7" w:rsidRDefault="00264BD8">
            <w:pPr>
              <w:spacing w:line="320" w:lineRule="atLeast"/>
              <w:ind w:left="60" w:right="60" w:firstLine="360"/>
              <w:jc w:val="right"/>
              <w:rPr>
                <w:rFonts w:eastAsia="MingLiU"/>
                <w:sz w:val="18"/>
              </w:rPr>
            </w:pPr>
            <w:r>
              <w:rPr>
                <w:rFonts w:hint="eastAsia"/>
                <w:sz w:val="18"/>
              </w:rPr>
              <w:t>0</w:t>
            </w:r>
            <w:r>
              <w:rPr>
                <w:rFonts w:eastAsia="MingLiU"/>
                <w:sz w:val="18"/>
              </w:rPr>
              <w:t>.008</w:t>
            </w:r>
          </w:p>
        </w:tc>
        <w:tc>
          <w:tcPr>
            <w:tcW w:w="1377" w:type="dxa"/>
            <w:shd w:val="clear" w:color="auto" w:fill="FFFFFF"/>
            <w:vAlign w:val="center"/>
          </w:tcPr>
          <w:p w:rsidR="00C057F7" w:rsidRDefault="00264BD8">
            <w:pPr>
              <w:spacing w:line="320" w:lineRule="atLeast"/>
              <w:ind w:left="60" w:right="60" w:firstLine="360"/>
              <w:jc w:val="right"/>
              <w:rPr>
                <w:rFonts w:eastAsia="MingLiU"/>
                <w:sz w:val="18"/>
              </w:rPr>
            </w:pPr>
            <w:r>
              <w:rPr>
                <w:rFonts w:hint="eastAsia"/>
                <w:sz w:val="18"/>
              </w:rPr>
              <w:t>0</w:t>
            </w:r>
            <w:r>
              <w:rPr>
                <w:rFonts w:eastAsia="MingLiU"/>
                <w:sz w:val="18"/>
              </w:rPr>
              <w:t>.0366</w:t>
            </w:r>
          </w:p>
        </w:tc>
      </w:tr>
      <w:tr w:rsidR="00C057F7">
        <w:trPr>
          <w:cantSplit/>
          <w:trHeight w:val="454"/>
          <w:jc w:val="center"/>
        </w:trPr>
        <w:tc>
          <w:tcPr>
            <w:tcW w:w="2427" w:type="dxa"/>
            <w:shd w:val="clear" w:color="auto" w:fill="FFFFFF"/>
            <w:vAlign w:val="center"/>
          </w:tcPr>
          <w:p w:rsidR="00C057F7" w:rsidRDefault="00264BD8">
            <w:pPr>
              <w:spacing w:line="320" w:lineRule="atLeast"/>
              <w:ind w:left="60" w:right="60" w:firstLine="360"/>
              <w:rPr>
                <w:sz w:val="18"/>
              </w:rPr>
            </w:pPr>
            <w:r>
              <w:rPr>
                <w:sz w:val="18"/>
              </w:rPr>
              <w:lastRenderedPageBreak/>
              <w:t>SIZE</w:t>
            </w:r>
          </w:p>
        </w:tc>
        <w:tc>
          <w:tcPr>
            <w:tcW w:w="1252"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6808</w:t>
            </w:r>
          </w:p>
        </w:tc>
        <w:tc>
          <w:tcPr>
            <w:tcW w:w="1357"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16.0</w:t>
            </w:r>
          </w:p>
        </w:tc>
        <w:tc>
          <w:tcPr>
            <w:tcW w:w="1359"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28.5</w:t>
            </w:r>
          </w:p>
        </w:tc>
        <w:tc>
          <w:tcPr>
            <w:tcW w:w="1328"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22.379</w:t>
            </w:r>
          </w:p>
        </w:tc>
        <w:tc>
          <w:tcPr>
            <w:tcW w:w="1377"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1.3293</w:t>
            </w:r>
          </w:p>
        </w:tc>
      </w:tr>
      <w:tr w:rsidR="00C057F7">
        <w:trPr>
          <w:cantSplit/>
          <w:trHeight w:val="454"/>
          <w:jc w:val="center"/>
        </w:trPr>
        <w:tc>
          <w:tcPr>
            <w:tcW w:w="2427" w:type="dxa"/>
            <w:shd w:val="clear" w:color="auto" w:fill="FFFFFF"/>
            <w:vAlign w:val="center"/>
          </w:tcPr>
          <w:p w:rsidR="00C057F7" w:rsidRDefault="00264BD8">
            <w:pPr>
              <w:spacing w:line="320" w:lineRule="atLeast"/>
              <w:ind w:left="60" w:right="60" w:firstLine="360"/>
              <w:rPr>
                <w:sz w:val="18"/>
              </w:rPr>
            </w:pPr>
            <w:r>
              <w:rPr>
                <w:sz w:val="18"/>
              </w:rPr>
              <w:t>LEV</w:t>
            </w:r>
          </w:p>
        </w:tc>
        <w:tc>
          <w:tcPr>
            <w:tcW w:w="1252"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6808</w:t>
            </w:r>
          </w:p>
        </w:tc>
        <w:tc>
          <w:tcPr>
            <w:tcW w:w="1357" w:type="dxa"/>
            <w:shd w:val="clear" w:color="auto" w:fill="FFFFFF"/>
            <w:vAlign w:val="center"/>
          </w:tcPr>
          <w:p w:rsidR="00C057F7" w:rsidRDefault="00264BD8">
            <w:pPr>
              <w:spacing w:line="320" w:lineRule="atLeast"/>
              <w:ind w:left="60" w:right="60" w:firstLine="360"/>
              <w:jc w:val="right"/>
              <w:rPr>
                <w:rFonts w:eastAsia="MingLiU"/>
                <w:sz w:val="18"/>
              </w:rPr>
            </w:pPr>
            <w:r>
              <w:rPr>
                <w:rFonts w:hint="eastAsia"/>
                <w:sz w:val="18"/>
              </w:rPr>
              <w:t>0</w:t>
            </w:r>
            <w:r>
              <w:rPr>
                <w:rFonts w:eastAsia="MingLiU"/>
                <w:sz w:val="18"/>
              </w:rPr>
              <w:t>.0</w:t>
            </w:r>
          </w:p>
        </w:tc>
        <w:tc>
          <w:tcPr>
            <w:tcW w:w="1359"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3.3</w:t>
            </w:r>
          </w:p>
        </w:tc>
        <w:tc>
          <w:tcPr>
            <w:tcW w:w="1328" w:type="dxa"/>
            <w:shd w:val="clear" w:color="auto" w:fill="FFFFFF"/>
            <w:vAlign w:val="center"/>
          </w:tcPr>
          <w:p w:rsidR="00C057F7" w:rsidRDefault="00264BD8">
            <w:pPr>
              <w:spacing w:line="320" w:lineRule="atLeast"/>
              <w:ind w:left="60" w:right="60" w:firstLine="360"/>
              <w:jc w:val="right"/>
              <w:rPr>
                <w:rFonts w:eastAsia="MingLiU"/>
                <w:sz w:val="18"/>
              </w:rPr>
            </w:pPr>
            <w:r>
              <w:rPr>
                <w:rFonts w:hint="eastAsia"/>
                <w:sz w:val="18"/>
              </w:rPr>
              <w:t>0</w:t>
            </w:r>
            <w:r>
              <w:rPr>
                <w:rFonts w:eastAsia="MingLiU"/>
                <w:sz w:val="18"/>
              </w:rPr>
              <w:t>.438</w:t>
            </w:r>
          </w:p>
        </w:tc>
        <w:tc>
          <w:tcPr>
            <w:tcW w:w="1377" w:type="dxa"/>
            <w:shd w:val="clear" w:color="auto" w:fill="FFFFFF"/>
            <w:vAlign w:val="center"/>
          </w:tcPr>
          <w:p w:rsidR="00C057F7" w:rsidRDefault="00264BD8">
            <w:pPr>
              <w:spacing w:line="320" w:lineRule="atLeast"/>
              <w:ind w:left="60" w:right="60" w:firstLine="360"/>
              <w:jc w:val="right"/>
              <w:rPr>
                <w:rFonts w:eastAsia="MingLiU"/>
                <w:sz w:val="18"/>
              </w:rPr>
            </w:pPr>
            <w:r>
              <w:rPr>
                <w:rFonts w:hint="eastAsia"/>
                <w:sz w:val="18"/>
              </w:rPr>
              <w:t>0</w:t>
            </w:r>
            <w:r>
              <w:rPr>
                <w:rFonts w:eastAsia="MingLiU"/>
                <w:sz w:val="18"/>
              </w:rPr>
              <w:t>.2112</w:t>
            </w:r>
          </w:p>
        </w:tc>
      </w:tr>
      <w:tr w:rsidR="00C057F7">
        <w:trPr>
          <w:cantSplit/>
          <w:trHeight w:val="454"/>
          <w:jc w:val="center"/>
        </w:trPr>
        <w:tc>
          <w:tcPr>
            <w:tcW w:w="2427" w:type="dxa"/>
            <w:shd w:val="clear" w:color="auto" w:fill="FFFFFF"/>
            <w:vAlign w:val="center"/>
          </w:tcPr>
          <w:p w:rsidR="00C057F7" w:rsidRDefault="00264BD8">
            <w:pPr>
              <w:spacing w:line="320" w:lineRule="atLeast"/>
              <w:ind w:left="60" w:right="60" w:firstLine="360"/>
              <w:rPr>
                <w:sz w:val="18"/>
              </w:rPr>
            </w:pPr>
            <w:r>
              <w:rPr>
                <w:sz w:val="18"/>
              </w:rPr>
              <w:t>GRTH</w:t>
            </w:r>
          </w:p>
        </w:tc>
        <w:tc>
          <w:tcPr>
            <w:tcW w:w="1252"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6808</w:t>
            </w:r>
          </w:p>
        </w:tc>
        <w:tc>
          <w:tcPr>
            <w:tcW w:w="1357"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w:t>
            </w:r>
            <w:r>
              <w:rPr>
                <w:rFonts w:hint="eastAsia"/>
                <w:sz w:val="18"/>
              </w:rPr>
              <w:t>0</w:t>
            </w:r>
            <w:r>
              <w:rPr>
                <w:rFonts w:eastAsia="MingLiU"/>
                <w:sz w:val="18"/>
              </w:rPr>
              <w:t>.9</w:t>
            </w:r>
          </w:p>
        </w:tc>
        <w:tc>
          <w:tcPr>
            <w:tcW w:w="1359"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87.5</w:t>
            </w:r>
          </w:p>
        </w:tc>
        <w:tc>
          <w:tcPr>
            <w:tcW w:w="1328" w:type="dxa"/>
            <w:shd w:val="clear" w:color="auto" w:fill="FFFFFF"/>
            <w:vAlign w:val="center"/>
          </w:tcPr>
          <w:p w:rsidR="00C057F7" w:rsidRDefault="00264BD8">
            <w:pPr>
              <w:spacing w:line="320" w:lineRule="atLeast"/>
              <w:ind w:left="60" w:right="60" w:firstLine="360"/>
              <w:jc w:val="right"/>
              <w:rPr>
                <w:rFonts w:eastAsia="MingLiU"/>
                <w:sz w:val="18"/>
              </w:rPr>
            </w:pPr>
            <w:r>
              <w:rPr>
                <w:rFonts w:hint="eastAsia"/>
                <w:sz w:val="18"/>
              </w:rPr>
              <w:t>0</w:t>
            </w:r>
            <w:r>
              <w:rPr>
                <w:rFonts w:eastAsia="MingLiU"/>
                <w:sz w:val="18"/>
              </w:rPr>
              <w:t>.260</w:t>
            </w:r>
          </w:p>
        </w:tc>
        <w:tc>
          <w:tcPr>
            <w:tcW w:w="1377"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2.0703</w:t>
            </w:r>
          </w:p>
        </w:tc>
      </w:tr>
      <w:tr w:rsidR="00C057F7">
        <w:trPr>
          <w:cantSplit/>
          <w:trHeight w:val="454"/>
          <w:jc w:val="center"/>
        </w:trPr>
        <w:tc>
          <w:tcPr>
            <w:tcW w:w="2427" w:type="dxa"/>
            <w:shd w:val="clear" w:color="auto" w:fill="FFFFFF"/>
            <w:vAlign w:val="center"/>
          </w:tcPr>
          <w:p w:rsidR="00C057F7" w:rsidRDefault="00264BD8">
            <w:pPr>
              <w:spacing w:line="320" w:lineRule="atLeast"/>
              <w:ind w:left="60" w:right="60" w:firstLine="360"/>
              <w:rPr>
                <w:sz w:val="18"/>
              </w:rPr>
            </w:pPr>
            <w:r>
              <w:rPr>
                <w:sz w:val="18"/>
              </w:rPr>
              <w:t>FIRST</w:t>
            </w:r>
          </w:p>
        </w:tc>
        <w:tc>
          <w:tcPr>
            <w:tcW w:w="1252"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6808</w:t>
            </w:r>
          </w:p>
        </w:tc>
        <w:tc>
          <w:tcPr>
            <w:tcW w:w="1357" w:type="dxa"/>
            <w:shd w:val="clear" w:color="auto" w:fill="FFFFFF"/>
            <w:vAlign w:val="center"/>
          </w:tcPr>
          <w:p w:rsidR="00C057F7" w:rsidRDefault="00264BD8">
            <w:pPr>
              <w:spacing w:line="320" w:lineRule="atLeast"/>
              <w:ind w:left="60" w:right="60" w:firstLine="360"/>
              <w:jc w:val="right"/>
              <w:rPr>
                <w:rFonts w:eastAsia="MingLiU"/>
                <w:sz w:val="18"/>
              </w:rPr>
            </w:pPr>
            <w:r>
              <w:rPr>
                <w:rFonts w:hint="eastAsia"/>
                <w:sz w:val="18"/>
              </w:rPr>
              <w:t>0</w:t>
            </w:r>
            <w:r>
              <w:rPr>
                <w:rFonts w:eastAsia="MingLiU"/>
                <w:sz w:val="18"/>
              </w:rPr>
              <w:t>.0</w:t>
            </w:r>
          </w:p>
        </w:tc>
        <w:tc>
          <w:tcPr>
            <w:tcW w:w="1359" w:type="dxa"/>
            <w:shd w:val="clear" w:color="auto" w:fill="FFFFFF"/>
            <w:vAlign w:val="center"/>
          </w:tcPr>
          <w:p w:rsidR="00C057F7" w:rsidRDefault="00264BD8">
            <w:pPr>
              <w:spacing w:line="320" w:lineRule="atLeast"/>
              <w:ind w:left="60" w:right="60" w:firstLine="360"/>
              <w:jc w:val="right"/>
              <w:rPr>
                <w:rFonts w:eastAsia="MingLiU"/>
                <w:sz w:val="18"/>
              </w:rPr>
            </w:pPr>
            <w:r>
              <w:rPr>
                <w:rFonts w:eastAsia="MingLiU"/>
                <w:sz w:val="18"/>
              </w:rPr>
              <w:t>1.0</w:t>
            </w:r>
          </w:p>
        </w:tc>
        <w:tc>
          <w:tcPr>
            <w:tcW w:w="1328" w:type="dxa"/>
            <w:shd w:val="clear" w:color="auto" w:fill="FFFFFF"/>
            <w:vAlign w:val="center"/>
          </w:tcPr>
          <w:p w:rsidR="00C057F7" w:rsidRDefault="00264BD8">
            <w:pPr>
              <w:spacing w:line="320" w:lineRule="atLeast"/>
              <w:ind w:left="60" w:right="60" w:firstLine="360"/>
              <w:jc w:val="right"/>
              <w:rPr>
                <w:rFonts w:eastAsia="MingLiU"/>
                <w:sz w:val="18"/>
              </w:rPr>
            </w:pPr>
            <w:r>
              <w:rPr>
                <w:rFonts w:hint="eastAsia"/>
                <w:sz w:val="18"/>
              </w:rPr>
              <w:t>0</w:t>
            </w:r>
            <w:r>
              <w:rPr>
                <w:rFonts w:eastAsia="MingLiU"/>
                <w:sz w:val="18"/>
              </w:rPr>
              <w:t>.358</w:t>
            </w:r>
          </w:p>
        </w:tc>
        <w:tc>
          <w:tcPr>
            <w:tcW w:w="1377" w:type="dxa"/>
            <w:shd w:val="clear" w:color="auto" w:fill="FFFFFF"/>
            <w:vAlign w:val="center"/>
          </w:tcPr>
          <w:p w:rsidR="00C057F7" w:rsidRDefault="00264BD8">
            <w:pPr>
              <w:spacing w:line="320" w:lineRule="atLeast"/>
              <w:ind w:left="60" w:right="60" w:firstLine="360"/>
              <w:jc w:val="right"/>
              <w:rPr>
                <w:rFonts w:eastAsia="MingLiU"/>
                <w:sz w:val="18"/>
              </w:rPr>
            </w:pPr>
            <w:r>
              <w:rPr>
                <w:rFonts w:hint="eastAsia"/>
                <w:sz w:val="18"/>
              </w:rPr>
              <w:t>0</w:t>
            </w:r>
            <w:r>
              <w:rPr>
                <w:rFonts w:eastAsia="MingLiU"/>
                <w:sz w:val="18"/>
              </w:rPr>
              <w:t>.1531</w:t>
            </w:r>
          </w:p>
        </w:tc>
      </w:tr>
    </w:tbl>
    <w:p w:rsidR="00C057F7" w:rsidRDefault="00264BD8">
      <w:pPr>
        <w:pStyle w:val="2"/>
        <w:tabs>
          <w:tab w:val="left" w:pos="0"/>
        </w:tabs>
        <w:spacing w:before="156" w:afterLines="0" w:line="400" w:lineRule="exact"/>
        <w:ind w:left="0" w:firstLine="0"/>
      </w:pPr>
      <w:bookmarkStart w:id="31" w:name="_Toc8383284"/>
      <w:bookmarkStart w:id="32" w:name="_Toc14794"/>
      <w:bookmarkStart w:id="33" w:name="_Toc385787647"/>
      <w:r>
        <w:rPr>
          <w:rFonts w:ascii="Times New Roman" w:hAnsi="Times New Roman" w:hint="eastAsia"/>
        </w:rPr>
        <w:t>5.2</w:t>
      </w:r>
      <w:r>
        <w:rPr>
          <w:rFonts w:ascii="Times New Roman" w:hAnsi="Times New Roman" w:hint="eastAsia"/>
        </w:rPr>
        <w:t>相关性分析</w:t>
      </w:r>
      <w:bookmarkEnd w:id="31"/>
      <w:bookmarkEnd w:id="32"/>
      <w:bookmarkEnd w:id="33"/>
    </w:p>
    <w:p w:rsidR="00C057F7" w:rsidRDefault="00264BD8">
      <w:pPr>
        <w:spacing w:line="400" w:lineRule="exact"/>
        <w:ind w:firstLine="420"/>
        <w:rPr>
          <w:szCs w:val="21"/>
        </w:rPr>
      </w:pPr>
      <w:r>
        <w:rPr>
          <w:rFonts w:hint="eastAsia"/>
          <w:color w:val="000000"/>
          <w:szCs w:val="21"/>
        </w:rPr>
        <w:t>根据本文中</w:t>
      </w:r>
      <w:r>
        <w:rPr>
          <w:color w:val="000000"/>
          <w:szCs w:val="21"/>
        </w:rPr>
        <w:t>所提出的假设，</w:t>
      </w:r>
      <w:r>
        <w:rPr>
          <w:rFonts w:hint="eastAsia"/>
          <w:color w:val="000000"/>
          <w:szCs w:val="21"/>
        </w:rPr>
        <w:t>最先</w:t>
      </w:r>
      <w:r>
        <w:rPr>
          <w:color w:val="000000"/>
          <w:szCs w:val="21"/>
        </w:rPr>
        <w:t>进行了相关分析，衡量</w:t>
      </w:r>
      <w:r>
        <w:rPr>
          <w:rFonts w:hint="eastAsia"/>
          <w:color w:val="000000"/>
          <w:szCs w:val="21"/>
        </w:rPr>
        <w:t>了</w:t>
      </w:r>
      <w:r>
        <w:rPr>
          <w:color w:val="000000"/>
          <w:szCs w:val="21"/>
        </w:rPr>
        <w:t>各变量之间</w:t>
      </w:r>
      <w:r>
        <w:rPr>
          <w:rFonts w:hint="eastAsia"/>
          <w:color w:val="000000"/>
          <w:szCs w:val="21"/>
        </w:rPr>
        <w:t>相关密切程度，</w:t>
      </w:r>
      <w:r>
        <w:rPr>
          <w:szCs w:val="21"/>
        </w:rPr>
        <w:t>分析结果如表</w:t>
      </w:r>
      <w:r>
        <w:rPr>
          <w:rFonts w:hint="eastAsia"/>
          <w:szCs w:val="21"/>
        </w:rPr>
        <w:t>5.2</w:t>
      </w:r>
      <w:r>
        <w:rPr>
          <w:szCs w:val="21"/>
        </w:rPr>
        <w:t>所示</w:t>
      </w:r>
      <w:r>
        <w:rPr>
          <w:rFonts w:hint="eastAsia"/>
          <w:szCs w:val="21"/>
        </w:rPr>
        <w:t>。由表</w:t>
      </w:r>
      <w:r>
        <w:rPr>
          <w:rFonts w:hint="eastAsia"/>
          <w:szCs w:val="21"/>
        </w:rPr>
        <w:t xml:space="preserve"> 5.2</w:t>
      </w:r>
      <w:r>
        <w:rPr>
          <w:rFonts w:hint="eastAsia"/>
          <w:szCs w:val="21"/>
        </w:rPr>
        <w:t>数据可知，</w:t>
      </w:r>
      <w:r>
        <w:rPr>
          <w:rFonts w:hint="eastAsia"/>
        </w:rPr>
        <w:t>总资产回报率（</w:t>
      </w:r>
      <w:r>
        <w:rPr>
          <w:szCs w:val="21"/>
        </w:rPr>
        <w:t>ROA</w:t>
      </w:r>
      <w:r>
        <w:rPr>
          <w:rFonts w:hint="eastAsia"/>
          <w:szCs w:val="21"/>
        </w:rPr>
        <w:t>）</w:t>
      </w:r>
      <w:r>
        <w:rPr>
          <w:rFonts w:hint="eastAsia"/>
          <w:szCs w:val="21"/>
        </w:rPr>
        <w:t xml:space="preserve"> </w:t>
      </w:r>
      <w:r>
        <w:rPr>
          <w:rFonts w:hint="eastAsia"/>
          <w:szCs w:val="21"/>
        </w:rPr>
        <w:t>与</w:t>
      </w:r>
      <w:r>
        <w:rPr>
          <w:rFonts w:hint="eastAsia"/>
        </w:rPr>
        <w:t>现金股利支付率（</w:t>
      </w:r>
      <w:r>
        <w:rPr>
          <w:szCs w:val="21"/>
        </w:rPr>
        <w:t>DE</w:t>
      </w:r>
      <w:r>
        <w:rPr>
          <w:rFonts w:hint="eastAsia"/>
          <w:szCs w:val="21"/>
        </w:rPr>
        <w:t>）的相关系数为</w:t>
      </w:r>
      <w:r>
        <w:rPr>
          <w:szCs w:val="21"/>
        </w:rPr>
        <w:t>0.095</w:t>
      </w:r>
      <w:r>
        <w:rPr>
          <w:rFonts w:hint="eastAsia"/>
          <w:szCs w:val="21"/>
        </w:rPr>
        <w:t>，</w:t>
      </w:r>
      <w:r>
        <w:t>在</w:t>
      </w:r>
      <w:r>
        <w:t>1%</w:t>
      </w:r>
      <w:r>
        <w:t>的显著水平上</w:t>
      </w:r>
      <w:r>
        <w:rPr>
          <w:rFonts w:hint="eastAsia"/>
          <w:szCs w:val="21"/>
        </w:rPr>
        <w:t>呈显著正相关关系，说明现金股利越大，公司绩效越高，初步验证了假设一，</w:t>
      </w:r>
      <w:r>
        <w:rPr>
          <w:rFonts w:hint="eastAsia"/>
        </w:rPr>
        <w:t>现金股利与企业绩效存在显著的正相关关系，提高现金股利分配比例有利于改进公司绩效</w:t>
      </w:r>
      <w:r>
        <w:rPr>
          <w:rFonts w:hint="eastAsia"/>
          <w:szCs w:val="21"/>
        </w:rPr>
        <w:t>。</w:t>
      </w:r>
      <w:r>
        <w:rPr>
          <w:rFonts w:hint="eastAsia"/>
        </w:rPr>
        <w:t>现金股利支付率（</w:t>
      </w:r>
      <w:r>
        <w:rPr>
          <w:szCs w:val="21"/>
        </w:rPr>
        <w:t>DE</w:t>
      </w:r>
      <w:r>
        <w:rPr>
          <w:rFonts w:hint="eastAsia"/>
          <w:szCs w:val="21"/>
        </w:rPr>
        <w:t>）与</w:t>
      </w:r>
      <w:r>
        <w:rPr>
          <w:rFonts w:hint="eastAsia"/>
        </w:rPr>
        <w:t>管理费用率（</w:t>
      </w:r>
      <w:r>
        <w:rPr>
          <w:szCs w:val="21"/>
        </w:rPr>
        <w:t>MNFEE</w:t>
      </w:r>
      <w:r>
        <w:rPr>
          <w:rFonts w:hint="eastAsia"/>
          <w:szCs w:val="21"/>
        </w:rPr>
        <w:t>）</w:t>
      </w:r>
      <w:r>
        <w:rPr>
          <w:rFonts w:hint="eastAsia"/>
          <w:szCs w:val="21"/>
        </w:rPr>
        <w:t xml:space="preserve"> </w:t>
      </w:r>
      <w:r>
        <w:rPr>
          <w:rFonts w:hint="eastAsia"/>
          <w:szCs w:val="21"/>
        </w:rPr>
        <w:t>和</w:t>
      </w:r>
      <w:r>
        <w:rPr>
          <w:rFonts w:hint="eastAsia"/>
        </w:rPr>
        <w:t>其他应收款占比</w:t>
      </w:r>
      <w:r>
        <w:rPr>
          <w:rFonts w:hint="eastAsia"/>
          <w:szCs w:val="21"/>
        </w:rPr>
        <w:t xml:space="preserve"> </w:t>
      </w:r>
      <w:r>
        <w:rPr>
          <w:rFonts w:hint="eastAsia"/>
          <w:szCs w:val="21"/>
        </w:rPr>
        <w:t>（</w:t>
      </w:r>
      <w:r>
        <w:rPr>
          <w:szCs w:val="21"/>
        </w:rPr>
        <w:t>ACCRT</w:t>
      </w:r>
      <w:r>
        <w:rPr>
          <w:rFonts w:hint="eastAsia"/>
          <w:szCs w:val="21"/>
        </w:rPr>
        <w:t>）的相关系数分别为</w:t>
      </w:r>
      <w:r>
        <w:rPr>
          <w:szCs w:val="21"/>
        </w:rPr>
        <w:t>-0.</w:t>
      </w:r>
      <w:r>
        <w:rPr>
          <w:rFonts w:hint="eastAsia"/>
          <w:szCs w:val="21"/>
        </w:rPr>
        <w:t>043</w:t>
      </w:r>
      <w:r>
        <w:rPr>
          <w:rFonts w:hint="eastAsia"/>
          <w:szCs w:val="21"/>
        </w:rPr>
        <w:t>和</w:t>
      </w:r>
      <w:r>
        <w:rPr>
          <w:szCs w:val="21"/>
        </w:rPr>
        <w:t>-0.</w:t>
      </w:r>
      <w:r>
        <w:rPr>
          <w:rFonts w:hint="eastAsia"/>
          <w:szCs w:val="21"/>
        </w:rPr>
        <w:t>053</w:t>
      </w:r>
      <w:r>
        <w:rPr>
          <w:rFonts w:hint="eastAsia"/>
          <w:szCs w:val="21"/>
        </w:rPr>
        <w:t>，</w:t>
      </w:r>
      <w:r>
        <w:t>在</w:t>
      </w:r>
      <w:r>
        <w:t>1%</w:t>
      </w:r>
      <w:r>
        <w:t>的显著水平上</w:t>
      </w:r>
      <w:r>
        <w:rPr>
          <w:rFonts w:hint="eastAsia"/>
          <w:szCs w:val="21"/>
        </w:rPr>
        <w:t>呈显著负相</w:t>
      </w:r>
      <w:r>
        <w:rPr>
          <w:rFonts w:hint="eastAsia"/>
          <w:szCs w:val="21"/>
        </w:rPr>
        <w:t>关关系。表明第一类代理成本或第二类代理成本越低，现金股利越高</w:t>
      </w:r>
      <w:r>
        <w:rPr>
          <w:rFonts w:hint="eastAsia"/>
          <w:szCs w:val="21"/>
        </w:rPr>
        <w:t>,</w:t>
      </w:r>
      <w:r>
        <w:rPr>
          <w:rFonts w:hint="eastAsia"/>
          <w:szCs w:val="21"/>
        </w:rPr>
        <w:t>初步验证了假设</w:t>
      </w:r>
      <w:r>
        <w:rPr>
          <w:rFonts w:hint="eastAsia"/>
          <w:szCs w:val="21"/>
        </w:rPr>
        <w:t>2</w:t>
      </w:r>
      <w:r>
        <w:rPr>
          <w:rFonts w:hint="eastAsia"/>
          <w:szCs w:val="21"/>
        </w:rPr>
        <w:t>，</w:t>
      </w:r>
      <w:r>
        <w:rPr>
          <w:rFonts w:hint="eastAsia"/>
        </w:rPr>
        <w:t>代理成本与现金股利政策存在显著负相关关系，提高现金股利政策有利于降低代理成本。同时根据总资产回报率（</w:t>
      </w:r>
      <w:r>
        <w:rPr>
          <w:szCs w:val="21"/>
        </w:rPr>
        <w:t>ROA</w:t>
      </w:r>
      <w:r>
        <w:rPr>
          <w:rFonts w:hint="eastAsia"/>
          <w:szCs w:val="21"/>
        </w:rPr>
        <w:t>）与</w:t>
      </w:r>
      <w:r>
        <w:rPr>
          <w:rFonts w:hint="eastAsia"/>
        </w:rPr>
        <w:t>管理费用率（</w:t>
      </w:r>
      <w:r>
        <w:rPr>
          <w:szCs w:val="21"/>
        </w:rPr>
        <w:t>MNFEE</w:t>
      </w:r>
      <w:r>
        <w:rPr>
          <w:rFonts w:hint="eastAsia"/>
          <w:szCs w:val="21"/>
        </w:rPr>
        <w:t>）</w:t>
      </w:r>
      <w:r>
        <w:rPr>
          <w:rFonts w:hint="eastAsia"/>
          <w:szCs w:val="21"/>
        </w:rPr>
        <w:t xml:space="preserve"> </w:t>
      </w:r>
      <w:r>
        <w:rPr>
          <w:rFonts w:hint="eastAsia"/>
          <w:szCs w:val="21"/>
        </w:rPr>
        <w:t>和</w:t>
      </w:r>
      <w:r>
        <w:rPr>
          <w:rFonts w:hint="eastAsia"/>
        </w:rPr>
        <w:t>其他应收款占比</w:t>
      </w:r>
      <w:r>
        <w:rPr>
          <w:rFonts w:hint="eastAsia"/>
          <w:szCs w:val="21"/>
        </w:rPr>
        <w:t xml:space="preserve"> </w:t>
      </w:r>
      <w:r>
        <w:rPr>
          <w:rFonts w:hint="eastAsia"/>
          <w:szCs w:val="21"/>
        </w:rPr>
        <w:t>（</w:t>
      </w:r>
      <w:r>
        <w:rPr>
          <w:szCs w:val="21"/>
        </w:rPr>
        <w:t>ACCRT</w:t>
      </w:r>
      <w:r>
        <w:rPr>
          <w:rFonts w:hint="eastAsia"/>
          <w:szCs w:val="21"/>
        </w:rPr>
        <w:t>）的相关系数分别为</w:t>
      </w:r>
      <w:r>
        <w:rPr>
          <w:rFonts w:hint="eastAsia"/>
          <w:szCs w:val="21"/>
        </w:rPr>
        <w:t>-0.104</w:t>
      </w:r>
      <w:r>
        <w:rPr>
          <w:rFonts w:hint="eastAsia"/>
          <w:szCs w:val="21"/>
        </w:rPr>
        <w:t>和</w:t>
      </w:r>
      <w:r>
        <w:rPr>
          <w:rFonts w:hint="eastAsia"/>
          <w:szCs w:val="21"/>
        </w:rPr>
        <w:t>-0.122</w:t>
      </w:r>
      <w:r>
        <w:rPr>
          <w:rFonts w:hint="eastAsia"/>
          <w:szCs w:val="21"/>
        </w:rPr>
        <w:t>，</w:t>
      </w:r>
      <w:r>
        <w:rPr>
          <w:rFonts w:hint="eastAsia"/>
        </w:rPr>
        <w:t>可</w:t>
      </w:r>
      <w:r>
        <w:t>在</w:t>
      </w:r>
      <w:r>
        <w:t>1%</w:t>
      </w:r>
      <w:r>
        <w:t>的显著水平上</w:t>
      </w:r>
      <w:r>
        <w:rPr>
          <w:rFonts w:hint="eastAsia"/>
          <w:szCs w:val="21"/>
        </w:rPr>
        <w:t>呈显著负相关，可以知道两类代理成本与公司绩效存在显著正相关的关系。</w:t>
      </w:r>
      <w:r>
        <w:rPr>
          <w:rFonts w:hint="eastAsia"/>
        </w:rPr>
        <w:t>但关于假设</w:t>
      </w:r>
      <w:r>
        <w:rPr>
          <w:rFonts w:hint="eastAsia"/>
        </w:rPr>
        <w:t>3</w:t>
      </w:r>
      <w:r>
        <w:rPr>
          <w:rFonts w:hint="eastAsia"/>
        </w:rPr>
        <w:t>，代理成本是否在现金股利影响上市公司绩效的过程中发挥中介作用还需进一步验证。</w:t>
      </w:r>
      <w:r>
        <w:rPr>
          <w:rFonts w:hint="eastAsia"/>
          <w:szCs w:val="21"/>
        </w:rPr>
        <w:t>其中被解释变量与解释变量、控制变量之间相关系数</w:t>
      </w:r>
      <w:r>
        <w:rPr>
          <w:rFonts w:hint="eastAsia"/>
          <w:szCs w:val="21"/>
        </w:rPr>
        <w:t>的绝对值都小于</w:t>
      </w:r>
      <w:r>
        <w:rPr>
          <w:szCs w:val="21"/>
        </w:rPr>
        <w:t>0.5</w:t>
      </w:r>
      <w:r>
        <w:rPr>
          <w:rFonts w:hint="eastAsia"/>
          <w:szCs w:val="21"/>
        </w:rPr>
        <w:t>，则表明本文的多元回归模型研究中没有严重的多重共线性的问题。</w:t>
      </w:r>
    </w:p>
    <w:p w:rsidR="00C057F7" w:rsidRDefault="00264BD8">
      <w:pPr>
        <w:pStyle w:val="a3"/>
        <w:ind w:firstLine="361"/>
        <w:jc w:val="center"/>
        <w:rPr>
          <w:rFonts w:ascii="宋体" w:eastAsia="宋体" w:hAnsi="宋体" w:cs="宋体"/>
          <w:b/>
          <w:bCs/>
          <w:sz w:val="18"/>
          <w:szCs w:val="18"/>
        </w:rPr>
      </w:pPr>
      <w:r>
        <w:rPr>
          <w:rFonts w:ascii="宋体" w:eastAsia="宋体" w:hAnsi="宋体" w:cs="宋体" w:hint="eastAsia"/>
          <w:b/>
          <w:bCs/>
          <w:sz w:val="18"/>
          <w:szCs w:val="18"/>
        </w:rPr>
        <w:t>表</w:t>
      </w:r>
      <w:r>
        <w:rPr>
          <w:rFonts w:ascii="宋体" w:eastAsia="宋体" w:hAnsi="宋体" w:cs="宋体" w:hint="eastAsia"/>
          <w:b/>
          <w:bCs/>
          <w:sz w:val="18"/>
          <w:szCs w:val="18"/>
        </w:rPr>
        <w:t>5.</w:t>
      </w:r>
      <w:r w:rsidR="00C057F7">
        <w:rPr>
          <w:rFonts w:ascii="宋体" w:eastAsia="宋体" w:hAnsi="宋体" w:cs="宋体" w:hint="eastAsia"/>
          <w:b/>
          <w:bCs/>
          <w:sz w:val="18"/>
          <w:szCs w:val="18"/>
        </w:rPr>
        <w:fldChar w:fldCharType="begin"/>
      </w:r>
      <w:r>
        <w:rPr>
          <w:rFonts w:ascii="宋体" w:eastAsia="宋体" w:hAnsi="宋体" w:cs="宋体" w:hint="eastAsia"/>
          <w:b/>
          <w:bCs/>
          <w:sz w:val="18"/>
          <w:szCs w:val="18"/>
        </w:rPr>
        <w:instrText xml:space="preserve"> SEQ </w:instrText>
      </w:r>
      <w:r>
        <w:rPr>
          <w:rFonts w:ascii="宋体" w:eastAsia="宋体" w:hAnsi="宋体" w:cs="宋体" w:hint="eastAsia"/>
          <w:b/>
          <w:bCs/>
          <w:sz w:val="18"/>
          <w:szCs w:val="18"/>
        </w:rPr>
        <w:instrText>表</w:instrText>
      </w:r>
      <w:r>
        <w:rPr>
          <w:rFonts w:ascii="宋体" w:eastAsia="宋体" w:hAnsi="宋体" w:cs="宋体" w:hint="eastAsia"/>
          <w:b/>
          <w:bCs/>
          <w:sz w:val="18"/>
          <w:szCs w:val="18"/>
        </w:rPr>
        <w:instrText xml:space="preserve">5. \* ARABIC </w:instrText>
      </w:r>
      <w:r w:rsidR="00C057F7">
        <w:rPr>
          <w:rFonts w:ascii="宋体" w:eastAsia="宋体" w:hAnsi="宋体" w:cs="宋体" w:hint="eastAsia"/>
          <w:b/>
          <w:bCs/>
          <w:sz w:val="18"/>
          <w:szCs w:val="18"/>
        </w:rPr>
        <w:fldChar w:fldCharType="separate"/>
      </w:r>
      <w:r>
        <w:rPr>
          <w:rFonts w:ascii="宋体" w:eastAsia="宋体" w:hAnsi="宋体" w:cs="宋体"/>
          <w:b/>
          <w:bCs/>
          <w:sz w:val="18"/>
          <w:szCs w:val="18"/>
        </w:rPr>
        <w:t>2</w:t>
      </w:r>
      <w:r w:rsidR="00C057F7">
        <w:rPr>
          <w:rFonts w:ascii="宋体" w:eastAsia="宋体" w:hAnsi="宋体" w:cs="宋体" w:hint="eastAsia"/>
          <w:b/>
          <w:bCs/>
          <w:sz w:val="18"/>
          <w:szCs w:val="18"/>
        </w:rPr>
        <w:fldChar w:fldCharType="end"/>
      </w:r>
      <w:r>
        <w:rPr>
          <w:rFonts w:ascii="宋体" w:eastAsia="宋体" w:hAnsi="宋体" w:hint="eastAsia"/>
          <w:b/>
          <w:sz w:val="18"/>
          <w:szCs w:val="18"/>
        </w:rPr>
        <w:t xml:space="preserve"> </w:t>
      </w:r>
      <w:r>
        <w:rPr>
          <w:rFonts w:ascii="宋体" w:eastAsia="宋体" w:hAnsi="宋体" w:hint="eastAsia"/>
          <w:b/>
          <w:sz w:val="18"/>
          <w:szCs w:val="18"/>
        </w:rPr>
        <w:t>相关性分析</w:t>
      </w:r>
    </w:p>
    <w:tbl>
      <w:tblPr>
        <w:tblW w:w="8918" w:type="dxa"/>
        <w:tblInd w:w="10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869"/>
        <w:gridCol w:w="1030"/>
        <w:gridCol w:w="970"/>
        <w:gridCol w:w="1013"/>
        <w:gridCol w:w="1014"/>
        <w:gridCol w:w="1009"/>
        <w:gridCol w:w="1009"/>
        <w:gridCol w:w="1009"/>
        <w:gridCol w:w="995"/>
      </w:tblGrid>
      <w:tr w:rsidR="00C057F7">
        <w:trPr>
          <w:trHeight w:val="444"/>
        </w:trPr>
        <w:tc>
          <w:tcPr>
            <w:tcW w:w="869" w:type="dxa"/>
            <w:vAlign w:val="center"/>
          </w:tcPr>
          <w:p w:rsidR="00C057F7" w:rsidRDefault="00C057F7">
            <w:pPr>
              <w:ind w:firstLine="360"/>
              <w:jc w:val="center"/>
              <w:rPr>
                <w:sz w:val="18"/>
                <w:szCs w:val="18"/>
              </w:rPr>
            </w:pPr>
          </w:p>
        </w:tc>
        <w:tc>
          <w:tcPr>
            <w:tcW w:w="1030" w:type="dxa"/>
            <w:vAlign w:val="center"/>
          </w:tcPr>
          <w:p w:rsidR="00C057F7" w:rsidRDefault="00264BD8">
            <w:pPr>
              <w:ind w:firstLineChars="0" w:firstLine="0"/>
              <w:jc w:val="center"/>
              <w:rPr>
                <w:sz w:val="18"/>
                <w:szCs w:val="18"/>
              </w:rPr>
            </w:pPr>
            <w:r>
              <w:rPr>
                <w:sz w:val="18"/>
                <w:szCs w:val="18"/>
              </w:rPr>
              <w:t>ROA</w:t>
            </w:r>
          </w:p>
        </w:tc>
        <w:tc>
          <w:tcPr>
            <w:tcW w:w="970" w:type="dxa"/>
            <w:vAlign w:val="center"/>
          </w:tcPr>
          <w:p w:rsidR="00C057F7" w:rsidRDefault="00264BD8">
            <w:pPr>
              <w:ind w:firstLine="360"/>
              <w:rPr>
                <w:sz w:val="18"/>
                <w:szCs w:val="18"/>
              </w:rPr>
            </w:pPr>
            <w:r>
              <w:rPr>
                <w:sz w:val="18"/>
                <w:szCs w:val="18"/>
              </w:rPr>
              <w:t>DE</w:t>
            </w:r>
          </w:p>
        </w:tc>
        <w:tc>
          <w:tcPr>
            <w:tcW w:w="1013" w:type="dxa"/>
            <w:vAlign w:val="center"/>
          </w:tcPr>
          <w:p w:rsidR="00C057F7" w:rsidRDefault="00264BD8">
            <w:pPr>
              <w:ind w:firstLineChars="0" w:firstLine="0"/>
              <w:jc w:val="center"/>
              <w:rPr>
                <w:sz w:val="18"/>
                <w:szCs w:val="18"/>
              </w:rPr>
            </w:pPr>
            <w:r>
              <w:rPr>
                <w:sz w:val="18"/>
                <w:szCs w:val="18"/>
              </w:rPr>
              <w:t>MNFEE</w:t>
            </w:r>
          </w:p>
        </w:tc>
        <w:tc>
          <w:tcPr>
            <w:tcW w:w="1014" w:type="dxa"/>
            <w:vAlign w:val="center"/>
          </w:tcPr>
          <w:p w:rsidR="00C057F7" w:rsidRDefault="00264BD8">
            <w:pPr>
              <w:ind w:firstLineChars="0" w:firstLine="0"/>
              <w:jc w:val="center"/>
              <w:rPr>
                <w:sz w:val="18"/>
                <w:szCs w:val="18"/>
              </w:rPr>
            </w:pPr>
            <w:r>
              <w:rPr>
                <w:sz w:val="18"/>
                <w:szCs w:val="18"/>
              </w:rPr>
              <w:t>ACCRT</w:t>
            </w:r>
          </w:p>
        </w:tc>
        <w:tc>
          <w:tcPr>
            <w:tcW w:w="1009" w:type="dxa"/>
            <w:vAlign w:val="center"/>
          </w:tcPr>
          <w:p w:rsidR="00C057F7" w:rsidRDefault="00264BD8">
            <w:pPr>
              <w:ind w:firstLineChars="0" w:firstLine="0"/>
              <w:jc w:val="center"/>
              <w:rPr>
                <w:sz w:val="18"/>
                <w:szCs w:val="18"/>
              </w:rPr>
            </w:pPr>
            <w:r>
              <w:rPr>
                <w:sz w:val="18"/>
                <w:szCs w:val="18"/>
              </w:rPr>
              <w:t>SIZE</w:t>
            </w:r>
          </w:p>
        </w:tc>
        <w:tc>
          <w:tcPr>
            <w:tcW w:w="1009" w:type="dxa"/>
            <w:vAlign w:val="center"/>
          </w:tcPr>
          <w:p w:rsidR="00C057F7" w:rsidRDefault="00264BD8">
            <w:pPr>
              <w:ind w:firstLineChars="0" w:firstLine="0"/>
              <w:jc w:val="center"/>
              <w:rPr>
                <w:sz w:val="18"/>
                <w:szCs w:val="18"/>
              </w:rPr>
            </w:pPr>
            <w:r>
              <w:rPr>
                <w:sz w:val="18"/>
                <w:szCs w:val="20"/>
              </w:rPr>
              <w:t>LEV</w:t>
            </w:r>
          </w:p>
        </w:tc>
        <w:tc>
          <w:tcPr>
            <w:tcW w:w="1009" w:type="dxa"/>
            <w:vAlign w:val="center"/>
          </w:tcPr>
          <w:p w:rsidR="00C057F7" w:rsidRDefault="00264BD8">
            <w:pPr>
              <w:ind w:firstLineChars="0" w:firstLine="0"/>
              <w:jc w:val="center"/>
              <w:rPr>
                <w:sz w:val="18"/>
                <w:szCs w:val="18"/>
              </w:rPr>
            </w:pPr>
            <w:r>
              <w:rPr>
                <w:sz w:val="18"/>
                <w:szCs w:val="20"/>
              </w:rPr>
              <w:t>GRTH</w:t>
            </w:r>
          </w:p>
        </w:tc>
        <w:tc>
          <w:tcPr>
            <w:tcW w:w="995" w:type="dxa"/>
            <w:vAlign w:val="center"/>
          </w:tcPr>
          <w:p w:rsidR="00C057F7" w:rsidRDefault="00264BD8">
            <w:pPr>
              <w:ind w:firstLineChars="0" w:firstLine="0"/>
              <w:jc w:val="center"/>
              <w:rPr>
                <w:sz w:val="18"/>
                <w:szCs w:val="18"/>
              </w:rPr>
            </w:pPr>
            <w:r>
              <w:rPr>
                <w:sz w:val="18"/>
                <w:szCs w:val="20"/>
              </w:rPr>
              <w:t>FIRST</w:t>
            </w:r>
          </w:p>
        </w:tc>
      </w:tr>
      <w:tr w:rsidR="00C057F7">
        <w:trPr>
          <w:trHeight w:val="397"/>
        </w:trPr>
        <w:tc>
          <w:tcPr>
            <w:tcW w:w="869" w:type="dxa"/>
            <w:vAlign w:val="center"/>
          </w:tcPr>
          <w:p w:rsidR="00C057F7" w:rsidRDefault="00264BD8">
            <w:pPr>
              <w:ind w:firstLineChars="0" w:firstLine="0"/>
              <w:jc w:val="center"/>
              <w:rPr>
                <w:sz w:val="18"/>
                <w:szCs w:val="18"/>
              </w:rPr>
            </w:pPr>
            <w:r>
              <w:rPr>
                <w:sz w:val="18"/>
                <w:szCs w:val="18"/>
              </w:rPr>
              <w:t>ROA</w:t>
            </w:r>
          </w:p>
        </w:tc>
        <w:tc>
          <w:tcPr>
            <w:tcW w:w="1030" w:type="dxa"/>
            <w:vAlign w:val="center"/>
          </w:tcPr>
          <w:p w:rsidR="00C057F7" w:rsidRDefault="00264BD8">
            <w:pPr>
              <w:ind w:firstLine="360"/>
              <w:rPr>
                <w:sz w:val="18"/>
                <w:szCs w:val="18"/>
              </w:rPr>
            </w:pPr>
            <w:r>
              <w:rPr>
                <w:sz w:val="18"/>
                <w:szCs w:val="18"/>
              </w:rPr>
              <w:t>1</w:t>
            </w:r>
          </w:p>
        </w:tc>
        <w:tc>
          <w:tcPr>
            <w:tcW w:w="970" w:type="dxa"/>
            <w:vAlign w:val="center"/>
          </w:tcPr>
          <w:p w:rsidR="00C057F7" w:rsidRDefault="00C057F7">
            <w:pPr>
              <w:ind w:firstLine="360"/>
              <w:rPr>
                <w:sz w:val="18"/>
                <w:szCs w:val="18"/>
              </w:rPr>
            </w:pPr>
          </w:p>
        </w:tc>
        <w:tc>
          <w:tcPr>
            <w:tcW w:w="1013" w:type="dxa"/>
            <w:vAlign w:val="center"/>
          </w:tcPr>
          <w:p w:rsidR="00C057F7" w:rsidRDefault="00C057F7">
            <w:pPr>
              <w:ind w:firstLine="360"/>
              <w:rPr>
                <w:sz w:val="18"/>
                <w:szCs w:val="18"/>
              </w:rPr>
            </w:pPr>
          </w:p>
        </w:tc>
        <w:tc>
          <w:tcPr>
            <w:tcW w:w="1014" w:type="dxa"/>
            <w:vAlign w:val="center"/>
          </w:tcPr>
          <w:p w:rsidR="00C057F7" w:rsidRDefault="00C057F7">
            <w:pPr>
              <w:ind w:firstLine="360"/>
              <w:rPr>
                <w:sz w:val="18"/>
                <w:szCs w:val="18"/>
              </w:rPr>
            </w:pPr>
          </w:p>
        </w:tc>
        <w:tc>
          <w:tcPr>
            <w:tcW w:w="1009" w:type="dxa"/>
            <w:vAlign w:val="center"/>
          </w:tcPr>
          <w:p w:rsidR="00C057F7" w:rsidRDefault="00C057F7">
            <w:pPr>
              <w:ind w:firstLine="360"/>
              <w:rPr>
                <w:sz w:val="18"/>
                <w:szCs w:val="18"/>
              </w:rPr>
            </w:pPr>
          </w:p>
        </w:tc>
        <w:tc>
          <w:tcPr>
            <w:tcW w:w="1009" w:type="dxa"/>
            <w:vAlign w:val="center"/>
          </w:tcPr>
          <w:p w:rsidR="00C057F7" w:rsidRDefault="00C057F7">
            <w:pPr>
              <w:ind w:firstLine="360"/>
              <w:rPr>
                <w:sz w:val="18"/>
                <w:szCs w:val="18"/>
              </w:rPr>
            </w:pPr>
          </w:p>
        </w:tc>
        <w:tc>
          <w:tcPr>
            <w:tcW w:w="1009" w:type="dxa"/>
            <w:vAlign w:val="center"/>
          </w:tcPr>
          <w:p w:rsidR="00C057F7" w:rsidRDefault="00C057F7">
            <w:pPr>
              <w:ind w:firstLine="360"/>
              <w:rPr>
                <w:sz w:val="18"/>
                <w:szCs w:val="18"/>
              </w:rPr>
            </w:pPr>
          </w:p>
        </w:tc>
        <w:tc>
          <w:tcPr>
            <w:tcW w:w="995" w:type="dxa"/>
            <w:vAlign w:val="center"/>
          </w:tcPr>
          <w:p w:rsidR="00C057F7" w:rsidRDefault="00C057F7">
            <w:pPr>
              <w:ind w:firstLine="360"/>
              <w:rPr>
                <w:sz w:val="18"/>
                <w:szCs w:val="18"/>
              </w:rPr>
            </w:pPr>
          </w:p>
        </w:tc>
      </w:tr>
      <w:tr w:rsidR="00C057F7">
        <w:trPr>
          <w:trHeight w:val="397"/>
        </w:trPr>
        <w:tc>
          <w:tcPr>
            <w:tcW w:w="869" w:type="dxa"/>
            <w:vAlign w:val="center"/>
          </w:tcPr>
          <w:p w:rsidR="00C057F7" w:rsidRDefault="00264BD8">
            <w:pPr>
              <w:ind w:firstLineChars="0" w:firstLine="0"/>
              <w:jc w:val="center"/>
              <w:rPr>
                <w:sz w:val="18"/>
                <w:szCs w:val="18"/>
              </w:rPr>
            </w:pPr>
            <w:r>
              <w:rPr>
                <w:sz w:val="18"/>
                <w:szCs w:val="18"/>
              </w:rPr>
              <w:t>DE</w:t>
            </w:r>
          </w:p>
        </w:tc>
        <w:tc>
          <w:tcPr>
            <w:tcW w:w="1030" w:type="dxa"/>
            <w:vAlign w:val="center"/>
          </w:tcPr>
          <w:p w:rsidR="00C057F7" w:rsidRDefault="00264BD8">
            <w:pPr>
              <w:ind w:firstLineChars="0" w:firstLine="0"/>
              <w:jc w:val="center"/>
              <w:rPr>
                <w:sz w:val="18"/>
                <w:szCs w:val="18"/>
              </w:rPr>
            </w:pPr>
            <w:r>
              <w:rPr>
                <w:sz w:val="18"/>
                <w:szCs w:val="18"/>
              </w:rPr>
              <w:t>0.095</w:t>
            </w:r>
            <w:r>
              <w:rPr>
                <w:sz w:val="18"/>
                <w:szCs w:val="18"/>
                <w:vertAlign w:val="superscript"/>
              </w:rPr>
              <w:t>***</w:t>
            </w:r>
          </w:p>
        </w:tc>
        <w:tc>
          <w:tcPr>
            <w:tcW w:w="970" w:type="dxa"/>
            <w:vAlign w:val="center"/>
          </w:tcPr>
          <w:p w:rsidR="00C057F7" w:rsidRDefault="00264BD8">
            <w:pPr>
              <w:ind w:firstLine="360"/>
              <w:rPr>
                <w:sz w:val="18"/>
                <w:szCs w:val="18"/>
              </w:rPr>
            </w:pPr>
            <w:r>
              <w:rPr>
                <w:sz w:val="18"/>
                <w:szCs w:val="18"/>
              </w:rPr>
              <w:t>1</w:t>
            </w:r>
          </w:p>
        </w:tc>
        <w:tc>
          <w:tcPr>
            <w:tcW w:w="1013" w:type="dxa"/>
            <w:vAlign w:val="center"/>
          </w:tcPr>
          <w:p w:rsidR="00C057F7" w:rsidRDefault="00C057F7">
            <w:pPr>
              <w:ind w:firstLine="360"/>
              <w:rPr>
                <w:sz w:val="18"/>
                <w:szCs w:val="18"/>
              </w:rPr>
            </w:pPr>
          </w:p>
        </w:tc>
        <w:tc>
          <w:tcPr>
            <w:tcW w:w="1014" w:type="dxa"/>
            <w:vAlign w:val="center"/>
          </w:tcPr>
          <w:p w:rsidR="00C057F7" w:rsidRDefault="00C057F7">
            <w:pPr>
              <w:ind w:firstLine="360"/>
              <w:rPr>
                <w:sz w:val="18"/>
                <w:szCs w:val="18"/>
              </w:rPr>
            </w:pPr>
          </w:p>
        </w:tc>
        <w:tc>
          <w:tcPr>
            <w:tcW w:w="1009" w:type="dxa"/>
            <w:vAlign w:val="center"/>
          </w:tcPr>
          <w:p w:rsidR="00C057F7" w:rsidRDefault="00C057F7">
            <w:pPr>
              <w:ind w:firstLine="360"/>
              <w:rPr>
                <w:sz w:val="18"/>
                <w:szCs w:val="18"/>
              </w:rPr>
            </w:pPr>
          </w:p>
        </w:tc>
        <w:tc>
          <w:tcPr>
            <w:tcW w:w="1009" w:type="dxa"/>
            <w:vAlign w:val="center"/>
          </w:tcPr>
          <w:p w:rsidR="00C057F7" w:rsidRDefault="00C057F7">
            <w:pPr>
              <w:ind w:firstLine="360"/>
              <w:rPr>
                <w:sz w:val="18"/>
                <w:szCs w:val="18"/>
              </w:rPr>
            </w:pPr>
          </w:p>
        </w:tc>
        <w:tc>
          <w:tcPr>
            <w:tcW w:w="1009" w:type="dxa"/>
            <w:vAlign w:val="center"/>
          </w:tcPr>
          <w:p w:rsidR="00C057F7" w:rsidRDefault="00C057F7">
            <w:pPr>
              <w:ind w:firstLine="360"/>
              <w:rPr>
                <w:sz w:val="18"/>
                <w:szCs w:val="18"/>
              </w:rPr>
            </w:pPr>
          </w:p>
        </w:tc>
        <w:tc>
          <w:tcPr>
            <w:tcW w:w="995" w:type="dxa"/>
            <w:vAlign w:val="center"/>
          </w:tcPr>
          <w:p w:rsidR="00C057F7" w:rsidRDefault="00C057F7">
            <w:pPr>
              <w:ind w:firstLine="360"/>
              <w:rPr>
                <w:sz w:val="18"/>
                <w:szCs w:val="18"/>
              </w:rPr>
            </w:pPr>
          </w:p>
        </w:tc>
      </w:tr>
      <w:tr w:rsidR="00C057F7">
        <w:trPr>
          <w:trHeight w:val="397"/>
        </w:trPr>
        <w:tc>
          <w:tcPr>
            <w:tcW w:w="869" w:type="dxa"/>
            <w:vAlign w:val="center"/>
          </w:tcPr>
          <w:p w:rsidR="00C057F7" w:rsidRDefault="00264BD8">
            <w:pPr>
              <w:ind w:firstLineChars="0" w:firstLine="0"/>
              <w:jc w:val="center"/>
              <w:rPr>
                <w:sz w:val="18"/>
                <w:szCs w:val="18"/>
              </w:rPr>
            </w:pPr>
            <w:r>
              <w:rPr>
                <w:sz w:val="18"/>
                <w:szCs w:val="18"/>
              </w:rPr>
              <w:t>MNFEE</w:t>
            </w:r>
          </w:p>
        </w:tc>
        <w:tc>
          <w:tcPr>
            <w:tcW w:w="1030" w:type="dxa"/>
            <w:vAlign w:val="center"/>
          </w:tcPr>
          <w:p w:rsidR="00C057F7" w:rsidRDefault="00264BD8">
            <w:pPr>
              <w:ind w:firstLineChars="0" w:firstLine="0"/>
              <w:jc w:val="center"/>
              <w:rPr>
                <w:sz w:val="18"/>
                <w:szCs w:val="18"/>
              </w:rPr>
            </w:pPr>
            <w:r>
              <w:rPr>
                <w:sz w:val="18"/>
                <w:szCs w:val="18"/>
              </w:rPr>
              <w:t>-0.104</w:t>
            </w:r>
            <w:r>
              <w:rPr>
                <w:sz w:val="18"/>
                <w:szCs w:val="18"/>
                <w:vertAlign w:val="superscript"/>
              </w:rPr>
              <w:t>***</w:t>
            </w:r>
          </w:p>
        </w:tc>
        <w:tc>
          <w:tcPr>
            <w:tcW w:w="970" w:type="dxa"/>
            <w:vAlign w:val="center"/>
          </w:tcPr>
          <w:p w:rsidR="00C057F7" w:rsidRDefault="00264BD8">
            <w:pPr>
              <w:ind w:firstLineChars="0" w:firstLine="0"/>
              <w:jc w:val="center"/>
              <w:rPr>
                <w:sz w:val="18"/>
                <w:szCs w:val="18"/>
              </w:rPr>
            </w:pPr>
            <w:r>
              <w:rPr>
                <w:sz w:val="18"/>
                <w:szCs w:val="18"/>
              </w:rPr>
              <w:t>-0.043</w:t>
            </w:r>
            <w:r>
              <w:rPr>
                <w:sz w:val="18"/>
                <w:szCs w:val="18"/>
                <w:vertAlign w:val="superscript"/>
              </w:rPr>
              <w:t>***</w:t>
            </w:r>
          </w:p>
        </w:tc>
        <w:tc>
          <w:tcPr>
            <w:tcW w:w="1013" w:type="dxa"/>
            <w:vAlign w:val="center"/>
          </w:tcPr>
          <w:p w:rsidR="00C057F7" w:rsidRDefault="00264BD8">
            <w:pPr>
              <w:ind w:firstLine="360"/>
              <w:rPr>
                <w:sz w:val="18"/>
                <w:szCs w:val="18"/>
              </w:rPr>
            </w:pPr>
            <w:r>
              <w:rPr>
                <w:sz w:val="18"/>
                <w:szCs w:val="18"/>
              </w:rPr>
              <w:t>1</w:t>
            </w:r>
          </w:p>
        </w:tc>
        <w:tc>
          <w:tcPr>
            <w:tcW w:w="1014" w:type="dxa"/>
            <w:vAlign w:val="center"/>
          </w:tcPr>
          <w:p w:rsidR="00C057F7" w:rsidRDefault="00C057F7">
            <w:pPr>
              <w:ind w:firstLine="360"/>
              <w:rPr>
                <w:sz w:val="18"/>
                <w:szCs w:val="18"/>
              </w:rPr>
            </w:pPr>
          </w:p>
        </w:tc>
        <w:tc>
          <w:tcPr>
            <w:tcW w:w="1009" w:type="dxa"/>
            <w:vAlign w:val="center"/>
          </w:tcPr>
          <w:p w:rsidR="00C057F7" w:rsidRDefault="00C057F7">
            <w:pPr>
              <w:ind w:firstLine="360"/>
              <w:rPr>
                <w:sz w:val="18"/>
                <w:szCs w:val="18"/>
              </w:rPr>
            </w:pPr>
          </w:p>
        </w:tc>
        <w:tc>
          <w:tcPr>
            <w:tcW w:w="1009" w:type="dxa"/>
            <w:vAlign w:val="center"/>
          </w:tcPr>
          <w:p w:rsidR="00C057F7" w:rsidRDefault="00C057F7">
            <w:pPr>
              <w:ind w:firstLine="360"/>
              <w:rPr>
                <w:sz w:val="18"/>
                <w:szCs w:val="18"/>
              </w:rPr>
            </w:pPr>
          </w:p>
        </w:tc>
        <w:tc>
          <w:tcPr>
            <w:tcW w:w="1009" w:type="dxa"/>
            <w:vAlign w:val="center"/>
          </w:tcPr>
          <w:p w:rsidR="00C057F7" w:rsidRDefault="00C057F7">
            <w:pPr>
              <w:ind w:firstLine="360"/>
              <w:rPr>
                <w:sz w:val="18"/>
                <w:szCs w:val="18"/>
              </w:rPr>
            </w:pPr>
          </w:p>
        </w:tc>
        <w:tc>
          <w:tcPr>
            <w:tcW w:w="995" w:type="dxa"/>
            <w:vAlign w:val="center"/>
          </w:tcPr>
          <w:p w:rsidR="00C057F7" w:rsidRDefault="00C057F7">
            <w:pPr>
              <w:ind w:firstLine="360"/>
              <w:rPr>
                <w:sz w:val="18"/>
                <w:szCs w:val="18"/>
              </w:rPr>
            </w:pPr>
          </w:p>
        </w:tc>
      </w:tr>
      <w:tr w:rsidR="00C057F7">
        <w:trPr>
          <w:trHeight w:val="467"/>
        </w:trPr>
        <w:tc>
          <w:tcPr>
            <w:tcW w:w="869" w:type="dxa"/>
            <w:vAlign w:val="center"/>
          </w:tcPr>
          <w:p w:rsidR="00C057F7" w:rsidRDefault="00264BD8">
            <w:pPr>
              <w:ind w:firstLineChars="0" w:firstLine="0"/>
              <w:jc w:val="center"/>
              <w:rPr>
                <w:sz w:val="18"/>
                <w:szCs w:val="18"/>
              </w:rPr>
            </w:pPr>
            <w:r>
              <w:rPr>
                <w:sz w:val="18"/>
                <w:szCs w:val="18"/>
              </w:rPr>
              <w:t>ACCRT</w:t>
            </w:r>
          </w:p>
        </w:tc>
        <w:tc>
          <w:tcPr>
            <w:tcW w:w="1030" w:type="dxa"/>
            <w:vAlign w:val="center"/>
          </w:tcPr>
          <w:p w:rsidR="00C057F7" w:rsidRDefault="00264BD8">
            <w:pPr>
              <w:ind w:firstLineChars="0" w:firstLine="0"/>
              <w:jc w:val="center"/>
              <w:rPr>
                <w:sz w:val="18"/>
                <w:szCs w:val="18"/>
              </w:rPr>
            </w:pPr>
            <w:r>
              <w:rPr>
                <w:sz w:val="18"/>
                <w:szCs w:val="18"/>
              </w:rPr>
              <w:t>-0.122</w:t>
            </w:r>
            <w:r>
              <w:rPr>
                <w:sz w:val="18"/>
                <w:szCs w:val="18"/>
                <w:vertAlign w:val="superscript"/>
              </w:rPr>
              <w:t>***</w:t>
            </w:r>
          </w:p>
        </w:tc>
        <w:tc>
          <w:tcPr>
            <w:tcW w:w="970" w:type="dxa"/>
            <w:vAlign w:val="center"/>
          </w:tcPr>
          <w:p w:rsidR="00C057F7" w:rsidRDefault="00264BD8">
            <w:pPr>
              <w:ind w:firstLineChars="0" w:firstLine="0"/>
              <w:jc w:val="center"/>
              <w:rPr>
                <w:sz w:val="18"/>
                <w:szCs w:val="18"/>
              </w:rPr>
            </w:pPr>
            <w:r>
              <w:rPr>
                <w:sz w:val="18"/>
                <w:szCs w:val="18"/>
              </w:rPr>
              <w:t>-0.053</w:t>
            </w:r>
            <w:r>
              <w:rPr>
                <w:sz w:val="18"/>
                <w:szCs w:val="18"/>
                <w:vertAlign w:val="superscript"/>
              </w:rPr>
              <w:t>***</w:t>
            </w:r>
          </w:p>
        </w:tc>
        <w:tc>
          <w:tcPr>
            <w:tcW w:w="1013" w:type="dxa"/>
            <w:vAlign w:val="center"/>
          </w:tcPr>
          <w:p w:rsidR="00C057F7" w:rsidRDefault="00264BD8">
            <w:pPr>
              <w:ind w:firstLineChars="0" w:firstLine="0"/>
              <w:jc w:val="center"/>
              <w:rPr>
                <w:sz w:val="18"/>
                <w:szCs w:val="18"/>
              </w:rPr>
            </w:pPr>
            <w:r>
              <w:rPr>
                <w:sz w:val="18"/>
                <w:szCs w:val="18"/>
              </w:rPr>
              <w:t>0.053</w:t>
            </w:r>
            <w:r>
              <w:rPr>
                <w:sz w:val="18"/>
                <w:szCs w:val="18"/>
                <w:vertAlign w:val="superscript"/>
              </w:rPr>
              <w:t>***</w:t>
            </w:r>
          </w:p>
        </w:tc>
        <w:tc>
          <w:tcPr>
            <w:tcW w:w="1014" w:type="dxa"/>
            <w:vAlign w:val="center"/>
          </w:tcPr>
          <w:p w:rsidR="00C057F7" w:rsidRDefault="00264BD8">
            <w:pPr>
              <w:ind w:firstLine="360"/>
              <w:rPr>
                <w:sz w:val="18"/>
                <w:szCs w:val="18"/>
              </w:rPr>
            </w:pPr>
            <w:r>
              <w:rPr>
                <w:sz w:val="18"/>
                <w:szCs w:val="18"/>
              </w:rPr>
              <w:t>1</w:t>
            </w:r>
          </w:p>
        </w:tc>
        <w:tc>
          <w:tcPr>
            <w:tcW w:w="1009" w:type="dxa"/>
            <w:vAlign w:val="center"/>
          </w:tcPr>
          <w:p w:rsidR="00C057F7" w:rsidRDefault="00C057F7">
            <w:pPr>
              <w:ind w:firstLine="360"/>
              <w:rPr>
                <w:sz w:val="18"/>
                <w:szCs w:val="18"/>
              </w:rPr>
            </w:pPr>
          </w:p>
        </w:tc>
        <w:tc>
          <w:tcPr>
            <w:tcW w:w="1009" w:type="dxa"/>
            <w:vAlign w:val="center"/>
          </w:tcPr>
          <w:p w:rsidR="00C057F7" w:rsidRDefault="00C057F7">
            <w:pPr>
              <w:ind w:firstLine="360"/>
              <w:rPr>
                <w:sz w:val="18"/>
                <w:szCs w:val="18"/>
              </w:rPr>
            </w:pPr>
          </w:p>
        </w:tc>
        <w:tc>
          <w:tcPr>
            <w:tcW w:w="1009" w:type="dxa"/>
            <w:vAlign w:val="center"/>
          </w:tcPr>
          <w:p w:rsidR="00C057F7" w:rsidRDefault="00C057F7">
            <w:pPr>
              <w:ind w:firstLine="360"/>
              <w:rPr>
                <w:sz w:val="18"/>
                <w:szCs w:val="18"/>
              </w:rPr>
            </w:pPr>
          </w:p>
        </w:tc>
        <w:tc>
          <w:tcPr>
            <w:tcW w:w="995" w:type="dxa"/>
            <w:vAlign w:val="center"/>
          </w:tcPr>
          <w:p w:rsidR="00C057F7" w:rsidRDefault="00C057F7">
            <w:pPr>
              <w:ind w:firstLine="360"/>
              <w:rPr>
                <w:sz w:val="18"/>
                <w:szCs w:val="18"/>
              </w:rPr>
            </w:pPr>
          </w:p>
        </w:tc>
      </w:tr>
      <w:tr w:rsidR="00C057F7">
        <w:trPr>
          <w:trHeight w:val="467"/>
        </w:trPr>
        <w:tc>
          <w:tcPr>
            <w:tcW w:w="869" w:type="dxa"/>
            <w:vAlign w:val="center"/>
          </w:tcPr>
          <w:p w:rsidR="00C057F7" w:rsidRDefault="00264BD8">
            <w:pPr>
              <w:ind w:firstLineChars="0" w:firstLine="0"/>
              <w:jc w:val="center"/>
              <w:rPr>
                <w:sz w:val="18"/>
                <w:szCs w:val="18"/>
              </w:rPr>
            </w:pPr>
            <w:r>
              <w:rPr>
                <w:sz w:val="18"/>
                <w:szCs w:val="18"/>
              </w:rPr>
              <w:t>SIZE</w:t>
            </w:r>
          </w:p>
        </w:tc>
        <w:tc>
          <w:tcPr>
            <w:tcW w:w="1030" w:type="dxa"/>
            <w:vAlign w:val="center"/>
          </w:tcPr>
          <w:p w:rsidR="00C057F7" w:rsidRDefault="00264BD8">
            <w:pPr>
              <w:ind w:firstLineChars="0" w:firstLine="0"/>
              <w:jc w:val="center"/>
              <w:rPr>
                <w:sz w:val="18"/>
                <w:szCs w:val="18"/>
              </w:rPr>
            </w:pPr>
            <w:r>
              <w:rPr>
                <w:rFonts w:hint="eastAsia"/>
                <w:sz w:val="18"/>
                <w:szCs w:val="18"/>
              </w:rPr>
              <w:t>-0.067</w:t>
            </w:r>
            <w:r>
              <w:rPr>
                <w:sz w:val="18"/>
                <w:szCs w:val="18"/>
                <w:vertAlign w:val="superscript"/>
              </w:rPr>
              <w:t>***</w:t>
            </w:r>
          </w:p>
        </w:tc>
        <w:tc>
          <w:tcPr>
            <w:tcW w:w="970" w:type="dxa"/>
            <w:vAlign w:val="center"/>
          </w:tcPr>
          <w:p w:rsidR="00C057F7" w:rsidRDefault="00264BD8">
            <w:pPr>
              <w:ind w:firstLineChars="0" w:firstLine="0"/>
              <w:jc w:val="center"/>
              <w:rPr>
                <w:sz w:val="18"/>
                <w:szCs w:val="18"/>
              </w:rPr>
            </w:pPr>
            <w:r>
              <w:rPr>
                <w:rFonts w:hint="eastAsia"/>
                <w:sz w:val="18"/>
                <w:szCs w:val="18"/>
              </w:rPr>
              <w:t>0.046</w:t>
            </w:r>
            <w:r>
              <w:rPr>
                <w:sz w:val="18"/>
                <w:szCs w:val="18"/>
                <w:vertAlign w:val="superscript"/>
              </w:rPr>
              <w:t>***</w:t>
            </w:r>
          </w:p>
        </w:tc>
        <w:tc>
          <w:tcPr>
            <w:tcW w:w="1013" w:type="dxa"/>
            <w:vAlign w:val="center"/>
          </w:tcPr>
          <w:p w:rsidR="00C057F7" w:rsidRDefault="00264BD8">
            <w:pPr>
              <w:ind w:firstLineChars="0" w:firstLine="0"/>
              <w:jc w:val="center"/>
              <w:rPr>
                <w:sz w:val="18"/>
                <w:szCs w:val="18"/>
              </w:rPr>
            </w:pPr>
            <w:r>
              <w:rPr>
                <w:rFonts w:hint="eastAsia"/>
                <w:sz w:val="18"/>
                <w:szCs w:val="18"/>
              </w:rPr>
              <w:t>-0.210</w:t>
            </w:r>
            <w:r>
              <w:rPr>
                <w:sz w:val="18"/>
                <w:szCs w:val="18"/>
                <w:vertAlign w:val="superscript"/>
              </w:rPr>
              <w:t>***</w:t>
            </w:r>
          </w:p>
        </w:tc>
        <w:tc>
          <w:tcPr>
            <w:tcW w:w="1014" w:type="dxa"/>
            <w:vAlign w:val="center"/>
          </w:tcPr>
          <w:p w:rsidR="00C057F7" w:rsidRDefault="00264BD8">
            <w:pPr>
              <w:ind w:firstLineChars="0" w:firstLine="0"/>
              <w:jc w:val="center"/>
              <w:rPr>
                <w:sz w:val="18"/>
                <w:szCs w:val="18"/>
              </w:rPr>
            </w:pPr>
            <w:r>
              <w:rPr>
                <w:rFonts w:hint="eastAsia"/>
                <w:sz w:val="18"/>
                <w:szCs w:val="18"/>
              </w:rPr>
              <w:t>0.039</w:t>
            </w:r>
          </w:p>
        </w:tc>
        <w:tc>
          <w:tcPr>
            <w:tcW w:w="1009" w:type="dxa"/>
            <w:vAlign w:val="center"/>
          </w:tcPr>
          <w:p w:rsidR="00C057F7" w:rsidRDefault="00264BD8">
            <w:pPr>
              <w:ind w:firstLine="360"/>
              <w:rPr>
                <w:sz w:val="18"/>
                <w:szCs w:val="18"/>
              </w:rPr>
            </w:pPr>
            <w:r>
              <w:rPr>
                <w:rFonts w:hint="eastAsia"/>
                <w:sz w:val="18"/>
                <w:szCs w:val="18"/>
              </w:rPr>
              <w:t>1</w:t>
            </w:r>
          </w:p>
        </w:tc>
        <w:tc>
          <w:tcPr>
            <w:tcW w:w="1009" w:type="dxa"/>
            <w:vAlign w:val="center"/>
          </w:tcPr>
          <w:p w:rsidR="00C057F7" w:rsidRDefault="00C057F7">
            <w:pPr>
              <w:ind w:firstLine="360"/>
              <w:jc w:val="center"/>
              <w:rPr>
                <w:sz w:val="18"/>
                <w:szCs w:val="18"/>
              </w:rPr>
            </w:pPr>
          </w:p>
        </w:tc>
        <w:tc>
          <w:tcPr>
            <w:tcW w:w="1009" w:type="dxa"/>
            <w:vAlign w:val="center"/>
          </w:tcPr>
          <w:p w:rsidR="00C057F7" w:rsidRDefault="00C057F7">
            <w:pPr>
              <w:ind w:firstLine="360"/>
              <w:jc w:val="center"/>
              <w:rPr>
                <w:sz w:val="18"/>
                <w:szCs w:val="18"/>
              </w:rPr>
            </w:pPr>
          </w:p>
        </w:tc>
        <w:tc>
          <w:tcPr>
            <w:tcW w:w="995" w:type="dxa"/>
            <w:vAlign w:val="center"/>
          </w:tcPr>
          <w:p w:rsidR="00C057F7" w:rsidRDefault="00C057F7">
            <w:pPr>
              <w:ind w:firstLine="360"/>
              <w:jc w:val="center"/>
              <w:rPr>
                <w:sz w:val="18"/>
                <w:szCs w:val="18"/>
              </w:rPr>
            </w:pPr>
          </w:p>
        </w:tc>
      </w:tr>
      <w:tr w:rsidR="00C057F7">
        <w:trPr>
          <w:trHeight w:val="467"/>
        </w:trPr>
        <w:tc>
          <w:tcPr>
            <w:tcW w:w="869" w:type="dxa"/>
            <w:vAlign w:val="center"/>
          </w:tcPr>
          <w:p w:rsidR="00C057F7" w:rsidRDefault="00264BD8">
            <w:pPr>
              <w:ind w:firstLineChars="0" w:firstLine="0"/>
              <w:jc w:val="center"/>
              <w:rPr>
                <w:sz w:val="18"/>
                <w:szCs w:val="18"/>
              </w:rPr>
            </w:pPr>
            <w:r>
              <w:rPr>
                <w:sz w:val="18"/>
                <w:szCs w:val="20"/>
              </w:rPr>
              <w:t>LEV</w:t>
            </w:r>
          </w:p>
        </w:tc>
        <w:tc>
          <w:tcPr>
            <w:tcW w:w="1030" w:type="dxa"/>
            <w:vAlign w:val="center"/>
          </w:tcPr>
          <w:p w:rsidR="00C057F7" w:rsidRDefault="00264BD8">
            <w:pPr>
              <w:ind w:firstLineChars="0" w:firstLine="0"/>
              <w:jc w:val="center"/>
              <w:rPr>
                <w:sz w:val="18"/>
                <w:szCs w:val="18"/>
              </w:rPr>
            </w:pPr>
            <w:r>
              <w:rPr>
                <w:rFonts w:hint="eastAsia"/>
                <w:sz w:val="18"/>
                <w:szCs w:val="18"/>
              </w:rPr>
              <w:t>-0.368</w:t>
            </w:r>
            <w:r>
              <w:rPr>
                <w:sz w:val="18"/>
                <w:szCs w:val="18"/>
                <w:vertAlign w:val="superscript"/>
              </w:rPr>
              <w:t>***</w:t>
            </w:r>
          </w:p>
        </w:tc>
        <w:tc>
          <w:tcPr>
            <w:tcW w:w="970" w:type="dxa"/>
            <w:vAlign w:val="center"/>
          </w:tcPr>
          <w:p w:rsidR="00C057F7" w:rsidRDefault="00264BD8">
            <w:pPr>
              <w:ind w:firstLineChars="0" w:firstLine="0"/>
              <w:jc w:val="center"/>
              <w:rPr>
                <w:sz w:val="18"/>
                <w:szCs w:val="18"/>
              </w:rPr>
            </w:pPr>
            <w:r>
              <w:rPr>
                <w:rFonts w:hint="eastAsia"/>
                <w:sz w:val="18"/>
                <w:szCs w:val="18"/>
              </w:rPr>
              <w:t>-0.093</w:t>
            </w:r>
            <w:r>
              <w:rPr>
                <w:sz w:val="18"/>
                <w:szCs w:val="18"/>
                <w:vertAlign w:val="superscript"/>
              </w:rPr>
              <w:t>***</w:t>
            </w:r>
          </w:p>
        </w:tc>
        <w:tc>
          <w:tcPr>
            <w:tcW w:w="1013" w:type="dxa"/>
            <w:vAlign w:val="center"/>
          </w:tcPr>
          <w:p w:rsidR="00C057F7" w:rsidRDefault="00264BD8">
            <w:pPr>
              <w:ind w:firstLineChars="0" w:firstLine="0"/>
              <w:jc w:val="center"/>
              <w:rPr>
                <w:sz w:val="18"/>
                <w:szCs w:val="18"/>
              </w:rPr>
            </w:pPr>
            <w:r>
              <w:rPr>
                <w:rFonts w:hint="eastAsia"/>
                <w:sz w:val="18"/>
                <w:szCs w:val="18"/>
              </w:rPr>
              <w:t>-0.102</w:t>
            </w:r>
            <w:r>
              <w:rPr>
                <w:sz w:val="18"/>
                <w:szCs w:val="18"/>
                <w:vertAlign w:val="superscript"/>
              </w:rPr>
              <w:t>***</w:t>
            </w:r>
          </w:p>
        </w:tc>
        <w:tc>
          <w:tcPr>
            <w:tcW w:w="1014" w:type="dxa"/>
            <w:vAlign w:val="center"/>
          </w:tcPr>
          <w:p w:rsidR="00C057F7" w:rsidRDefault="00264BD8">
            <w:pPr>
              <w:ind w:firstLineChars="0" w:firstLine="0"/>
              <w:jc w:val="center"/>
              <w:rPr>
                <w:sz w:val="18"/>
                <w:szCs w:val="18"/>
              </w:rPr>
            </w:pPr>
            <w:r>
              <w:rPr>
                <w:rFonts w:hint="eastAsia"/>
                <w:sz w:val="18"/>
                <w:szCs w:val="18"/>
              </w:rPr>
              <w:t>0.150</w:t>
            </w:r>
            <w:r>
              <w:rPr>
                <w:sz w:val="18"/>
                <w:szCs w:val="18"/>
                <w:vertAlign w:val="superscript"/>
              </w:rPr>
              <w:t>***</w:t>
            </w:r>
          </w:p>
        </w:tc>
        <w:tc>
          <w:tcPr>
            <w:tcW w:w="1009" w:type="dxa"/>
            <w:vAlign w:val="center"/>
          </w:tcPr>
          <w:p w:rsidR="00C057F7" w:rsidRDefault="00264BD8">
            <w:pPr>
              <w:ind w:firstLineChars="0" w:firstLine="0"/>
              <w:jc w:val="center"/>
              <w:rPr>
                <w:sz w:val="18"/>
                <w:szCs w:val="18"/>
              </w:rPr>
            </w:pPr>
            <w:r>
              <w:rPr>
                <w:rFonts w:hint="eastAsia"/>
                <w:sz w:val="18"/>
                <w:szCs w:val="18"/>
              </w:rPr>
              <w:t>0.488</w:t>
            </w:r>
            <w:r>
              <w:rPr>
                <w:sz w:val="18"/>
                <w:szCs w:val="18"/>
                <w:vertAlign w:val="superscript"/>
              </w:rPr>
              <w:t>***</w:t>
            </w:r>
          </w:p>
        </w:tc>
        <w:tc>
          <w:tcPr>
            <w:tcW w:w="1009" w:type="dxa"/>
            <w:vAlign w:val="center"/>
          </w:tcPr>
          <w:p w:rsidR="00C057F7" w:rsidRDefault="00264BD8">
            <w:pPr>
              <w:ind w:firstLine="360"/>
              <w:rPr>
                <w:sz w:val="18"/>
                <w:szCs w:val="18"/>
              </w:rPr>
            </w:pPr>
            <w:r>
              <w:rPr>
                <w:rFonts w:hint="eastAsia"/>
                <w:sz w:val="18"/>
                <w:szCs w:val="18"/>
              </w:rPr>
              <w:t>1</w:t>
            </w:r>
          </w:p>
        </w:tc>
        <w:tc>
          <w:tcPr>
            <w:tcW w:w="1009" w:type="dxa"/>
            <w:vAlign w:val="center"/>
          </w:tcPr>
          <w:p w:rsidR="00C057F7" w:rsidRDefault="00C057F7">
            <w:pPr>
              <w:ind w:firstLine="360"/>
              <w:jc w:val="center"/>
              <w:rPr>
                <w:sz w:val="18"/>
                <w:szCs w:val="18"/>
              </w:rPr>
            </w:pPr>
          </w:p>
        </w:tc>
        <w:tc>
          <w:tcPr>
            <w:tcW w:w="995" w:type="dxa"/>
            <w:vAlign w:val="center"/>
          </w:tcPr>
          <w:p w:rsidR="00C057F7" w:rsidRDefault="00C057F7">
            <w:pPr>
              <w:ind w:firstLine="360"/>
              <w:jc w:val="center"/>
              <w:rPr>
                <w:sz w:val="18"/>
                <w:szCs w:val="18"/>
              </w:rPr>
            </w:pPr>
          </w:p>
        </w:tc>
      </w:tr>
      <w:tr w:rsidR="00C057F7">
        <w:trPr>
          <w:trHeight w:val="467"/>
        </w:trPr>
        <w:tc>
          <w:tcPr>
            <w:tcW w:w="869" w:type="dxa"/>
            <w:vAlign w:val="center"/>
          </w:tcPr>
          <w:p w:rsidR="00C057F7" w:rsidRDefault="00264BD8">
            <w:pPr>
              <w:ind w:firstLineChars="0" w:firstLine="0"/>
              <w:jc w:val="center"/>
              <w:rPr>
                <w:sz w:val="18"/>
                <w:szCs w:val="18"/>
              </w:rPr>
            </w:pPr>
            <w:r>
              <w:rPr>
                <w:sz w:val="18"/>
                <w:szCs w:val="20"/>
              </w:rPr>
              <w:t>GRTH</w:t>
            </w:r>
          </w:p>
        </w:tc>
        <w:tc>
          <w:tcPr>
            <w:tcW w:w="1030" w:type="dxa"/>
            <w:vAlign w:val="center"/>
          </w:tcPr>
          <w:p w:rsidR="00C057F7" w:rsidRDefault="00264BD8">
            <w:pPr>
              <w:ind w:firstLineChars="0" w:firstLine="0"/>
              <w:jc w:val="center"/>
              <w:rPr>
                <w:sz w:val="18"/>
                <w:szCs w:val="18"/>
              </w:rPr>
            </w:pPr>
            <w:r>
              <w:rPr>
                <w:rFonts w:hint="eastAsia"/>
                <w:sz w:val="18"/>
                <w:szCs w:val="18"/>
              </w:rPr>
              <w:t>0.017</w:t>
            </w:r>
          </w:p>
        </w:tc>
        <w:tc>
          <w:tcPr>
            <w:tcW w:w="970" w:type="dxa"/>
            <w:vAlign w:val="center"/>
          </w:tcPr>
          <w:p w:rsidR="00C057F7" w:rsidRDefault="00264BD8">
            <w:pPr>
              <w:ind w:firstLineChars="0" w:firstLine="0"/>
              <w:jc w:val="center"/>
              <w:rPr>
                <w:sz w:val="18"/>
                <w:szCs w:val="18"/>
              </w:rPr>
            </w:pPr>
            <w:r>
              <w:rPr>
                <w:rFonts w:hint="eastAsia"/>
                <w:sz w:val="18"/>
                <w:szCs w:val="18"/>
              </w:rPr>
              <w:t>-0.033</w:t>
            </w:r>
            <w:r>
              <w:rPr>
                <w:sz w:val="18"/>
                <w:szCs w:val="18"/>
                <w:vertAlign w:val="superscript"/>
              </w:rPr>
              <w:t>***</w:t>
            </w:r>
          </w:p>
        </w:tc>
        <w:tc>
          <w:tcPr>
            <w:tcW w:w="1013" w:type="dxa"/>
            <w:vAlign w:val="center"/>
          </w:tcPr>
          <w:p w:rsidR="00C057F7" w:rsidRDefault="00264BD8">
            <w:pPr>
              <w:ind w:firstLineChars="0" w:firstLine="0"/>
              <w:jc w:val="center"/>
              <w:rPr>
                <w:sz w:val="18"/>
                <w:szCs w:val="18"/>
              </w:rPr>
            </w:pPr>
            <w:r>
              <w:rPr>
                <w:rFonts w:hint="eastAsia"/>
                <w:sz w:val="18"/>
                <w:szCs w:val="18"/>
              </w:rPr>
              <w:t>-0.022</w:t>
            </w:r>
          </w:p>
        </w:tc>
        <w:tc>
          <w:tcPr>
            <w:tcW w:w="1014" w:type="dxa"/>
            <w:vAlign w:val="center"/>
          </w:tcPr>
          <w:p w:rsidR="00C057F7" w:rsidRDefault="00264BD8">
            <w:pPr>
              <w:ind w:firstLineChars="0" w:firstLine="0"/>
              <w:jc w:val="center"/>
              <w:rPr>
                <w:sz w:val="18"/>
                <w:szCs w:val="18"/>
              </w:rPr>
            </w:pPr>
            <w:r>
              <w:rPr>
                <w:rFonts w:hint="eastAsia"/>
                <w:sz w:val="18"/>
                <w:szCs w:val="18"/>
              </w:rPr>
              <w:t>0.025</w:t>
            </w:r>
            <w:r>
              <w:rPr>
                <w:sz w:val="18"/>
                <w:szCs w:val="18"/>
                <w:vertAlign w:val="superscript"/>
              </w:rPr>
              <w:t>**</w:t>
            </w:r>
          </w:p>
        </w:tc>
        <w:tc>
          <w:tcPr>
            <w:tcW w:w="1009" w:type="dxa"/>
            <w:vAlign w:val="center"/>
          </w:tcPr>
          <w:p w:rsidR="00C057F7" w:rsidRDefault="00264BD8">
            <w:pPr>
              <w:ind w:firstLineChars="0" w:firstLine="0"/>
              <w:jc w:val="center"/>
              <w:rPr>
                <w:sz w:val="18"/>
                <w:szCs w:val="18"/>
              </w:rPr>
            </w:pPr>
            <w:r>
              <w:rPr>
                <w:rFonts w:hint="eastAsia"/>
                <w:sz w:val="18"/>
                <w:szCs w:val="18"/>
              </w:rPr>
              <w:t>0.011</w:t>
            </w:r>
          </w:p>
        </w:tc>
        <w:tc>
          <w:tcPr>
            <w:tcW w:w="1009" w:type="dxa"/>
            <w:vAlign w:val="center"/>
          </w:tcPr>
          <w:p w:rsidR="00C057F7" w:rsidRDefault="00264BD8">
            <w:pPr>
              <w:ind w:firstLineChars="0" w:firstLine="0"/>
              <w:jc w:val="center"/>
              <w:rPr>
                <w:sz w:val="18"/>
                <w:szCs w:val="18"/>
              </w:rPr>
            </w:pPr>
            <w:r>
              <w:rPr>
                <w:rFonts w:hint="eastAsia"/>
                <w:sz w:val="18"/>
                <w:szCs w:val="18"/>
              </w:rPr>
              <w:t>0.039</w:t>
            </w:r>
            <w:r>
              <w:rPr>
                <w:sz w:val="18"/>
                <w:szCs w:val="18"/>
                <w:vertAlign w:val="superscript"/>
              </w:rPr>
              <w:t>***</w:t>
            </w:r>
          </w:p>
        </w:tc>
        <w:tc>
          <w:tcPr>
            <w:tcW w:w="1009" w:type="dxa"/>
            <w:vAlign w:val="center"/>
          </w:tcPr>
          <w:p w:rsidR="00C057F7" w:rsidRDefault="00264BD8">
            <w:pPr>
              <w:ind w:firstLine="360"/>
              <w:rPr>
                <w:sz w:val="18"/>
                <w:szCs w:val="18"/>
              </w:rPr>
            </w:pPr>
            <w:r>
              <w:rPr>
                <w:rFonts w:hint="eastAsia"/>
                <w:sz w:val="18"/>
                <w:szCs w:val="18"/>
              </w:rPr>
              <w:t>1</w:t>
            </w:r>
          </w:p>
        </w:tc>
        <w:tc>
          <w:tcPr>
            <w:tcW w:w="995" w:type="dxa"/>
            <w:vAlign w:val="center"/>
          </w:tcPr>
          <w:p w:rsidR="00C057F7" w:rsidRDefault="00C057F7">
            <w:pPr>
              <w:ind w:firstLine="360"/>
              <w:jc w:val="center"/>
              <w:rPr>
                <w:sz w:val="18"/>
                <w:szCs w:val="18"/>
              </w:rPr>
            </w:pPr>
          </w:p>
        </w:tc>
      </w:tr>
      <w:tr w:rsidR="00C057F7">
        <w:trPr>
          <w:trHeight w:val="467"/>
        </w:trPr>
        <w:tc>
          <w:tcPr>
            <w:tcW w:w="869" w:type="dxa"/>
            <w:vAlign w:val="center"/>
          </w:tcPr>
          <w:p w:rsidR="00C057F7" w:rsidRDefault="00264BD8">
            <w:pPr>
              <w:ind w:firstLineChars="0" w:firstLine="0"/>
              <w:jc w:val="center"/>
              <w:rPr>
                <w:sz w:val="18"/>
                <w:szCs w:val="18"/>
              </w:rPr>
            </w:pPr>
            <w:r>
              <w:rPr>
                <w:sz w:val="18"/>
                <w:szCs w:val="20"/>
              </w:rPr>
              <w:t>FIRST</w:t>
            </w:r>
          </w:p>
        </w:tc>
        <w:tc>
          <w:tcPr>
            <w:tcW w:w="1030" w:type="dxa"/>
            <w:vAlign w:val="center"/>
          </w:tcPr>
          <w:p w:rsidR="00C057F7" w:rsidRDefault="00264BD8">
            <w:pPr>
              <w:ind w:firstLineChars="0" w:firstLine="0"/>
              <w:jc w:val="center"/>
              <w:rPr>
                <w:sz w:val="18"/>
                <w:szCs w:val="18"/>
              </w:rPr>
            </w:pPr>
            <w:r>
              <w:rPr>
                <w:rFonts w:hint="eastAsia"/>
                <w:sz w:val="18"/>
                <w:szCs w:val="18"/>
              </w:rPr>
              <w:t>0.112</w:t>
            </w:r>
            <w:r>
              <w:rPr>
                <w:sz w:val="18"/>
                <w:szCs w:val="18"/>
                <w:vertAlign w:val="superscript"/>
              </w:rPr>
              <w:t>***</w:t>
            </w:r>
          </w:p>
        </w:tc>
        <w:tc>
          <w:tcPr>
            <w:tcW w:w="970" w:type="dxa"/>
            <w:vAlign w:val="center"/>
          </w:tcPr>
          <w:p w:rsidR="00C057F7" w:rsidRDefault="00264BD8">
            <w:pPr>
              <w:ind w:firstLineChars="0" w:firstLine="0"/>
              <w:jc w:val="center"/>
              <w:rPr>
                <w:sz w:val="18"/>
                <w:szCs w:val="18"/>
              </w:rPr>
            </w:pPr>
            <w:r>
              <w:rPr>
                <w:rFonts w:hint="eastAsia"/>
                <w:sz w:val="18"/>
                <w:szCs w:val="18"/>
              </w:rPr>
              <w:t>0.081</w:t>
            </w:r>
            <w:r>
              <w:rPr>
                <w:sz w:val="18"/>
                <w:szCs w:val="18"/>
                <w:vertAlign w:val="superscript"/>
              </w:rPr>
              <w:t>***</w:t>
            </w:r>
          </w:p>
        </w:tc>
        <w:tc>
          <w:tcPr>
            <w:tcW w:w="1013" w:type="dxa"/>
            <w:vAlign w:val="center"/>
          </w:tcPr>
          <w:p w:rsidR="00C057F7" w:rsidRDefault="00264BD8">
            <w:pPr>
              <w:ind w:firstLineChars="0" w:firstLine="0"/>
              <w:jc w:val="center"/>
              <w:rPr>
                <w:sz w:val="18"/>
                <w:szCs w:val="18"/>
              </w:rPr>
            </w:pPr>
            <w:r>
              <w:rPr>
                <w:rFonts w:hint="eastAsia"/>
                <w:sz w:val="18"/>
                <w:szCs w:val="18"/>
              </w:rPr>
              <w:t>-0.111</w:t>
            </w:r>
            <w:r>
              <w:rPr>
                <w:sz w:val="18"/>
                <w:szCs w:val="18"/>
                <w:vertAlign w:val="superscript"/>
              </w:rPr>
              <w:t>***</w:t>
            </w:r>
          </w:p>
        </w:tc>
        <w:tc>
          <w:tcPr>
            <w:tcW w:w="1014" w:type="dxa"/>
            <w:vAlign w:val="center"/>
          </w:tcPr>
          <w:p w:rsidR="00C057F7" w:rsidRDefault="00264BD8">
            <w:pPr>
              <w:ind w:firstLineChars="0" w:firstLine="0"/>
              <w:jc w:val="center"/>
              <w:rPr>
                <w:sz w:val="18"/>
                <w:szCs w:val="18"/>
              </w:rPr>
            </w:pPr>
            <w:r>
              <w:rPr>
                <w:rFonts w:hint="eastAsia"/>
                <w:sz w:val="18"/>
                <w:szCs w:val="18"/>
              </w:rPr>
              <w:t>-0.029</w:t>
            </w:r>
            <w:r>
              <w:rPr>
                <w:sz w:val="18"/>
                <w:szCs w:val="18"/>
                <w:vertAlign w:val="superscript"/>
              </w:rPr>
              <w:t>**</w:t>
            </w:r>
          </w:p>
        </w:tc>
        <w:tc>
          <w:tcPr>
            <w:tcW w:w="1009" w:type="dxa"/>
            <w:vAlign w:val="center"/>
          </w:tcPr>
          <w:p w:rsidR="00C057F7" w:rsidRDefault="00264BD8">
            <w:pPr>
              <w:ind w:firstLineChars="0" w:firstLine="0"/>
              <w:jc w:val="center"/>
              <w:rPr>
                <w:sz w:val="18"/>
                <w:szCs w:val="18"/>
              </w:rPr>
            </w:pPr>
            <w:r>
              <w:rPr>
                <w:rFonts w:hint="eastAsia"/>
                <w:sz w:val="18"/>
                <w:szCs w:val="18"/>
              </w:rPr>
              <w:t>0.204</w:t>
            </w:r>
            <w:r>
              <w:rPr>
                <w:sz w:val="18"/>
                <w:szCs w:val="18"/>
                <w:vertAlign w:val="superscript"/>
              </w:rPr>
              <w:t>***</w:t>
            </w:r>
          </w:p>
        </w:tc>
        <w:tc>
          <w:tcPr>
            <w:tcW w:w="1009" w:type="dxa"/>
            <w:vAlign w:val="center"/>
          </w:tcPr>
          <w:p w:rsidR="00C057F7" w:rsidRDefault="00264BD8">
            <w:pPr>
              <w:ind w:firstLineChars="0" w:firstLine="0"/>
              <w:jc w:val="center"/>
              <w:rPr>
                <w:sz w:val="18"/>
                <w:szCs w:val="18"/>
              </w:rPr>
            </w:pPr>
            <w:r>
              <w:rPr>
                <w:rFonts w:hint="eastAsia"/>
                <w:sz w:val="18"/>
                <w:szCs w:val="18"/>
              </w:rPr>
              <w:t>0.042</w:t>
            </w:r>
            <w:r>
              <w:rPr>
                <w:sz w:val="18"/>
                <w:szCs w:val="18"/>
                <w:vertAlign w:val="superscript"/>
              </w:rPr>
              <w:t>***</w:t>
            </w:r>
          </w:p>
        </w:tc>
        <w:tc>
          <w:tcPr>
            <w:tcW w:w="1009" w:type="dxa"/>
            <w:vAlign w:val="center"/>
          </w:tcPr>
          <w:p w:rsidR="00C057F7" w:rsidRDefault="00264BD8">
            <w:pPr>
              <w:ind w:firstLineChars="0" w:firstLine="0"/>
              <w:jc w:val="center"/>
              <w:rPr>
                <w:sz w:val="18"/>
                <w:szCs w:val="18"/>
              </w:rPr>
            </w:pPr>
            <w:r>
              <w:rPr>
                <w:rFonts w:hint="eastAsia"/>
                <w:sz w:val="18"/>
                <w:szCs w:val="18"/>
              </w:rPr>
              <w:t>-0.047</w:t>
            </w:r>
            <w:r>
              <w:rPr>
                <w:sz w:val="18"/>
                <w:szCs w:val="18"/>
                <w:vertAlign w:val="superscript"/>
              </w:rPr>
              <w:t>***</w:t>
            </w:r>
          </w:p>
        </w:tc>
        <w:tc>
          <w:tcPr>
            <w:tcW w:w="995" w:type="dxa"/>
            <w:vAlign w:val="center"/>
          </w:tcPr>
          <w:p w:rsidR="00C057F7" w:rsidRDefault="00264BD8">
            <w:pPr>
              <w:ind w:firstLine="360"/>
              <w:rPr>
                <w:sz w:val="18"/>
                <w:szCs w:val="18"/>
              </w:rPr>
            </w:pPr>
            <w:r>
              <w:rPr>
                <w:rFonts w:hint="eastAsia"/>
                <w:sz w:val="18"/>
                <w:szCs w:val="18"/>
              </w:rPr>
              <w:t>1</w:t>
            </w:r>
          </w:p>
        </w:tc>
      </w:tr>
    </w:tbl>
    <w:p w:rsidR="00C057F7" w:rsidRDefault="00264BD8">
      <w:pPr>
        <w:spacing w:line="400" w:lineRule="exact"/>
        <w:ind w:firstLineChars="0" w:firstLine="0"/>
      </w:pPr>
      <w:r>
        <w:rPr>
          <w:sz w:val="18"/>
          <w:szCs w:val="18"/>
        </w:rPr>
        <w:t>注：</w:t>
      </w:r>
      <w:r>
        <w:rPr>
          <w:sz w:val="18"/>
          <w:szCs w:val="18"/>
        </w:rPr>
        <w:t>***</w:t>
      </w:r>
      <w:r>
        <w:rPr>
          <w:rFonts w:hint="eastAsia"/>
          <w:sz w:val="18"/>
          <w:szCs w:val="18"/>
        </w:rPr>
        <w:t>、</w:t>
      </w:r>
      <w:r>
        <w:rPr>
          <w:sz w:val="18"/>
          <w:szCs w:val="18"/>
        </w:rPr>
        <w:t>**</w:t>
      </w:r>
      <w:r>
        <w:rPr>
          <w:rFonts w:hint="eastAsia"/>
          <w:sz w:val="18"/>
          <w:szCs w:val="18"/>
        </w:rPr>
        <w:t>、</w:t>
      </w:r>
      <w:r>
        <w:rPr>
          <w:sz w:val="18"/>
          <w:szCs w:val="18"/>
        </w:rPr>
        <w:t>*</w:t>
      </w:r>
      <w:r>
        <w:rPr>
          <w:rFonts w:hint="eastAsia"/>
          <w:sz w:val="18"/>
          <w:szCs w:val="18"/>
        </w:rPr>
        <w:t>分别表示</w:t>
      </w:r>
      <w:r>
        <w:rPr>
          <w:rFonts w:hint="eastAsia"/>
          <w:sz w:val="18"/>
          <w:szCs w:val="18"/>
        </w:rPr>
        <w:t>1%</w:t>
      </w:r>
      <w:r>
        <w:rPr>
          <w:rFonts w:hint="eastAsia"/>
          <w:sz w:val="18"/>
          <w:szCs w:val="18"/>
        </w:rPr>
        <w:t>、</w:t>
      </w:r>
      <w:r>
        <w:rPr>
          <w:rFonts w:hint="eastAsia"/>
          <w:sz w:val="18"/>
          <w:szCs w:val="18"/>
        </w:rPr>
        <w:t>5%</w:t>
      </w:r>
      <w:r>
        <w:rPr>
          <w:rFonts w:hint="eastAsia"/>
          <w:sz w:val="18"/>
          <w:szCs w:val="18"/>
        </w:rPr>
        <w:t>、</w:t>
      </w:r>
      <w:r>
        <w:rPr>
          <w:rFonts w:hint="eastAsia"/>
          <w:sz w:val="18"/>
          <w:szCs w:val="18"/>
        </w:rPr>
        <w:t>10%</w:t>
      </w:r>
      <w:r>
        <w:rPr>
          <w:rFonts w:hint="eastAsia"/>
          <w:sz w:val="18"/>
          <w:szCs w:val="18"/>
        </w:rPr>
        <w:t>的显著性水平。</w:t>
      </w:r>
    </w:p>
    <w:p w:rsidR="00C057F7" w:rsidRDefault="00264BD8">
      <w:pPr>
        <w:pStyle w:val="2"/>
        <w:tabs>
          <w:tab w:val="left" w:pos="0"/>
        </w:tabs>
        <w:spacing w:before="156" w:afterLines="0" w:line="400" w:lineRule="exact"/>
        <w:ind w:left="0" w:firstLine="0"/>
        <w:rPr>
          <w:rFonts w:ascii="宋体" w:hAnsi="宋体"/>
        </w:rPr>
      </w:pPr>
      <w:bookmarkStart w:id="34" w:name="_Toc357023281"/>
      <w:bookmarkStart w:id="35" w:name="_Toc385787648"/>
      <w:bookmarkStart w:id="36" w:name="_Toc348127136"/>
      <w:bookmarkStart w:id="37" w:name="_Toc1464"/>
      <w:bookmarkStart w:id="38" w:name="_Toc8383285"/>
      <w:r>
        <w:rPr>
          <w:rFonts w:ascii="Times New Roman" w:hAnsi="Times New Roman" w:hint="eastAsia"/>
        </w:rPr>
        <w:t>5.3</w:t>
      </w:r>
      <w:r>
        <w:rPr>
          <w:rFonts w:ascii="Times New Roman" w:hAnsi="Times New Roman" w:hint="eastAsia"/>
        </w:rPr>
        <w:t>多元回归</w:t>
      </w:r>
      <w:bookmarkEnd w:id="34"/>
      <w:bookmarkEnd w:id="35"/>
      <w:bookmarkEnd w:id="36"/>
      <w:r>
        <w:rPr>
          <w:rFonts w:ascii="Times New Roman" w:hAnsi="Times New Roman" w:hint="eastAsia"/>
        </w:rPr>
        <w:t>分析</w:t>
      </w:r>
      <w:bookmarkEnd w:id="37"/>
      <w:bookmarkEnd w:id="38"/>
    </w:p>
    <w:p w:rsidR="00C057F7" w:rsidRDefault="00264BD8">
      <w:pPr>
        <w:spacing w:line="400" w:lineRule="exact"/>
        <w:ind w:firstLine="420"/>
        <w:rPr>
          <w:szCs w:val="21"/>
        </w:rPr>
      </w:pPr>
      <w:r>
        <w:rPr>
          <w:rFonts w:hint="eastAsia"/>
          <w:color w:val="000000"/>
          <w:szCs w:val="21"/>
        </w:rPr>
        <w:t>为了进一步验证本文的假设</w:t>
      </w:r>
      <w:r>
        <w:rPr>
          <w:color w:val="000000"/>
          <w:szCs w:val="21"/>
        </w:rPr>
        <w:t>，运用多元线性回归模型，</w:t>
      </w:r>
      <w:r>
        <w:rPr>
          <w:rFonts w:hint="eastAsia"/>
          <w:color w:val="000000"/>
          <w:szCs w:val="21"/>
        </w:rPr>
        <w:t>对现金股利政策、代理成本与公司绩</w:t>
      </w:r>
      <w:r>
        <w:rPr>
          <w:rFonts w:hint="eastAsia"/>
          <w:color w:val="000000"/>
          <w:szCs w:val="21"/>
        </w:rPr>
        <w:lastRenderedPageBreak/>
        <w:t>效的关系</w:t>
      </w:r>
      <w:r>
        <w:rPr>
          <w:color w:val="000000"/>
          <w:szCs w:val="21"/>
        </w:rPr>
        <w:t>进行多元回归检验，</w:t>
      </w:r>
      <w:r>
        <w:rPr>
          <w:rFonts w:hint="eastAsia"/>
          <w:color w:val="000000"/>
          <w:szCs w:val="21"/>
        </w:rPr>
        <w:t>为</w:t>
      </w:r>
      <w:r>
        <w:rPr>
          <w:rFonts w:hint="eastAsia"/>
          <w:szCs w:val="21"/>
        </w:rPr>
        <w:t>验证代理成本的中介效应，本研究通过</w:t>
      </w:r>
      <w:r>
        <w:rPr>
          <w:rFonts w:hint="eastAsia"/>
          <w:szCs w:val="21"/>
        </w:rPr>
        <w:t>3</w:t>
      </w:r>
      <w:r>
        <w:rPr>
          <w:rFonts w:hint="eastAsia"/>
          <w:szCs w:val="21"/>
        </w:rPr>
        <w:t>个步骤进行检验，检验程序见下图：</w:t>
      </w:r>
    </w:p>
    <w:p w:rsidR="00C057F7" w:rsidRDefault="00C057F7">
      <w:pPr>
        <w:pStyle w:val="a3"/>
        <w:spacing w:line="240" w:lineRule="auto"/>
        <w:ind w:firstLineChars="0" w:firstLine="0"/>
        <w:rPr>
          <w:rFonts w:ascii="宋体" w:eastAsia="宋体" w:hAnsi="宋体" w:cs="宋体"/>
          <w:b/>
          <w:bCs/>
          <w:sz w:val="15"/>
          <w:szCs w:val="15"/>
        </w:rPr>
      </w:pPr>
    </w:p>
    <w:p w:rsidR="00C057F7" w:rsidRDefault="00C057F7">
      <w:pPr>
        <w:pStyle w:val="a3"/>
        <w:spacing w:line="240" w:lineRule="auto"/>
        <w:ind w:firstLine="301"/>
        <w:jc w:val="center"/>
        <w:rPr>
          <w:rFonts w:ascii="宋体" w:eastAsia="宋体" w:hAnsi="宋体" w:cs="宋体"/>
          <w:b/>
          <w:bCs/>
          <w:sz w:val="15"/>
          <w:szCs w:val="15"/>
        </w:rPr>
      </w:pPr>
      <w:r>
        <w:rPr>
          <w:rFonts w:ascii="宋体" w:eastAsia="宋体" w:hAnsi="宋体" w:cs="宋体"/>
          <w:b/>
          <w:bCs/>
          <w:sz w:val="15"/>
          <w:szCs w:val="15"/>
        </w:rPr>
        <w:pict>
          <v:group id="组合 2" o:spid="_x0000_s1052" style="position:absolute;left:0;text-align:left;margin-left:41.85pt;margin-top:1pt;width:362.7pt;height:205.8pt;z-index:251659264" coordorigin="2256,2826" coordsize="7254,4116203">
            <v:group id="组合 3" o:spid="_x0000_s1053" style="position:absolute;left:4137;top:5502;width:2214;height:548" coordorigin="4815,5642" coordsize="2214,548">
              <v:shapetype id="_x0000_t32" coordsize="21600,21600" o:spt="32" o:oned="t" path="m,l21600,21600e" filled="f">
                <v:path arrowok="t" fillok="f" o:connecttype="none"/>
                <o:lock v:ext="edit" shapetype="t"/>
              </v:shapetype>
              <v:shape id="自选图形 4" o:spid="_x0000_s1054" type="#_x0000_t32" style="position:absolute;left:4815;top:5642;width:0;height:548" o:connectortype="straight">
                <v:stroke endarrow="block"/>
              </v:shape>
              <v:shape id="自选图形 5" o:spid="_x0000_s1055" type="#_x0000_t32" style="position:absolute;left:5954;top:5642;width:0;height:548" o:connectortype="straight">
                <v:stroke endarrow="block"/>
              </v:shape>
              <v:shape id="自选图形 6" o:spid="_x0000_s1056" type="#_x0000_t32" style="position:absolute;left:7029;top:5642;width:0;height:548" o:connectortype="straight">
                <v:stroke endarrow="block"/>
              </v:shape>
            </v:group>
            <v:group id="组合 7" o:spid="_x0000_s1057" style="position:absolute;left:2256;top:2826;width:7254;height:4116" coordorigin="2170,3170" coordsize="7254,4116">
              <v:shape id="自选图形 8" o:spid="_x0000_s1058" type="#_x0000_t32" style="position:absolute;left:4567;top:3654;width:0;height:559" o:connectortype="straight">
                <v:stroke endarrow="block"/>
              </v:shape>
              <v:rect id="矩形 9" o:spid="_x0000_s1059" style="position:absolute;left:3139;top:4213;width:2805;height:558">
                <v:textbox>
                  <w:txbxContent>
                    <w:p w:rsidR="00C057F7" w:rsidRDefault="00264BD8">
                      <w:pPr>
                        <w:ind w:firstLineChars="0" w:firstLine="0"/>
                        <w:jc w:val="center"/>
                        <w:rPr>
                          <w:sz w:val="18"/>
                          <w:szCs w:val="18"/>
                        </w:rPr>
                      </w:pPr>
                      <w:r>
                        <w:rPr>
                          <w:rFonts w:hint="eastAsia"/>
                          <w:sz w:val="18"/>
                          <w:szCs w:val="18"/>
                        </w:rPr>
                        <w:t>检验系数</w:t>
                      </w:r>
                      <w:r>
                        <w:rPr>
                          <w:rFonts w:ascii="宋体" w:hAnsi="宋体" w:hint="eastAsia"/>
                          <w:sz w:val="18"/>
                          <w:szCs w:val="18"/>
                        </w:rPr>
                        <w:t>β</w:t>
                      </w:r>
                      <w:r>
                        <w:rPr>
                          <w:rFonts w:ascii="宋体" w:hAnsi="宋体" w:hint="eastAsia"/>
                          <w:sz w:val="18"/>
                          <w:szCs w:val="18"/>
                          <w:vertAlign w:val="subscript"/>
                        </w:rPr>
                        <w:t>1</w:t>
                      </w:r>
                      <w:r>
                        <w:rPr>
                          <w:rFonts w:ascii="宋体" w:hAnsi="宋体" w:hint="eastAsia"/>
                          <w:sz w:val="18"/>
                          <w:szCs w:val="18"/>
                        </w:rPr>
                        <w:t>γ</w:t>
                      </w:r>
                      <w:r>
                        <w:rPr>
                          <w:rFonts w:ascii="宋体" w:hAnsi="宋体" w:hint="eastAsia"/>
                          <w:sz w:val="18"/>
                          <w:szCs w:val="18"/>
                          <w:vertAlign w:val="subscript"/>
                        </w:rPr>
                        <w:t>2</w:t>
                      </w:r>
                      <w:r>
                        <w:rPr>
                          <w:rFonts w:ascii="宋体" w:hAnsi="宋体" w:hint="eastAsia"/>
                          <w:sz w:val="18"/>
                          <w:szCs w:val="18"/>
                        </w:rPr>
                        <w:t>γ</w:t>
                      </w:r>
                      <w:r>
                        <w:rPr>
                          <w:rFonts w:ascii="宋体" w:hAnsi="宋体" w:hint="eastAsia"/>
                          <w:sz w:val="18"/>
                          <w:szCs w:val="18"/>
                          <w:vertAlign w:val="subscript"/>
                        </w:rPr>
                        <w:t>3</w:t>
                      </w:r>
                    </w:p>
                    <w:p w:rsidR="00C057F7" w:rsidRDefault="00C057F7">
                      <w:pPr>
                        <w:ind w:firstLine="420"/>
                        <w:jc w:val="center"/>
                      </w:pPr>
                    </w:p>
                  </w:txbxContent>
                </v:textbox>
              </v:rect>
              <v:shape id="自选图形 10" o:spid="_x0000_s1060" type="#_x0000_t32" style="position:absolute;left:3514;top:4771;width:0;height:548" o:connectortype="straight">
                <v:stroke endarrow="block"/>
              </v:shape>
              <v:shape id="自选图形 11" o:spid="_x0000_s1061" type="#_x0000_t32" style="position:absolute;left:5567;top:4771;width:0;height:548" o:connectortype="straight">
                <v:stroke endarrow="block"/>
              </v:shape>
              <v:rect id="矩形 12" o:spid="_x0000_s1062" style="position:absolute;left:2375;top:5319;width:1988;height:527">
                <v:textbox>
                  <w:txbxContent>
                    <w:p w:rsidR="00C057F7" w:rsidRDefault="00264BD8">
                      <w:pPr>
                        <w:ind w:firstLineChars="0" w:firstLine="0"/>
                        <w:jc w:val="center"/>
                        <w:rPr>
                          <w:sz w:val="18"/>
                          <w:szCs w:val="18"/>
                        </w:rPr>
                      </w:pPr>
                      <w:r>
                        <w:rPr>
                          <w:rFonts w:hint="eastAsia"/>
                          <w:sz w:val="18"/>
                          <w:szCs w:val="18"/>
                        </w:rPr>
                        <w:t>检验系数</w:t>
                      </w:r>
                      <w:r>
                        <w:rPr>
                          <w:rFonts w:ascii="宋体" w:hAnsi="宋体" w:hint="eastAsia"/>
                          <w:sz w:val="18"/>
                          <w:szCs w:val="18"/>
                        </w:rPr>
                        <w:t>γ</w:t>
                      </w:r>
                      <w:r>
                        <w:rPr>
                          <w:rFonts w:ascii="宋体" w:hAnsi="宋体" w:hint="eastAsia"/>
                          <w:sz w:val="18"/>
                          <w:szCs w:val="18"/>
                          <w:vertAlign w:val="subscript"/>
                        </w:rPr>
                        <w:t>1</w:t>
                      </w:r>
                    </w:p>
                  </w:txbxContent>
                </v:textbox>
              </v:rect>
              <v:rect id="矩形 13" o:spid="_x0000_s1063" style="position:absolute;left:4749;top:5319;width:1859;height:527">
                <v:textbox>
                  <w:txbxContent>
                    <w:p w:rsidR="00C057F7" w:rsidRDefault="00264BD8">
                      <w:pPr>
                        <w:ind w:firstLineChars="0" w:firstLine="0"/>
                        <w:jc w:val="center"/>
                        <w:rPr>
                          <w:sz w:val="18"/>
                          <w:szCs w:val="18"/>
                        </w:rPr>
                      </w:pPr>
                      <w:r>
                        <w:rPr>
                          <w:rFonts w:hint="eastAsia"/>
                          <w:sz w:val="18"/>
                          <w:szCs w:val="18"/>
                        </w:rPr>
                        <w:t>Sobel</w:t>
                      </w:r>
                      <w:r>
                        <w:rPr>
                          <w:rFonts w:hint="eastAsia"/>
                          <w:sz w:val="18"/>
                          <w:szCs w:val="18"/>
                        </w:rPr>
                        <w:t>检验</w:t>
                      </w:r>
                    </w:p>
                  </w:txbxContent>
                </v:textbox>
              </v:rect>
              <v:shape id="自选图形 14" o:spid="_x0000_s1064" type="#_x0000_t32" style="position:absolute;left:2805;top:5846;width:0;height:548" o:connectortype="straight">
                <v:stroke endarrow="block"/>
              </v:shape>
              <v:rect id="矩形 15" o:spid="_x0000_s1065" style="position:absolute;left:2170;top:6394;width:1172;height:838">
                <v:textbox>
                  <w:txbxContent>
                    <w:p w:rsidR="00C057F7" w:rsidRDefault="00264BD8">
                      <w:pPr>
                        <w:spacing w:line="240" w:lineRule="auto"/>
                        <w:ind w:firstLineChars="0" w:firstLine="0"/>
                        <w:jc w:val="center"/>
                        <w:rPr>
                          <w:sz w:val="18"/>
                          <w:szCs w:val="18"/>
                        </w:rPr>
                      </w:pPr>
                      <w:r>
                        <w:rPr>
                          <w:rFonts w:hint="eastAsia"/>
                          <w:sz w:val="18"/>
                          <w:szCs w:val="18"/>
                        </w:rPr>
                        <w:t>完全中介效应显著</w:t>
                      </w:r>
                    </w:p>
                  </w:txbxContent>
                </v:textbox>
              </v:rect>
              <v:rect id="矩形 16" o:spid="_x0000_s1066" style="position:absolute;left:3514;top:6394;width:989;height:838">
                <v:textbox>
                  <w:txbxContent>
                    <w:p w:rsidR="00C057F7" w:rsidRDefault="00264BD8">
                      <w:pPr>
                        <w:spacing w:line="240" w:lineRule="auto"/>
                        <w:ind w:firstLineChars="0" w:firstLine="0"/>
                        <w:jc w:val="center"/>
                        <w:rPr>
                          <w:sz w:val="18"/>
                          <w:szCs w:val="18"/>
                        </w:rPr>
                      </w:pPr>
                      <w:r>
                        <w:rPr>
                          <w:rFonts w:hint="eastAsia"/>
                          <w:sz w:val="18"/>
                          <w:szCs w:val="18"/>
                        </w:rPr>
                        <w:t>中介效应显著</w:t>
                      </w:r>
                    </w:p>
                  </w:txbxContent>
                </v:textbox>
              </v:rect>
              <v:rect id="矩形 17" o:spid="_x0000_s1067" style="position:absolute;left:4645;top:6394;width:989;height:838">
                <v:textbox>
                  <w:txbxContent>
                    <w:p w:rsidR="00C057F7" w:rsidRDefault="00264BD8">
                      <w:pPr>
                        <w:spacing w:line="240" w:lineRule="auto"/>
                        <w:ind w:firstLineChars="0" w:firstLine="0"/>
                        <w:jc w:val="center"/>
                        <w:rPr>
                          <w:sz w:val="18"/>
                          <w:szCs w:val="18"/>
                        </w:rPr>
                      </w:pPr>
                      <w:r>
                        <w:rPr>
                          <w:rFonts w:hint="eastAsia"/>
                          <w:sz w:val="18"/>
                          <w:szCs w:val="18"/>
                        </w:rPr>
                        <w:t>中介效应显著</w:t>
                      </w:r>
                    </w:p>
                    <w:p w:rsidR="00C057F7" w:rsidRDefault="00C057F7">
                      <w:pPr>
                        <w:ind w:firstLine="420"/>
                      </w:pPr>
                    </w:p>
                  </w:txbxContent>
                </v:textbox>
              </v:rect>
              <v:rect id="矩形 18" o:spid="_x0000_s1068" style="position:absolute;left:5827;top:6394;width:1172;height:838">
                <v:textbox>
                  <w:txbxContent>
                    <w:p w:rsidR="00C057F7" w:rsidRDefault="00264BD8">
                      <w:pPr>
                        <w:spacing w:line="240" w:lineRule="auto"/>
                        <w:ind w:left="90" w:hangingChars="50" w:hanging="90"/>
                        <w:jc w:val="center"/>
                        <w:rPr>
                          <w:sz w:val="18"/>
                          <w:szCs w:val="18"/>
                        </w:rPr>
                      </w:pPr>
                      <w:r>
                        <w:rPr>
                          <w:rFonts w:hint="eastAsia"/>
                          <w:sz w:val="18"/>
                          <w:szCs w:val="18"/>
                        </w:rPr>
                        <w:t>中介效应不显著</w:t>
                      </w:r>
                    </w:p>
                    <w:p w:rsidR="00C057F7" w:rsidRDefault="00C057F7">
                      <w:pPr>
                        <w:ind w:firstLine="420"/>
                      </w:pPr>
                    </w:p>
                  </w:txbxContent>
                </v:textbox>
              </v:rect>
              <v:shape id="自选图形 19" o:spid="_x0000_s1069" type="#_x0000_t32" style="position:absolute;left:5266;top:3460;width:3073;height:0" o:connectortype="straight"/>
              <v:shape id="自选图形 20" o:spid="_x0000_s1070" type="#_x0000_t32" style="position:absolute;left:8339;top:3460;width:0;height:2751" o:connectortype="straight">
                <v:stroke endarrow="block"/>
              </v:shape>
              <v:rect id="矩形 21" o:spid="_x0000_s1071" style="position:absolute;left:7372;top:6211;width:2052;height:1075">
                <v:textbox>
                  <w:txbxContent>
                    <w:p w:rsidR="00C057F7" w:rsidRDefault="00264BD8">
                      <w:pPr>
                        <w:spacing w:line="240" w:lineRule="auto"/>
                        <w:ind w:firstLineChars="0" w:firstLine="0"/>
                        <w:jc w:val="center"/>
                        <w:rPr>
                          <w:sz w:val="18"/>
                          <w:szCs w:val="18"/>
                        </w:rPr>
                      </w:pPr>
                      <w:r>
                        <w:rPr>
                          <w:rFonts w:hint="eastAsia"/>
                          <w:sz w:val="18"/>
                          <w:szCs w:val="18"/>
                        </w:rPr>
                        <w:t>因变量与自变量相关不显著，终止中介效</w:t>
                      </w:r>
                      <w:r>
                        <w:rPr>
                          <w:rFonts w:hint="eastAsia"/>
                          <w:sz w:val="18"/>
                          <w:szCs w:val="18"/>
                        </w:rPr>
                        <w:t xml:space="preserve">       </w:t>
                      </w:r>
                      <w:r>
                        <w:rPr>
                          <w:rFonts w:hint="eastAsia"/>
                          <w:sz w:val="18"/>
                          <w:szCs w:val="18"/>
                        </w:rPr>
                        <w:t>分析</w:t>
                      </w:r>
                    </w:p>
                  </w:txbxContent>
                </v:textbox>
              </v:rect>
              <v:rect id="矩形 22" o:spid="_x0000_s1072" style="position:absolute;left:3793;top:3170;width:1473;height:484">
                <v:textbox>
                  <w:txbxContent>
                    <w:p w:rsidR="00C057F7" w:rsidRDefault="00264BD8">
                      <w:pPr>
                        <w:ind w:firstLineChars="0" w:firstLine="0"/>
                        <w:jc w:val="center"/>
                        <w:rPr>
                          <w:sz w:val="18"/>
                          <w:szCs w:val="18"/>
                        </w:rPr>
                      </w:pPr>
                      <w:r>
                        <w:rPr>
                          <w:rFonts w:hint="eastAsia"/>
                          <w:sz w:val="18"/>
                          <w:szCs w:val="18"/>
                        </w:rPr>
                        <w:t>检验系数</w:t>
                      </w:r>
                      <w:r>
                        <w:rPr>
                          <w:rFonts w:ascii="宋体" w:hAnsi="宋体" w:hint="eastAsia"/>
                          <w:sz w:val="18"/>
                          <w:szCs w:val="18"/>
                        </w:rPr>
                        <w:t>α</w:t>
                      </w:r>
                      <w:r>
                        <w:rPr>
                          <w:rFonts w:ascii="宋体" w:hAnsi="宋体" w:hint="eastAsia"/>
                          <w:sz w:val="18"/>
                          <w:szCs w:val="18"/>
                          <w:vertAlign w:val="subscript"/>
                        </w:rPr>
                        <w:t>1</w:t>
                      </w:r>
                    </w:p>
                  </w:txbxContent>
                </v:textbox>
              </v:rect>
            </v:group>
          </v:group>
        </w:pict>
      </w:r>
      <w:r w:rsidR="00264BD8">
        <w:rPr>
          <w:rFonts w:ascii="宋体" w:eastAsia="宋体" w:hAnsi="宋体" w:cs="宋体" w:hint="eastAsia"/>
          <w:b/>
          <w:bCs/>
          <w:sz w:val="15"/>
          <w:szCs w:val="15"/>
        </w:rPr>
        <w:t xml:space="preserve">             </w:t>
      </w:r>
      <w:r w:rsidR="00264BD8">
        <w:rPr>
          <w:rFonts w:ascii="宋体" w:eastAsia="宋体" w:hAnsi="宋体" w:cs="宋体" w:hint="eastAsia"/>
          <w:b/>
          <w:bCs/>
          <w:sz w:val="15"/>
          <w:szCs w:val="15"/>
        </w:rPr>
        <w:t>不显著</w:t>
      </w:r>
    </w:p>
    <w:p w:rsidR="00C057F7" w:rsidRDefault="00C057F7">
      <w:pPr>
        <w:pStyle w:val="a3"/>
        <w:spacing w:line="240" w:lineRule="auto"/>
        <w:ind w:firstLine="301"/>
        <w:jc w:val="center"/>
        <w:rPr>
          <w:rFonts w:ascii="宋体" w:eastAsia="宋体" w:hAnsi="宋体" w:cs="宋体"/>
          <w:b/>
          <w:bCs/>
          <w:sz w:val="15"/>
          <w:szCs w:val="15"/>
        </w:rPr>
      </w:pPr>
    </w:p>
    <w:p w:rsidR="00C057F7" w:rsidRDefault="00264BD8">
      <w:pPr>
        <w:pStyle w:val="a3"/>
        <w:spacing w:line="240" w:lineRule="auto"/>
        <w:ind w:firstLineChars="2244" w:firstLine="3379"/>
        <w:rPr>
          <w:rFonts w:ascii="宋体" w:eastAsia="宋体" w:hAnsi="宋体" w:cs="宋体"/>
          <w:b/>
          <w:bCs/>
          <w:sz w:val="15"/>
          <w:szCs w:val="15"/>
        </w:rPr>
      </w:pPr>
      <w:r>
        <w:rPr>
          <w:rFonts w:ascii="宋体" w:eastAsia="宋体" w:hAnsi="宋体" w:cs="宋体" w:hint="eastAsia"/>
          <w:b/>
          <w:bCs/>
          <w:sz w:val="15"/>
          <w:szCs w:val="15"/>
        </w:rPr>
        <w:t>显著</w:t>
      </w:r>
    </w:p>
    <w:p w:rsidR="00C057F7" w:rsidRDefault="00C057F7">
      <w:pPr>
        <w:pStyle w:val="a3"/>
        <w:spacing w:line="240" w:lineRule="auto"/>
        <w:ind w:firstLineChars="729" w:firstLine="1098"/>
        <w:rPr>
          <w:rFonts w:ascii="宋体" w:eastAsia="宋体" w:hAnsi="宋体" w:cs="宋体"/>
          <w:b/>
          <w:bCs/>
          <w:sz w:val="15"/>
          <w:szCs w:val="15"/>
        </w:rPr>
      </w:pPr>
    </w:p>
    <w:p w:rsidR="00C057F7" w:rsidRDefault="00C057F7">
      <w:pPr>
        <w:pStyle w:val="a3"/>
        <w:spacing w:line="240" w:lineRule="auto"/>
        <w:ind w:firstLine="301"/>
        <w:jc w:val="center"/>
        <w:rPr>
          <w:rFonts w:ascii="宋体" w:eastAsia="宋体" w:hAnsi="宋体" w:cs="宋体"/>
          <w:b/>
          <w:bCs/>
          <w:sz w:val="15"/>
          <w:szCs w:val="15"/>
        </w:rPr>
      </w:pPr>
    </w:p>
    <w:p w:rsidR="00C057F7" w:rsidRDefault="00C057F7">
      <w:pPr>
        <w:pStyle w:val="a3"/>
        <w:spacing w:line="240" w:lineRule="auto"/>
        <w:ind w:firstLine="301"/>
        <w:jc w:val="center"/>
        <w:rPr>
          <w:rFonts w:ascii="宋体" w:eastAsia="宋体" w:hAnsi="宋体" w:cs="宋体"/>
          <w:b/>
          <w:bCs/>
          <w:sz w:val="15"/>
          <w:szCs w:val="15"/>
        </w:rPr>
      </w:pPr>
    </w:p>
    <w:p w:rsidR="00C057F7" w:rsidRDefault="00264BD8">
      <w:pPr>
        <w:pStyle w:val="a3"/>
        <w:spacing w:line="240" w:lineRule="auto"/>
        <w:ind w:firstLineChars="1011" w:firstLine="1522"/>
        <w:rPr>
          <w:rFonts w:ascii="宋体" w:eastAsia="宋体" w:hAnsi="宋体" w:cs="宋体"/>
          <w:b/>
          <w:bCs/>
          <w:sz w:val="15"/>
          <w:szCs w:val="15"/>
        </w:rPr>
      </w:pPr>
      <w:r>
        <w:rPr>
          <w:rFonts w:ascii="宋体" w:eastAsia="宋体" w:hAnsi="宋体" w:cs="宋体" w:hint="eastAsia"/>
          <w:b/>
          <w:bCs/>
          <w:sz w:val="15"/>
          <w:szCs w:val="15"/>
        </w:rPr>
        <w:t>都显著</w:t>
      </w:r>
      <w:r>
        <w:rPr>
          <w:rFonts w:ascii="宋体" w:eastAsia="宋体" w:hAnsi="宋体" w:cs="宋体" w:hint="eastAsia"/>
          <w:b/>
          <w:bCs/>
          <w:sz w:val="15"/>
          <w:szCs w:val="15"/>
        </w:rPr>
        <w:t xml:space="preserve">                </w:t>
      </w:r>
      <w:r>
        <w:rPr>
          <w:rFonts w:ascii="宋体" w:eastAsia="宋体" w:hAnsi="宋体" w:cs="宋体" w:hint="eastAsia"/>
          <w:b/>
          <w:bCs/>
          <w:sz w:val="15"/>
          <w:szCs w:val="15"/>
        </w:rPr>
        <w:t xml:space="preserve">                 </w:t>
      </w:r>
      <w:r>
        <w:rPr>
          <w:rFonts w:ascii="宋体" w:eastAsia="宋体" w:hAnsi="宋体" w:cs="宋体" w:hint="eastAsia"/>
          <w:b/>
          <w:bCs/>
          <w:sz w:val="15"/>
          <w:szCs w:val="15"/>
        </w:rPr>
        <w:t>至少有一个不显著</w:t>
      </w:r>
    </w:p>
    <w:p w:rsidR="00C057F7" w:rsidRDefault="00C057F7">
      <w:pPr>
        <w:pStyle w:val="a3"/>
        <w:spacing w:line="240" w:lineRule="auto"/>
        <w:ind w:firstLineChars="181" w:firstLine="273"/>
        <w:rPr>
          <w:rFonts w:ascii="宋体" w:eastAsia="宋体" w:hAnsi="宋体" w:cs="宋体"/>
          <w:b/>
          <w:bCs/>
          <w:sz w:val="15"/>
          <w:szCs w:val="15"/>
        </w:rPr>
      </w:pPr>
    </w:p>
    <w:p w:rsidR="00C057F7" w:rsidRDefault="00C057F7">
      <w:pPr>
        <w:pStyle w:val="a3"/>
        <w:spacing w:line="240" w:lineRule="auto"/>
        <w:ind w:firstLine="301"/>
        <w:jc w:val="center"/>
        <w:rPr>
          <w:rFonts w:ascii="宋体" w:eastAsia="宋体" w:hAnsi="宋体" w:cs="宋体"/>
          <w:b/>
          <w:bCs/>
          <w:sz w:val="15"/>
          <w:szCs w:val="15"/>
        </w:rPr>
      </w:pPr>
    </w:p>
    <w:p w:rsidR="00C057F7" w:rsidRDefault="00264BD8">
      <w:pPr>
        <w:pStyle w:val="a3"/>
        <w:spacing w:line="240" w:lineRule="auto"/>
        <w:ind w:firstLineChars="588" w:firstLine="885"/>
        <w:rPr>
          <w:rFonts w:ascii="宋体" w:eastAsia="宋体" w:hAnsi="宋体" w:cs="宋体"/>
          <w:b/>
          <w:bCs/>
          <w:sz w:val="15"/>
          <w:szCs w:val="15"/>
        </w:rPr>
      </w:pPr>
      <w:r>
        <w:rPr>
          <w:rFonts w:ascii="宋体" w:eastAsia="宋体" w:hAnsi="宋体" w:cs="宋体" w:hint="eastAsia"/>
          <w:b/>
          <w:bCs/>
          <w:sz w:val="15"/>
          <w:szCs w:val="15"/>
        </w:rPr>
        <w:t>不显著</w:t>
      </w:r>
      <w:r>
        <w:rPr>
          <w:rFonts w:ascii="宋体" w:eastAsia="宋体" w:hAnsi="宋体" w:cs="宋体" w:hint="eastAsia"/>
          <w:b/>
          <w:bCs/>
          <w:sz w:val="15"/>
          <w:szCs w:val="15"/>
        </w:rPr>
        <w:t xml:space="preserve">                    </w:t>
      </w:r>
      <w:r>
        <w:rPr>
          <w:rFonts w:ascii="宋体" w:eastAsia="宋体" w:hAnsi="宋体" w:cs="宋体" w:hint="eastAsia"/>
          <w:b/>
          <w:bCs/>
          <w:sz w:val="15"/>
          <w:szCs w:val="15"/>
        </w:rPr>
        <w:t>显著</w:t>
      </w:r>
      <w:r>
        <w:rPr>
          <w:rFonts w:ascii="宋体" w:eastAsia="宋体" w:hAnsi="宋体" w:cs="宋体" w:hint="eastAsia"/>
          <w:b/>
          <w:bCs/>
          <w:sz w:val="15"/>
          <w:szCs w:val="15"/>
        </w:rPr>
        <w:t xml:space="preserve">     </w:t>
      </w:r>
      <w:r>
        <w:rPr>
          <w:rFonts w:ascii="宋体" w:eastAsia="宋体" w:hAnsi="宋体" w:cs="宋体" w:hint="eastAsia"/>
          <w:b/>
          <w:bCs/>
          <w:sz w:val="15"/>
          <w:szCs w:val="15"/>
        </w:rPr>
        <w:t>显著</w:t>
      </w:r>
      <w:r>
        <w:rPr>
          <w:rFonts w:ascii="宋体" w:eastAsia="宋体" w:hAnsi="宋体" w:cs="宋体" w:hint="eastAsia"/>
          <w:b/>
          <w:bCs/>
          <w:sz w:val="15"/>
          <w:szCs w:val="15"/>
        </w:rPr>
        <w:t xml:space="preserve">                 </w:t>
      </w:r>
      <w:r>
        <w:rPr>
          <w:rFonts w:ascii="宋体" w:eastAsia="宋体" w:hAnsi="宋体" w:cs="宋体" w:hint="eastAsia"/>
          <w:b/>
          <w:bCs/>
          <w:sz w:val="15"/>
          <w:szCs w:val="15"/>
        </w:rPr>
        <w:t>不显著</w:t>
      </w:r>
    </w:p>
    <w:p w:rsidR="00C057F7" w:rsidRDefault="00C057F7">
      <w:pPr>
        <w:pStyle w:val="a3"/>
        <w:spacing w:line="240" w:lineRule="auto"/>
        <w:ind w:firstLine="301"/>
        <w:jc w:val="center"/>
        <w:rPr>
          <w:rFonts w:ascii="宋体" w:eastAsia="宋体" w:hAnsi="宋体" w:cs="宋体"/>
          <w:b/>
          <w:bCs/>
          <w:sz w:val="15"/>
          <w:szCs w:val="15"/>
        </w:rPr>
      </w:pPr>
    </w:p>
    <w:p w:rsidR="00C057F7" w:rsidRDefault="00C057F7">
      <w:pPr>
        <w:spacing w:line="240" w:lineRule="auto"/>
        <w:ind w:firstLineChars="0" w:firstLine="0"/>
        <w:rPr>
          <w:szCs w:val="21"/>
        </w:rPr>
      </w:pPr>
    </w:p>
    <w:p w:rsidR="00C057F7" w:rsidRDefault="00C057F7">
      <w:pPr>
        <w:spacing w:line="400" w:lineRule="exact"/>
        <w:ind w:firstLine="420"/>
        <w:rPr>
          <w:szCs w:val="21"/>
        </w:rPr>
      </w:pPr>
    </w:p>
    <w:p w:rsidR="00C057F7" w:rsidRDefault="00C057F7">
      <w:pPr>
        <w:pStyle w:val="a3"/>
        <w:spacing w:line="240" w:lineRule="auto"/>
        <w:ind w:firstLineChars="0" w:firstLine="0"/>
        <w:rPr>
          <w:rFonts w:ascii="宋体" w:eastAsia="宋体" w:hAnsi="宋体" w:cs="宋体"/>
          <w:b/>
          <w:bCs/>
          <w:sz w:val="15"/>
          <w:szCs w:val="15"/>
        </w:rPr>
      </w:pPr>
    </w:p>
    <w:p w:rsidR="00C057F7" w:rsidRDefault="00264BD8">
      <w:pPr>
        <w:pStyle w:val="a3"/>
        <w:spacing w:line="240" w:lineRule="auto"/>
        <w:ind w:firstLine="361"/>
        <w:jc w:val="center"/>
        <w:rPr>
          <w:rFonts w:eastAsia="宋体"/>
          <w:sz w:val="18"/>
          <w:szCs w:val="18"/>
        </w:rPr>
      </w:pPr>
      <w:r>
        <w:rPr>
          <w:rFonts w:ascii="宋体" w:eastAsia="宋体" w:hAnsi="宋体" w:cs="宋体" w:hint="eastAsia"/>
          <w:b/>
          <w:bCs/>
          <w:sz w:val="18"/>
          <w:szCs w:val="18"/>
        </w:rPr>
        <w:t>图</w:t>
      </w:r>
      <w:r>
        <w:rPr>
          <w:rFonts w:ascii="宋体" w:eastAsia="宋体" w:hAnsi="宋体" w:cs="宋体" w:hint="eastAsia"/>
          <w:b/>
          <w:bCs/>
          <w:sz w:val="18"/>
          <w:szCs w:val="18"/>
        </w:rPr>
        <w:t>5.1</w:t>
      </w:r>
      <w:r>
        <w:rPr>
          <w:rFonts w:ascii="宋体" w:eastAsia="宋体" w:hAnsi="宋体" w:cs="宋体" w:hint="eastAsia"/>
          <w:b/>
          <w:bCs/>
          <w:w w:val="105"/>
          <w:sz w:val="18"/>
          <w:szCs w:val="18"/>
        </w:rPr>
        <w:t>代理成本中介效应检验程序</w:t>
      </w:r>
    </w:p>
    <w:p w:rsidR="00C057F7" w:rsidRDefault="00264BD8">
      <w:pPr>
        <w:spacing w:line="400" w:lineRule="exact"/>
        <w:ind w:firstLine="420"/>
        <w:rPr>
          <w:color w:val="000000"/>
          <w:szCs w:val="21"/>
        </w:rPr>
      </w:pPr>
      <w:r>
        <w:rPr>
          <w:rFonts w:hint="eastAsia"/>
          <w:color w:val="000000"/>
          <w:szCs w:val="21"/>
        </w:rPr>
        <w:t>步骤</w:t>
      </w:r>
      <w:r>
        <w:rPr>
          <w:rFonts w:hint="eastAsia"/>
          <w:color w:val="000000"/>
          <w:szCs w:val="21"/>
        </w:rPr>
        <w:t>1</w:t>
      </w:r>
      <w:r>
        <w:rPr>
          <w:rFonts w:hint="eastAsia"/>
          <w:color w:val="000000"/>
          <w:szCs w:val="21"/>
        </w:rPr>
        <w:t>：先对系数α</w:t>
      </w:r>
      <w:r>
        <w:rPr>
          <w:rFonts w:hint="eastAsia"/>
          <w:color w:val="000000"/>
          <w:szCs w:val="21"/>
          <w:vertAlign w:val="subscript"/>
        </w:rPr>
        <w:t>1</w:t>
      </w:r>
      <w:r>
        <w:rPr>
          <w:rFonts w:hint="eastAsia"/>
          <w:color w:val="000000"/>
          <w:szCs w:val="21"/>
        </w:rPr>
        <w:t>进行检验，若结果显示不显著，则认为现金股利与公司绩效不存在显著相关关系；</w:t>
      </w:r>
      <w:r>
        <w:rPr>
          <w:rFonts w:hint="eastAsia"/>
          <w:color w:val="000000"/>
          <w:szCs w:val="21"/>
        </w:rPr>
        <w:t xml:space="preserve"> </w:t>
      </w:r>
      <w:r>
        <w:rPr>
          <w:rFonts w:hint="eastAsia"/>
          <w:color w:val="000000"/>
          <w:szCs w:val="21"/>
        </w:rPr>
        <w:t>若系数显著，表明现金股利与公司绩效存在显著相关关系，则进入步骤</w:t>
      </w:r>
      <w:r>
        <w:rPr>
          <w:rFonts w:hint="eastAsia"/>
          <w:color w:val="000000"/>
          <w:szCs w:val="21"/>
        </w:rPr>
        <w:t>2</w:t>
      </w:r>
      <w:r>
        <w:rPr>
          <w:rFonts w:hint="eastAsia"/>
          <w:color w:val="000000"/>
          <w:szCs w:val="21"/>
        </w:rPr>
        <w:t>。</w:t>
      </w:r>
    </w:p>
    <w:p w:rsidR="00C057F7" w:rsidRDefault="00264BD8">
      <w:pPr>
        <w:ind w:firstLine="420"/>
        <w:rPr>
          <w:color w:val="000000"/>
        </w:rPr>
      </w:pPr>
      <w:r>
        <w:rPr>
          <w:rFonts w:hint="eastAsia"/>
          <w:color w:val="000000"/>
          <w:szCs w:val="21"/>
        </w:rPr>
        <w:t>步骤</w:t>
      </w:r>
      <w:r>
        <w:rPr>
          <w:rFonts w:hint="eastAsia"/>
          <w:color w:val="000000"/>
          <w:szCs w:val="21"/>
        </w:rPr>
        <w:t>2</w:t>
      </w:r>
      <w:r>
        <w:rPr>
          <w:rFonts w:hint="eastAsia"/>
          <w:color w:val="000000"/>
          <w:szCs w:val="21"/>
        </w:rPr>
        <w:t>：其次对系数β</w:t>
      </w:r>
      <w:r>
        <w:rPr>
          <w:rFonts w:hint="eastAsia"/>
          <w:color w:val="000000"/>
          <w:szCs w:val="21"/>
          <w:vertAlign w:val="subscript"/>
        </w:rPr>
        <w:t>1</w:t>
      </w:r>
      <w:r>
        <w:rPr>
          <w:rFonts w:hint="eastAsia"/>
          <w:color w:val="000000"/>
          <w:szCs w:val="21"/>
        </w:rPr>
        <w:t>、γ</w:t>
      </w:r>
      <w:r>
        <w:rPr>
          <w:rFonts w:hint="eastAsia"/>
          <w:color w:val="000000"/>
          <w:szCs w:val="21"/>
          <w:vertAlign w:val="subscript"/>
        </w:rPr>
        <w:t>2</w:t>
      </w:r>
      <w:r>
        <w:rPr>
          <w:rFonts w:hint="eastAsia"/>
          <w:color w:val="000000"/>
          <w:szCs w:val="21"/>
        </w:rPr>
        <w:t>、γ</w:t>
      </w:r>
      <w:r>
        <w:rPr>
          <w:rFonts w:hint="eastAsia"/>
          <w:color w:val="000000"/>
          <w:szCs w:val="21"/>
          <w:vertAlign w:val="subscript"/>
        </w:rPr>
        <w:t>3</w:t>
      </w:r>
      <w:r>
        <w:rPr>
          <w:rFonts w:hint="eastAsia"/>
          <w:color w:val="000000"/>
          <w:szCs w:val="21"/>
        </w:rPr>
        <w:t>进行检验</w:t>
      </w:r>
      <w:r>
        <w:rPr>
          <w:rFonts w:ascii="宋体" w:hAnsi="宋体" w:cs="宋体" w:hint="eastAsia"/>
          <w:color w:val="000000"/>
          <w:szCs w:val="21"/>
        </w:rPr>
        <w:t>，</w:t>
      </w:r>
      <w:r>
        <w:rPr>
          <w:rFonts w:hint="eastAsia"/>
          <w:color w:val="000000"/>
          <w:szCs w:val="21"/>
        </w:rPr>
        <w:t>若三个系数均显著，可以说明代理成本的中介效应显著，若要检验代理成本是否存在完全中介效应，需要通过检验系数γ</w:t>
      </w:r>
      <w:r>
        <w:rPr>
          <w:rFonts w:hint="eastAsia"/>
          <w:color w:val="000000"/>
          <w:szCs w:val="21"/>
          <w:vertAlign w:val="subscript"/>
        </w:rPr>
        <w:t>1</w:t>
      </w:r>
      <w:r>
        <w:rPr>
          <w:rFonts w:hint="eastAsia"/>
          <w:color w:val="000000"/>
          <w:szCs w:val="21"/>
        </w:rPr>
        <w:t>；如果系数β</w:t>
      </w:r>
      <w:r>
        <w:rPr>
          <w:rFonts w:hint="eastAsia"/>
          <w:color w:val="000000"/>
          <w:szCs w:val="21"/>
          <w:vertAlign w:val="subscript"/>
        </w:rPr>
        <w:t>1</w:t>
      </w:r>
      <w:r>
        <w:rPr>
          <w:rFonts w:hint="eastAsia"/>
          <w:color w:val="000000"/>
          <w:szCs w:val="21"/>
        </w:rPr>
        <w:t>、γ</w:t>
      </w:r>
      <w:r>
        <w:rPr>
          <w:rFonts w:hint="eastAsia"/>
          <w:color w:val="000000"/>
          <w:szCs w:val="21"/>
          <w:vertAlign w:val="subscript"/>
        </w:rPr>
        <w:t>2</w:t>
      </w:r>
      <w:r>
        <w:rPr>
          <w:rFonts w:hint="eastAsia"/>
          <w:color w:val="000000"/>
          <w:szCs w:val="21"/>
        </w:rPr>
        <w:t>、γ</w:t>
      </w:r>
      <w:r>
        <w:rPr>
          <w:rFonts w:hint="eastAsia"/>
          <w:color w:val="000000"/>
          <w:szCs w:val="21"/>
          <w:vertAlign w:val="subscript"/>
        </w:rPr>
        <w:t>3</w:t>
      </w:r>
      <w:r>
        <w:rPr>
          <w:rFonts w:hint="eastAsia"/>
          <w:color w:val="000000"/>
          <w:szCs w:val="21"/>
        </w:rPr>
        <w:t>中至少有一个不显著，则</w:t>
      </w:r>
      <w:r>
        <w:rPr>
          <w:rFonts w:hint="eastAsia"/>
          <w:color w:val="000000"/>
        </w:rPr>
        <w:t>不能判定代理成本存在显著的中介效应，进入步骤</w:t>
      </w:r>
      <w:r>
        <w:rPr>
          <w:rFonts w:hint="eastAsia"/>
          <w:color w:val="000000"/>
        </w:rPr>
        <w:t>3</w:t>
      </w:r>
      <w:r>
        <w:rPr>
          <w:rFonts w:hint="eastAsia"/>
          <w:color w:val="000000"/>
        </w:rPr>
        <w:t>。</w:t>
      </w:r>
    </w:p>
    <w:p w:rsidR="00C057F7" w:rsidRDefault="00264BD8">
      <w:pPr>
        <w:ind w:firstLine="420"/>
        <w:rPr>
          <w:color w:val="000000"/>
        </w:rPr>
      </w:pPr>
      <w:r>
        <w:rPr>
          <w:rFonts w:hint="eastAsia"/>
          <w:color w:val="000000"/>
        </w:rPr>
        <w:t>步骤</w:t>
      </w:r>
      <w:r>
        <w:rPr>
          <w:rFonts w:hint="eastAsia"/>
          <w:color w:val="000000"/>
        </w:rPr>
        <w:t>3</w:t>
      </w:r>
      <w:r>
        <w:rPr>
          <w:rFonts w:hint="eastAsia"/>
          <w:color w:val="000000"/>
        </w:rPr>
        <w:t>：为确定代理成本的中介效应是否显著，进行</w:t>
      </w:r>
      <w:r>
        <w:rPr>
          <w:rFonts w:hint="eastAsia"/>
          <w:color w:val="000000"/>
        </w:rPr>
        <w:t xml:space="preserve">Sobel </w:t>
      </w:r>
      <w:r>
        <w:rPr>
          <w:rFonts w:hint="eastAsia"/>
          <w:color w:val="000000"/>
        </w:rPr>
        <w:t>检验。</w:t>
      </w:r>
    </w:p>
    <w:p w:rsidR="00C057F7" w:rsidRDefault="00264BD8">
      <w:pPr>
        <w:ind w:firstLine="420"/>
      </w:pPr>
      <w:r>
        <w:rPr>
          <w:rFonts w:hint="eastAsia"/>
        </w:rPr>
        <w:t>根据上述步骤进行回归分析，分析结果如表</w:t>
      </w:r>
      <w:r>
        <w:rPr>
          <w:rFonts w:hint="eastAsia"/>
        </w:rPr>
        <w:t>5.3</w:t>
      </w:r>
      <w:r>
        <w:rPr>
          <w:rFonts w:hint="eastAsia"/>
        </w:rPr>
        <w:t>所示，根据步骤</w:t>
      </w:r>
      <w:r>
        <w:rPr>
          <w:rFonts w:hint="eastAsia"/>
        </w:rPr>
        <w:t>1</w:t>
      </w:r>
      <w:r>
        <w:rPr>
          <w:rFonts w:hint="eastAsia"/>
        </w:rPr>
        <w:t>，检验系数α</w:t>
      </w:r>
      <w:r>
        <w:rPr>
          <w:rFonts w:hint="eastAsia"/>
          <w:vertAlign w:val="subscript"/>
        </w:rPr>
        <w:t>1</w:t>
      </w:r>
      <w:r>
        <w:rPr>
          <w:rFonts w:hint="eastAsia"/>
        </w:rPr>
        <w:t>得出现金股利支付率（</w:t>
      </w:r>
      <w:r>
        <w:rPr>
          <w:rFonts w:hint="eastAsia"/>
        </w:rPr>
        <w:t>DE</w:t>
      </w:r>
      <w:r>
        <w:rPr>
          <w:rFonts w:hint="eastAsia"/>
        </w:rPr>
        <w:t>）与总资产回报率（</w:t>
      </w:r>
      <w:r>
        <w:rPr>
          <w:rFonts w:hint="eastAsia"/>
        </w:rPr>
        <w:t>ROA</w:t>
      </w:r>
      <w:r>
        <w:rPr>
          <w:rFonts w:hint="eastAsia"/>
        </w:rPr>
        <w:t>）的系数在</w:t>
      </w:r>
      <w:r>
        <w:rPr>
          <w:rFonts w:hint="eastAsia"/>
        </w:rPr>
        <w:t>1%</w:t>
      </w:r>
      <w:r>
        <w:rPr>
          <w:rFonts w:hint="eastAsia"/>
        </w:rPr>
        <w:t>的</w:t>
      </w:r>
      <w:r>
        <w:t>显著性水平上显著</w:t>
      </w:r>
      <w:r>
        <w:rPr>
          <w:rFonts w:hint="eastAsia"/>
        </w:rPr>
        <w:t>正相关，说明现金股利越大，公司绩效越高，进一步验证了假设</w:t>
      </w:r>
      <w:r>
        <w:rPr>
          <w:rFonts w:hint="eastAsia"/>
        </w:rPr>
        <w:t>1</w:t>
      </w:r>
      <w:r>
        <w:rPr>
          <w:rFonts w:hint="eastAsia"/>
        </w:rPr>
        <w:t>。进入步骤</w:t>
      </w:r>
      <w:r>
        <w:rPr>
          <w:rFonts w:hint="eastAsia"/>
        </w:rPr>
        <w:t>2</w:t>
      </w:r>
      <w:r>
        <w:rPr>
          <w:rFonts w:hint="eastAsia"/>
        </w:rPr>
        <w:t>，分别检验系数β</w:t>
      </w:r>
      <w:r>
        <w:rPr>
          <w:rFonts w:hint="eastAsia"/>
          <w:vertAlign w:val="subscript"/>
        </w:rPr>
        <w:t>1</w:t>
      </w:r>
      <w:r>
        <w:rPr>
          <w:rFonts w:hint="eastAsia"/>
        </w:rPr>
        <w:t>和γ</w:t>
      </w:r>
      <w:r>
        <w:rPr>
          <w:rFonts w:hint="eastAsia"/>
          <w:vertAlign w:val="subscript"/>
        </w:rPr>
        <w:t>2</w:t>
      </w:r>
      <w:r>
        <w:rPr>
          <w:rFonts w:hint="eastAsia"/>
        </w:rPr>
        <w:t>、γ</w:t>
      </w:r>
      <w:r>
        <w:rPr>
          <w:rFonts w:hint="eastAsia"/>
          <w:vertAlign w:val="subscript"/>
        </w:rPr>
        <w:t>3</w:t>
      </w:r>
      <w:r>
        <w:rPr>
          <w:rFonts w:hint="eastAsia"/>
        </w:rPr>
        <w:t>，从第二列结果可以看出金股利支付率（</w:t>
      </w:r>
      <w:r>
        <w:rPr>
          <w:rFonts w:hint="eastAsia"/>
        </w:rPr>
        <w:t>DE</w:t>
      </w:r>
      <w:r>
        <w:rPr>
          <w:rFonts w:hint="eastAsia"/>
        </w:rPr>
        <w:t>）与管理费用率（</w:t>
      </w:r>
      <w:r>
        <w:rPr>
          <w:rFonts w:hint="eastAsia"/>
        </w:rPr>
        <w:t>MNFEE</w:t>
      </w:r>
      <w:r>
        <w:rPr>
          <w:rFonts w:hint="eastAsia"/>
        </w:rPr>
        <w:t>）的系数在</w:t>
      </w:r>
      <w:r>
        <w:rPr>
          <w:rFonts w:hint="eastAsia"/>
        </w:rPr>
        <w:t>5%</w:t>
      </w:r>
      <w:r>
        <w:rPr>
          <w:rFonts w:hint="eastAsia"/>
        </w:rPr>
        <w:t>的</w:t>
      </w:r>
      <w:r>
        <w:t>显著性水平上</w:t>
      </w:r>
      <w:r>
        <w:rPr>
          <w:rFonts w:hint="eastAsia"/>
        </w:rPr>
        <w:t>负相关；从第三列结果可以看出金股利支付率（</w:t>
      </w:r>
      <w:r>
        <w:rPr>
          <w:rFonts w:hint="eastAsia"/>
        </w:rPr>
        <w:t>DE</w:t>
      </w:r>
      <w:r>
        <w:rPr>
          <w:rFonts w:hint="eastAsia"/>
        </w:rPr>
        <w:t>）与其他应收款占比</w:t>
      </w:r>
      <w:r>
        <w:rPr>
          <w:rFonts w:hint="eastAsia"/>
        </w:rPr>
        <w:t xml:space="preserve"> </w:t>
      </w:r>
      <w:r>
        <w:rPr>
          <w:rFonts w:hint="eastAsia"/>
        </w:rPr>
        <w:t>（</w:t>
      </w:r>
      <w:r>
        <w:rPr>
          <w:rFonts w:hint="eastAsia"/>
        </w:rPr>
        <w:t>ACCRT</w:t>
      </w:r>
      <w:r>
        <w:rPr>
          <w:rFonts w:hint="eastAsia"/>
        </w:rPr>
        <w:t>）系数在</w:t>
      </w:r>
      <w:r>
        <w:rPr>
          <w:rFonts w:hint="eastAsia"/>
        </w:rPr>
        <w:t>1%</w:t>
      </w:r>
      <w:r>
        <w:rPr>
          <w:rFonts w:hint="eastAsia"/>
        </w:rPr>
        <w:t>的</w:t>
      </w:r>
      <w:r>
        <w:t>显著性水平上</w:t>
      </w:r>
      <w:r>
        <w:rPr>
          <w:rFonts w:hint="eastAsia"/>
        </w:rPr>
        <w:t>负相关，说明现金股利越高，两类代理成本就越低，说明系数β</w:t>
      </w:r>
      <w:r>
        <w:rPr>
          <w:rFonts w:hint="eastAsia"/>
          <w:vertAlign w:val="subscript"/>
        </w:rPr>
        <w:t>1</w:t>
      </w:r>
      <w:r>
        <w:rPr>
          <w:rFonts w:hint="eastAsia"/>
        </w:rPr>
        <w:t>显著，进一步验证了假设</w:t>
      </w:r>
      <w:r>
        <w:rPr>
          <w:rFonts w:hint="eastAsia"/>
        </w:rPr>
        <w:t>2</w:t>
      </w:r>
      <w:r>
        <w:rPr>
          <w:rFonts w:hint="eastAsia"/>
        </w:rPr>
        <w:t>，第四列中管理费用率（</w:t>
      </w:r>
      <w:r>
        <w:rPr>
          <w:rFonts w:hint="eastAsia"/>
        </w:rPr>
        <w:t>MNFEE</w:t>
      </w:r>
      <w:r>
        <w:rPr>
          <w:rFonts w:hint="eastAsia"/>
        </w:rPr>
        <w:t>）、其他应收款占比</w:t>
      </w:r>
      <w:r>
        <w:rPr>
          <w:rFonts w:hint="eastAsia"/>
        </w:rPr>
        <w:t xml:space="preserve"> </w:t>
      </w:r>
      <w:r>
        <w:rPr>
          <w:rFonts w:hint="eastAsia"/>
        </w:rPr>
        <w:t>（</w:t>
      </w:r>
      <w:r>
        <w:rPr>
          <w:rFonts w:hint="eastAsia"/>
        </w:rPr>
        <w:t>ACCRT</w:t>
      </w:r>
      <w:r>
        <w:rPr>
          <w:rFonts w:hint="eastAsia"/>
        </w:rPr>
        <w:t>）与总资产回报率（</w:t>
      </w:r>
      <w:r>
        <w:rPr>
          <w:rFonts w:hint="eastAsia"/>
        </w:rPr>
        <w:t>ROA</w:t>
      </w:r>
      <w:r>
        <w:rPr>
          <w:rFonts w:hint="eastAsia"/>
        </w:rPr>
        <w:t>）的系数均在</w:t>
      </w:r>
      <w:r>
        <w:rPr>
          <w:rFonts w:hint="eastAsia"/>
        </w:rPr>
        <w:t>1%</w:t>
      </w:r>
      <w:r>
        <w:rPr>
          <w:rFonts w:hint="eastAsia"/>
        </w:rPr>
        <w:t>的</w:t>
      </w:r>
      <w:r>
        <w:t>显著性水平上显著</w:t>
      </w:r>
      <w:r>
        <w:rPr>
          <w:rFonts w:hint="eastAsia"/>
        </w:rPr>
        <w:t>负相关，说明系数γ</w:t>
      </w:r>
      <w:r>
        <w:rPr>
          <w:rFonts w:hint="eastAsia"/>
          <w:vertAlign w:val="subscript"/>
        </w:rPr>
        <w:t>2</w:t>
      </w:r>
      <w:r>
        <w:rPr>
          <w:rFonts w:hint="eastAsia"/>
        </w:rPr>
        <w:t>、γ</w:t>
      </w:r>
      <w:r>
        <w:rPr>
          <w:rFonts w:hint="eastAsia"/>
          <w:vertAlign w:val="subscript"/>
        </w:rPr>
        <w:t>3</w:t>
      </w:r>
      <w:r>
        <w:rPr>
          <w:rFonts w:hint="eastAsia"/>
        </w:rPr>
        <w:t>显著；继续检验γ</w:t>
      </w:r>
      <w:r>
        <w:rPr>
          <w:rFonts w:hint="eastAsia"/>
          <w:vertAlign w:val="subscript"/>
        </w:rPr>
        <w:t>1</w:t>
      </w:r>
      <w:r>
        <w:rPr>
          <w:rFonts w:hint="eastAsia"/>
        </w:rPr>
        <w:t>，从第四列结果可以看出金股利支付率（</w:t>
      </w:r>
      <w:r>
        <w:rPr>
          <w:rFonts w:hint="eastAsia"/>
        </w:rPr>
        <w:t>DE</w:t>
      </w:r>
      <w:r>
        <w:rPr>
          <w:rFonts w:hint="eastAsia"/>
        </w:rPr>
        <w:t>）与总资产回</w:t>
      </w:r>
      <w:r>
        <w:rPr>
          <w:rFonts w:hint="eastAsia"/>
        </w:rPr>
        <w:t>报率（</w:t>
      </w:r>
      <w:r>
        <w:rPr>
          <w:rFonts w:hint="eastAsia"/>
        </w:rPr>
        <w:t>ROA</w:t>
      </w:r>
      <w:r>
        <w:rPr>
          <w:rFonts w:hint="eastAsia"/>
        </w:rPr>
        <w:t>）的系数在</w:t>
      </w:r>
      <w:r>
        <w:rPr>
          <w:rFonts w:hint="eastAsia"/>
        </w:rPr>
        <w:t>1%</w:t>
      </w:r>
      <w:r>
        <w:rPr>
          <w:rFonts w:hint="eastAsia"/>
        </w:rPr>
        <w:t>的</w:t>
      </w:r>
      <w:r>
        <w:t>显著性水平上显著</w:t>
      </w:r>
      <w:r>
        <w:rPr>
          <w:rFonts w:hint="eastAsia"/>
        </w:rPr>
        <w:t>正相关，说明代理成本在现金股利影响上市公司绩效的过程中发挥的中介效应显著，进一步验证了假设</w:t>
      </w:r>
      <w:r>
        <w:rPr>
          <w:rFonts w:hint="eastAsia"/>
        </w:rPr>
        <w:t>3</w:t>
      </w:r>
      <w:r>
        <w:rPr>
          <w:rFonts w:hint="eastAsia"/>
        </w:rPr>
        <w:t>。因此不需要进行</w:t>
      </w:r>
      <w:r>
        <w:rPr>
          <w:rFonts w:hint="eastAsia"/>
        </w:rPr>
        <w:t xml:space="preserve">Sobel </w:t>
      </w:r>
      <w:r>
        <w:rPr>
          <w:rFonts w:hint="eastAsia"/>
        </w:rPr>
        <w:t>检验。</w:t>
      </w:r>
    </w:p>
    <w:p w:rsidR="00C057F7" w:rsidRDefault="00264BD8">
      <w:pPr>
        <w:ind w:firstLine="420"/>
      </w:pPr>
      <w:r>
        <w:rPr>
          <w:rFonts w:hint="eastAsia"/>
        </w:rPr>
        <w:t>同时我们可以发现研究中的控制变量公司规模（</w:t>
      </w:r>
      <w:r>
        <w:rPr>
          <w:rFonts w:hint="eastAsia"/>
        </w:rPr>
        <w:t>SIZE</w:t>
      </w:r>
      <w:r>
        <w:rPr>
          <w:rFonts w:hint="eastAsia"/>
        </w:rPr>
        <w:t>）与总资产回报率（</w:t>
      </w:r>
      <w:r>
        <w:rPr>
          <w:rFonts w:hint="eastAsia"/>
        </w:rPr>
        <w:t>ROA</w:t>
      </w:r>
      <w:r>
        <w:rPr>
          <w:rFonts w:hint="eastAsia"/>
        </w:rPr>
        <w:t>）的系数显著为正，表明上市公司规模越大，公司绩效会越好，出现这个结果的原因可能是规模较大的公司业务多公司绩效也高。控制变量资产负债率（</w:t>
      </w:r>
      <w:r>
        <w:rPr>
          <w:rFonts w:hint="eastAsia"/>
        </w:rPr>
        <w:t>LEV</w:t>
      </w:r>
      <w:r>
        <w:rPr>
          <w:rFonts w:hint="eastAsia"/>
        </w:rPr>
        <w:t>）与总资产回报率（</w:t>
      </w:r>
      <w:r>
        <w:rPr>
          <w:rFonts w:hint="eastAsia"/>
        </w:rPr>
        <w:t>ROA</w:t>
      </w:r>
      <w:r>
        <w:rPr>
          <w:rFonts w:hint="eastAsia"/>
        </w:rPr>
        <w:t>）的系数显著为负，</w:t>
      </w:r>
      <w:r>
        <w:rPr>
          <w:rFonts w:hint="eastAsia"/>
        </w:rPr>
        <w:lastRenderedPageBreak/>
        <w:t>这说明企业负债会对股利支付产生影响。一般来说负债高的公司，财务状况会较差，他们会减少</w:t>
      </w:r>
      <w:r>
        <w:rPr>
          <w:rFonts w:hint="eastAsia"/>
        </w:rPr>
        <w:t>支付现金股利，相反负债低的公司，发放现金股利的几率会较高。控制变量成长性（</w:t>
      </w:r>
      <w:r>
        <w:rPr>
          <w:rFonts w:hint="eastAsia"/>
        </w:rPr>
        <w:t>GRTH</w:t>
      </w:r>
      <w:r>
        <w:rPr>
          <w:rFonts w:hint="eastAsia"/>
        </w:rPr>
        <w:t>）与总资产回报率（</w:t>
      </w:r>
      <w:r>
        <w:rPr>
          <w:rFonts w:hint="eastAsia"/>
        </w:rPr>
        <w:t>ROA</w:t>
      </w:r>
      <w:r>
        <w:rPr>
          <w:rFonts w:hint="eastAsia"/>
        </w:rPr>
        <w:t>）的系数显著为正，表明成长性高的公司，每股经营现金流会越多，上市公司绩效越好。控制变量第一大股东持股比例（</w:t>
      </w:r>
      <w:r>
        <w:rPr>
          <w:rFonts w:hint="eastAsia"/>
        </w:rPr>
        <w:t>FIRST</w:t>
      </w:r>
      <w:r>
        <w:rPr>
          <w:rFonts w:hint="eastAsia"/>
        </w:rPr>
        <w:t>）与总资产回报率（</w:t>
      </w:r>
      <w:r>
        <w:rPr>
          <w:rFonts w:hint="eastAsia"/>
        </w:rPr>
        <w:t>ROA</w:t>
      </w:r>
      <w:r>
        <w:rPr>
          <w:rFonts w:hint="eastAsia"/>
        </w:rPr>
        <w:t>）的系数显著也为正，表明第一大股东持股越多，现金流越多，从而能够带来更高的公司绩效。</w:t>
      </w:r>
      <w:r>
        <w:rPr>
          <w:rFonts w:hint="eastAsia"/>
        </w:rPr>
        <w:t xml:space="preserve"> </w:t>
      </w:r>
    </w:p>
    <w:p w:rsidR="00C057F7" w:rsidRDefault="00264BD8">
      <w:pPr>
        <w:pStyle w:val="a3"/>
        <w:ind w:firstLine="361"/>
        <w:jc w:val="center"/>
        <w:rPr>
          <w:rFonts w:eastAsia="宋体"/>
          <w:sz w:val="18"/>
          <w:szCs w:val="18"/>
        </w:rPr>
      </w:pPr>
      <w:r>
        <w:rPr>
          <w:rFonts w:ascii="宋体" w:eastAsia="宋体" w:hAnsi="宋体" w:cs="宋体" w:hint="eastAsia"/>
          <w:b/>
          <w:bCs/>
          <w:sz w:val="18"/>
          <w:szCs w:val="18"/>
        </w:rPr>
        <w:t>表</w:t>
      </w:r>
      <w:r>
        <w:rPr>
          <w:rFonts w:ascii="宋体" w:eastAsia="宋体" w:hAnsi="宋体" w:cs="宋体" w:hint="eastAsia"/>
          <w:b/>
          <w:bCs/>
          <w:sz w:val="18"/>
          <w:szCs w:val="18"/>
        </w:rPr>
        <w:t>5.</w:t>
      </w:r>
      <w:r w:rsidR="00C057F7">
        <w:rPr>
          <w:rFonts w:ascii="宋体" w:eastAsia="宋体" w:hAnsi="宋体" w:cs="宋体" w:hint="eastAsia"/>
          <w:b/>
          <w:bCs/>
          <w:sz w:val="18"/>
          <w:szCs w:val="18"/>
        </w:rPr>
        <w:fldChar w:fldCharType="begin"/>
      </w:r>
      <w:r>
        <w:rPr>
          <w:rFonts w:ascii="宋体" w:eastAsia="宋体" w:hAnsi="宋体" w:cs="宋体" w:hint="eastAsia"/>
          <w:b/>
          <w:bCs/>
          <w:sz w:val="18"/>
          <w:szCs w:val="18"/>
        </w:rPr>
        <w:instrText xml:space="preserve"> SEQ </w:instrText>
      </w:r>
      <w:r>
        <w:rPr>
          <w:rFonts w:ascii="宋体" w:eastAsia="宋体" w:hAnsi="宋体" w:cs="宋体" w:hint="eastAsia"/>
          <w:b/>
          <w:bCs/>
          <w:sz w:val="18"/>
          <w:szCs w:val="18"/>
        </w:rPr>
        <w:instrText>表</w:instrText>
      </w:r>
      <w:r>
        <w:rPr>
          <w:rFonts w:ascii="宋体" w:eastAsia="宋体" w:hAnsi="宋体" w:cs="宋体" w:hint="eastAsia"/>
          <w:b/>
          <w:bCs/>
          <w:sz w:val="18"/>
          <w:szCs w:val="18"/>
        </w:rPr>
        <w:instrText xml:space="preserve">5. \* ARABIC </w:instrText>
      </w:r>
      <w:r w:rsidR="00C057F7">
        <w:rPr>
          <w:rFonts w:ascii="宋体" w:eastAsia="宋体" w:hAnsi="宋体" w:cs="宋体" w:hint="eastAsia"/>
          <w:b/>
          <w:bCs/>
          <w:sz w:val="18"/>
          <w:szCs w:val="18"/>
        </w:rPr>
        <w:fldChar w:fldCharType="separate"/>
      </w:r>
      <w:r>
        <w:rPr>
          <w:rFonts w:ascii="宋体" w:eastAsia="宋体" w:hAnsi="宋体" w:cs="宋体"/>
          <w:b/>
          <w:bCs/>
          <w:sz w:val="18"/>
          <w:szCs w:val="18"/>
        </w:rPr>
        <w:t>3</w:t>
      </w:r>
      <w:r w:rsidR="00C057F7">
        <w:rPr>
          <w:rFonts w:ascii="宋体" w:eastAsia="宋体" w:hAnsi="宋体" w:cs="宋体" w:hint="eastAsia"/>
          <w:b/>
          <w:bCs/>
          <w:sz w:val="18"/>
          <w:szCs w:val="18"/>
        </w:rPr>
        <w:fldChar w:fldCharType="end"/>
      </w:r>
      <w:r>
        <w:rPr>
          <w:rFonts w:ascii="宋体" w:eastAsia="宋体" w:hAnsi="宋体" w:hint="eastAsia"/>
          <w:b/>
          <w:sz w:val="18"/>
          <w:szCs w:val="18"/>
        </w:rPr>
        <w:t>检验结果</w:t>
      </w:r>
    </w:p>
    <w:tbl>
      <w:tblPr>
        <w:tblW w:w="9300" w:type="dxa"/>
        <w:tblInd w:w="-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795"/>
        <w:gridCol w:w="1790"/>
        <w:gridCol w:w="1879"/>
        <w:gridCol w:w="1900"/>
        <w:gridCol w:w="1936"/>
      </w:tblGrid>
      <w:tr w:rsidR="00C057F7">
        <w:trPr>
          <w:trHeight w:val="397"/>
        </w:trPr>
        <w:tc>
          <w:tcPr>
            <w:tcW w:w="1795" w:type="dxa"/>
            <w:vAlign w:val="center"/>
          </w:tcPr>
          <w:p w:rsidR="00C057F7" w:rsidRDefault="00C057F7">
            <w:pPr>
              <w:ind w:firstLine="360"/>
              <w:rPr>
                <w:sz w:val="18"/>
                <w:szCs w:val="18"/>
              </w:rPr>
            </w:pPr>
          </w:p>
        </w:tc>
        <w:tc>
          <w:tcPr>
            <w:tcW w:w="1790" w:type="dxa"/>
            <w:vAlign w:val="center"/>
          </w:tcPr>
          <w:p w:rsidR="00C057F7" w:rsidRDefault="00264BD8">
            <w:pPr>
              <w:ind w:firstLineChars="0" w:firstLine="0"/>
              <w:jc w:val="center"/>
              <w:rPr>
                <w:sz w:val="18"/>
                <w:szCs w:val="18"/>
              </w:rPr>
            </w:pPr>
            <w:r>
              <w:rPr>
                <w:color w:val="231F20"/>
                <w:sz w:val="18"/>
                <w:szCs w:val="18"/>
              </w:rPr>
              <w:t>(1)</w:t>
            </w:r>
          </w:p>
        </w:tc>
        <w:tc>
          <w:tcPr>
            <w:tcW w:w="1879" w:type="dxa"/>
            <w:vAlign w:val="center"/>
          </w:tcPr>
          <w:p w:rsidR="00C057F7" w:rsidRDefault="00264BD8">
            <w:pPr>
              <w:ind w:firstLineChars="0" w:firstLine="0"/>
              <w:jc w:val="center"/>
              <w:rPr>
                <w:sz w:val="18"/>
                <w:szCs w:val="18"/>
              </w:rPr>
            </w:pPr>
            <w:r>
              <w:rPr>
                <w:color w:val="231F20"/>
                <w:sz w:val="18"/>
                <w:szCs w:val="18"/>
              </w:rPr>
              <w:t>(2</w:t>
            </w:r>
            <w:r>
              <w:rPr>
                <w:rFonts w:hint="eastAsia"/>
                <w:color w:val="231F20"/>
                <w:sz w:val="18"/>
                <w:szCs w:val="18"/>
              </w:rPr>
              <w:t>a</w:t>
            </w:r>
            <w:r>
              <w:rPr>
                <w:color w:val="231F20"/>
                <w:sz w:val="18"/>
                <w:szCs w:val="18"/>
              </w:rPr>
              <w:t>)</w:t>
            </w:r>
          </w:p>
        </w:tc>
        <w:tc>
          <w:tcPr>
            <w:tcW w:w="1900" w:type="dxa"/>
            <w:vAlign w:val="center"/>
          </w:tcPr>
          <w:p w:rsidR="00C057F7" w:rsidRDefault="00264BD8">
            <w:pPr>
              <w:ind w:firstLineChars="0" w:firstLine="0"/>
              <w:jc w:val="center"/>
              <w:rPr>
                <w:sz w:val="18"/>
                <w:szCs w:val="18"/>
              </w:rPr>
            </w:pPr>
            <w:r>
              <w:rPr>
                <w:color w:val="231F20"/>
                <w:sz w:val="18"/>
                <w:szCs w:val="18"/>
              </w:rPr>
              <w:t>(</w:t>
            </w:r>
            <w:r>
              <w:rPr>
                <w:rFonts w:hint="eastAsia"/>
                <w:color w:val="231F20"/>
                <w:sz w:val="18"/>
                <w:szCs w:val="18"/>
              </w:rPr>
              <w:t>2b</w:t>
            </w:r>
            <w:r>
              <w:rPr>
                <w:color w:val="231F20"/>
                <w:sz w:val="18"/>
                <w:szCs w:val="18"/>
              </w:rPr>
              <w:t>)</w:t>
            </w:r>
          </w:p>
        </w:tc>
        <w:tc>
          <w:tcPr>
            <w:tcW w:w="1936" w:type="dxa"/>
            <w:vAlign w:val="center"/>
          </w:tcPr>
          <w:p w:rsidR="00C057F7" w:rsidRDefault="00264BD8">
            <w:pPr>
              <w:ind w:firstLineChars="0" w:firstLine="0"/>
              <w:jc w:val="center"/>
              <w:rPr>
                <w:sz w:val="18"/>
                <w:szCs w:val="18"/>
              </w:rPr>
            </w:pPr>
            <w:r>
              <w:rPr>
                <w:color w:val="231F20"/>
                <w:sz w:val="18"/>
                <w:szCs w:val="18"/>
              </w:rPr>
              <w:t>(3)</w:t>
            </w:r>
          </w:p>
        </w:tc>
      </w:tr>
      <w:tr w:rsidR="00C057F7">
        <w:trPr>
          <w:trHeight w:val="397"/>
        </w:trPr>
        <w:tc>
          <w:tcPr>
            <w:tcW w:w="1795" w:type="dxa"/>
            <w:vAlign w:val="center"/>
          </w:tcPr>
          <w:p w:rsidR="00C057F7" w:rsidRDefault="00264BD8">
            <w:pPr>
              <w:ind w:firstLineChars="0" w:firstLine="0"/>
              <w:jc w:val="center"/>
              <w:rPr>
                <w:sz w:val="18"/>
                <w:szCs w:val="18"/>
              </w:rPr>
            </w:pPr>
            <w:r>
              <w:rPr>
                <w:sz w:val="18"/>
                <w:szCs w:val="18"/>
              </w:rPr>
              <w:t>截距</w:t>
            </w:r>
          </w:p>
        </w:tc>
        <w:tc>
          <w:tcPr>
            <w:tcW w:w="1790" w:type="dxa"/>
            <w:vAlign w:val="center"/>
          </w:tcPr>
          <w:p w:rsidR="00C057F7" w:rsidRDefault="00264BD8">
            <w:pPr>
              <w:ind w:firstLineChars="0" w:firstLine="0"/>
              <w:jc w:val="center"/>
              <w:rPr>
                <w:sz w:val="18"/>
                <w:szCs w:val="18"/>
              </w:rPr>
            </w:pPr>
            <w:r>
              <w:rPr>
                <w:rFonts w:hint="eastAsia"/>
                <w:sz w:val="18"/>
                <w:szCs w:val="18"/>
              </w:rPr>
              <w:t>-</w:t>
            </w:r>
            <w:r>
              <w:rPr>
                <w:sz w:val="18"/>
                <w:szCs w:val="18"/>
              </w:rPr>
              <w:t>0.0</w:t>
            </w:r>
            <w:r>
              <w:rPr>
                <w:rFonts w:hint="eastAsia"/>
                <w:sz w:val="18"/>
                <w:szCs w:val="18"/>
              </w:rPr>
              <w:t>73</w:t>
            </w:r>
            <w:r>
              <w:rPr>
                <w:sz w:val="18"/>
                <w:szCs w:val="18"/>
                <w:vertAlign w:val="superscript"/>
              </w:rPr>
              <w:t>***</w:t>
            </w:r>
          </w:p>
        </w:tc>
        <w:tc>
          <w:tcPr>
            <w:tcW w:w="1879" w:type="dxa"/>
            <w:vAlign w:val="center"/>
          </w:tcPr>
          <w:p w:rsidR="00C057F7" w:rsidRDefault="00264BD8">
            <w:pPr>
              <w:ind w:firstLineChars="0" w:firstLine="0"/>
              <w:jc w:val="center"/>
              <w:rPr>
                <w:sz w:val="18"/>
                <w:szCs w:val="18"/>
              </w:rPr>
            </w:pPr>
            <w:r>
              <w:rPr>
                <w:sz w:val="18"/>
                <w:szCs w:val="18"/>
              </w:rPr>
              <w:t>0.</w:t>
            </w:r>
            <w:r>
              <w:rPr>
                <w:rFonts w:hint="eastAsia"/>
                <w:sz w:val="18"/>
                <w:szCs w:val="18"/>
              </w:rPr>
              <w:t>761</w:t>
            </w:r>
            <w:r>
              <w:rPr>
                <w:sz w:val="18"/>
                <w:szCs w:val="18"/>
                <w:vertAlign w:val="superscript"/>
              </w:rPr>
              <w:t>***</w:t>
            </w:r>
          </w:p>
        </w:tc>
        <w:tc>
          <w:tcPr>
            <w:tcW w:w="1900" w:type="dxa"/>
            <w:vAlign w:val="center"/>
          </w:tcPr>
          <w:p w:rsidR="00C057F7" w:rsidRDefault="00264BD8">
            <w:pPr>
              <w:ind w:firstLineChars="0" w:firstLine="0"/>
              <w:jc w:val="center"/>
              <w:rPr>
                <w:sz w:val="18"/>
                <w:szCs w:val="18"/>
              </w:rPr>
            </w:pPr>
            <w:r>
              <w:rPr>
                <w:sz w:val="18"/>
                <w:szCs w:val="18"/>
              </w:rPr>
              <w:t>0.0</w:t>
            </w:r>
            <w:r>
              <w:rPr>
                <w:rFonts w:hint="eastAsia"/>
                <w:sz w:val="18"/>
                <w:szCs w:val="18"/>
              </w:rPr>
              <w:t>32</w:t>
            </w:r>
            <w:r>
              <w:rPr>
                <w:sz w:val="18"/>
                <w:szCs w:val="18"/>
                <w:vertAlign w:val="superscript"/>
              </w:rPr>
              <w:t>***</w:t>
            </w:r>
          </w:p>
        </w:tc>
        <w:tc>
          <w:tcPr>
            <w:tcW w:w="1936" w:type="dxa"/>
            <w:vAlign w:val="center"/>
          </w:tcPr>
          <w:p w:rsidR="00C057F7" w:rsidRDefault="00264BD8">
            <w:pPr>
              <w:ind w:firstLineChars="0" w:firstLine="0"/>
              <w:jc w:val="center"/>
              <w:rPr>
                <w:sz w:val="18"/>
                <w:szCs w:val="18"/>
              </w:rPr>
            </w:pPr>
            <w:r>
              <w:rPr>
                <w:rFonts w:hint="eastAsia"/>
                <w:sz w:val="18"/>
                <w:szCs w:val="18"/>
              </w:rPr>
              <w:t>-</w:t>
            </w:r>
            <w:r>
              <w:rPr>
                <w:sz w:val="18"/>
                <w:szCs w:val="18"/>
              </w:rPr>
              <w:t>0.0</w:t>
            </w:r>
            <w:r>
              <w:rPr>
                <w:rFonts w:hint="eastAsia"/>
                <w:sz w:val="18"/>
                <w:szCs w:val="18"/>
              </w:rPr>
              <w:t>38</w:t>
            </w:r>
            <w:r>
              <w:rPr>
                <w:sz w:val="18"/>
                <w:szCs w:val="18"/>
                <w:vertAlign w:val="superscript"/>
              </w:rPr>
              <w:t>**</w:t>
            </w:r>
          </w:p>
        </w:tc>
      </w:tr>
      <w:tr w:rsidR="00C057F7">
        <w:trPr>
          <w:trHeight w:val="397"/>
        </w:trPr>
        <w:tc>
          <w:tcPr>
            <w:tcW w:w="1795" w:type="dxa"/>
            <w:vAlign w:val="center"/>
          </w:tcPr>
          <w:p w:rsidR="00C057F7" w:rsidRDefault="00C057F7">
            <w:pPr>
              <w:ind w:firstLine="360"/>
              <w:rPr>
                <w:sz w:val="18"/>
                <w:szCs w:val="18"/>
              </w:rPr>
            </w:pPr>
          </w:p>
        </w:tc>
        <w:tc>
          <w:tcPr>
            <w:tcW w:w="1790" w:type="dxa"/>
            <w:vAlign w:val="center"/>
          </w:tcPr>
          <w:p w:rsidR="00C057F7" w:rsidRDefault="00264BD8">
            <w:pPr>
              <w:ind w:firstLineChars="0" w:firstLine="0"/>
              <w:jc w:val="center"/>
              <w:rPr>
                <w:sz w:val="18"/>
                <w:szCs w:val="18"/>
              </w:rPr>
            </w:pPr>
            <w:r>
              <w:rPr>
                <w:sz w:val="18"/>
                <w:szCs w:val="18"/>
              </w:rPr>
              <w:t>（</w:t>
            </w:r>
            <w:r>
              <w:rPr>
                <w:sz w:val="18"/>
                <w:szCs w:val="18"/>
              </w:rPr>
              <w:t>-4.783</w:t>
            </w:r>
            <w:r>
              <w:rPr>
                <w:sz w:val="18"/>
                <w:szCs w:val="18"/>
              </w:rPr>
              <w:t>）</w:t>
            </w:r>
          </w:p>
        </w:tc>
        <w:tc>
          <w:tcPr>
            <w:tcW w:w="1879" w:type="dxa"/>
            <w:vAlign w:val="center"/>
          </w:tcPr>
          <w:p w:rsidR="00C057F7" w:rsidRDefault="00264BD8">
            <w:pPr>
              <w:ind w:firstLineChars="0" w:firstLine="0"/>
              <w:jc w:val="center"/>
              <w:rPr>
                <w:sz w:val="18"/>
                <w:szCs w:val="18"/>
              </w:rPr>
            </w:pPr>
            <w:r>
              <w:rPr>
                <w:sz w:val="18"/>
                <w:szCs w:val="18"/>
              </w:rPr>
              <w:t>（</w:t>
            </w:r>
            <w:r>
              <w:rPr>
                <w:rFonts w:hint="eastAsia"/>
                <w:sz w:val="18"/>
                <w:szCs w:val="18"/>
              </w:rPr>
              <w:t>18.466</w:t>
            </w:r>
            <w:r>
              <w:rPr>
                <w:sz w:val="18"/>
                <w:szCs w:val="18"/>
              </w:rPr>
              <w:t>）</w:t>
            </w:r>
          </w:p>
        </w:tc>
        <w:tc>
          <w:tcPr>
            <w:tcW w:w="1900" w:type="dxa"/>
            <w:vAlign w:val="center"/>
          </w:tcPr>
          <w:p w:rsidR="00C057F7" w:rsidRDefault="00264BD8">
            <w:pPr>
              <w:ind w:firstLineChars="0" w:firstLine="0"/>
              <w:jc w:val="center"/>
              <w:rPr>
                <w:sz w:val="18"/>
                <w:szCs w:val="18"/>
              </w:rPr>
            </w:pPr>
            <w:r>
              <w:rPr>
                <w:sz w:val="18"/>
                <w:szCs w:val="18"/>
              </w:rPr>
              <w:t>（</w:t>
            </w:r>
            <w:r>
              <w:rPr>
                <w:rFonts w:hint="eastAsia"/>
                <w:sz w:val="18"/>
                <w:szCs w:val="18"/>
              </w:rPr>
              <w:t>3.888</w:t>
            </w:r>
            <w:r>
              <w:rPr>
                <w:sz w:val="18"/>
                <w:szCs w:val="18"/>
              </w:rPr>
              <w:t>）</w:t>
            </w:r>
          </w:p>
        </w:tc>
        <w:tc>
          <w:tcPr>
            <w:tcW w:w="1936" w:type="dxa"/>
            <w:vAlign w:val="center"/>
          </w:tcPr>
          <w:p w:rsidR="00C057F7" w:rsidRDefault="00264BD8">
            <w:pPr>
              <w:ind w:firstLineChars="0" w:firstLine="0"/>
              <w:jc w:val="center"/>
              <w:rPr>
                <w:sz w:val="18"/>
                <w:szCs w:val="18"/>
              </w:rPr>
            </w:pPr>
            <w:r>
              <w:rPr>
                <w:sz w:val="18"/>
                <w:szCs w:val="18"/>
              </w:rPr>
              <w:t>（</w:t>
            </w:r>
            <w:r>
              <w:rPr>
                <w:sz w:val="18"/>
                <w:szCs w:val="18"/>
              </w:rPr>
              <w:t>-</w:t>
            </w:r>
            <w:r>
              <w:rPr>
                <w:rFonts w:hint="eastAsia"/>
                <w:sz w:val="18"/>
                <w:szCs w:val="18"/>
              </w:rPr>
              <w:t>2.451</w:t>
            </w:r>
            <w:r>
              <w:rPr>
                <w:sz w:val="18"/>
                <w:szCs w:val="18"/>
              </w:rPr>
              <w:t>）</w:t>
            </w:r>
          </w:p>
        </w:tc>
      </w:tr>
      <w:tr w:rsidR="00C057F7">
        <w:trPr>
          <w:trHeight w:val="397"/>
        </w:trPr>
        <w:tc>
          <w:tcPr>
            <w:tcW w:w="1795" w:type="dxa"/>
            <w:vAlign w:val="center"/>
          </w:tcPr>
          <w:p w:rsidR="00C057F7" w:rsidRDefault="00264BD8">
            <w:pPr>
              <w:ind w:firstLineChars="0" w:firstLine="0"/>
              <w:jc w:val="center"/>
              <w:rPr>
                <w:sz w:val="18"/>
                <w:szCs w:val="18"/>
              </w:rPr>
            </w:pPr>
            <w:r>
              <w:rPr>
                <w:sz w:val="18"/>
                <w:szCs w:val="18"/>
              </w:rPr>
              <w:t>DE</w:t>
            </w:r>
          </w:p>
        </w:tc>
        <w:tc>
          <w:tcPr>
            <w:tcW w:w="1790" w:type="dxa"/>
            <w:vAlign w:val="center"/>
          </w:tcPr>
          <w:p w:rsidR="00C057F7" w:rsidRDefault="00264BD8">
            <w:pPr>
              <w:ind w:firstLineChars="0" w:firstLine="0"/>
              <w:jc w:val="center"/>
              <w:rPr>
                <w:sz w:val="18"/>
                <w:szCs w:val="18"/>
              </w:rPr>
            </w:pPr>
            <w:r>
              <w:rPr>
                <w:sz w:val="18"/>
                <w:szCs w:val="18"/>
              </w:rPr>
              <w:t>0.00</w:t>
            </w:r>
            <w:r>
              <w:rPr>
                <w:rFonts w:hint="eastAsia"/>
                <w:sz w:val="18"/>
                <w:szCs w:val="18"/>
              </w:rPr>
              <w:t>6</w:t>
            </w:r>
            <w:r>
              <w:rPr>
                <w:sz w:val="18"/>
                <w:szCs w:val="18"/>
                <w:vertAlign w:val="superscript"/>
              </w:rPr>
              <w:t>***</w:t>
            </w:r>
          </w:p>
        </w:tc>
        <w:tc>
          <w:tcPr>
            <w:tcW w:w="1879" w:type="dxa"/>
            <w:vAlign w:val="center"/>
          </w:tcPr>
          <w:p w:rsidR="00C057F7" w:rsidRDefault="00264BD8">
            <w:pPr>
              <w:ind w:firstLineChars="0" w:firstLine="0"/>
              <w:jc w:val="center"/>
              <w:rPr>
                <w:sz w:val="18"/>
                <w:szCs w:val="18"/>
              </w:rPr>
            </w:pPr>
            <w:r>
              <w:rPr>
                <w:rFonts w:hint="eastAsia"/>
                <w:sz w:val="18"/>
                <w:szCs w:val="18"/>
              </w:rPr>
              <w:t>-0.011</w:t>
            </w:r>
            <w:r>
              <w:rPr>
                <w:sz w:val="18"/>
                <w:szCs w:val="18"/>
                <w:vertAlign w:val="superscript"/>
              </w:rPr>
              <w:t>**</w:t>
            </w:r>
          </w:p>
        </w:tc>
        <w:tc>
          <w:tcPr>
            <w:tcW w:w="1900" w:type="dxa"/>
            <w:vAlign w:val="center"/>
          </w:tcPr>
          <w:p w:rsidR="00C057F7" w:rsidRDefault="00264BD8">
            <w:pPr>
              <w:ind w:firstLineChars="0" w:firstLine="0"/>
              <w:jc w:val="center"/>
              <w:rPr>
                <w:sz w:val="18"/>
                <w:szCs w:val="18"/>
              </w:rPr>
            </w:pPr>
            <w:r>
              <w:rPr>
                <w:rFonts w:hint="eastAsia"/>
                <w:sz w:val="18"/>
                <w:szCs w:val="18"/>
              </w:rPr>
              <w:t>-</w:t>
            </w:r>
            <w:r>
              <w:rPr>
                <w:sz w:val="18"/>
                <w:szCs w:val="18"/>
              </w:rPr>
              <w:t>0.00</w:t>
            </w:r>
            <w:r>
              <w:rPr>
                <w:rFonts w:hint="eastAsia"/>
                <w:sz w:val="18"/>
                <w:szCs w:val="18"/>
              </w:rPr>
              <w:t>3</w:t>
            </w:r>
            <w:r>
              <w:rPr>
                <w:sz w:val="18"/>
                <w:szCs w:val="18"/>
                <w:vertAlign w:val="superscript"/>
              </w:rPr>
              <w:t>***</w:t>
            </w:r>
          </w:p>
        </w:tc>
        <w:tc>
          <w:tcPr>
            <w:tcW w:w="1936" w:type="dxa"/>
            <w:vAlign w:val="center"/>
          </w:tcPr>
          <w:p w:rsidR="00C057F7" w:rsidRDefault="00264BD8">
            <w:pPr>
              <w:ind w:firstLineChars="0" w:firstLine="0"/>
              <w:jc w:val="center"/>
              <w:rPr>
                <w:sz w:val="18"/>
                <w:szCs w:val="18"/>
              </w:rPr>
            </w:pPr>
            <w:r>
              <w:rPr>
                <w:sz w:val="18"/>
                <w:szCs w:val="18"/>
              </w:rPr>
              <w:t>0.00</w:t>
            </w:r>
            <w:r>
              <w:rPr>
                <w:rFonts w:hint="eastAsia"/>
                <w:sz w:val="18"/>
                <w:szCs w:val="18"/>
              </w:rPr>
              <w:t>6</w:t>
            </w:r>
            <w:r>
              <w:rPr>
                <w:sz w:val="18"/>
                <w:szCs w:val="18"/>
                <w:vertAlign w:val="superscript"/>
              </w:rPr>
              <w:t>***</w:t>
            </w:r>
          </w:p>
        </w:tc>
      </w:tr>
      <w:tr w:rsidR="00C057F7">
        <w:trPr>
          <w:trHeight w:val="397"/>
        </w:trPr>
        <w:tc>
          <w:tcPr>
            <w:tcW w:w="1795" w:type="dxa"/>
            <w:vAlign w:val="center"/>
          </w:tcPr>
          <w:p w:rsidR="00C057F7" w:rsidRDefault="00C057F7">
            <w:pPr>
              <w:ind w:firstLine="360"/>
              <w:rPr>
                <w:sz w:val="18"/>
                <w:szCs w:val="18"/>
              </w:rPr>
            </w:pPr>
          </w:p>
        </w:tc>
        <w:tc>
          <w:tcPr>
            <w:tcW w:w="1790" w:type="dxa"/>
            <w:vAlign w:val="center"/>
          </w:tcPr>
          <w:p w:rsidR="00C057F7" w:rsidRDefault="00264BD8">
            <w:pPr>
              <w:ind w:firstLineChars="0" w:firstLine="0"/>
              <w:jc w:val="center"/>
              <w:rPr>
                <w:sz w:val="18"/>
                <w:szCs w:val="18"/>
              </w:rPr>
            </w:pPr>
            <w:r>
              <w:rPr>
                <w:sz w:val="18"/>
                <w:szCs w:val="18"/>
              </w:rPr>
              <w:t>（</w:t>
            </w:r>
            <w:r>
              <w:rPr>
                <w:sz w:val="18"/>
                <w:szCs w:val="18"/>
              </w:rPr>
              <w:t>3.746</w:t>
            </w:r>
            <w:r>
              <w:rPr>
                <w:sz w:val="18"/>
                <w:szCs w:val="18"/>
              </w:rPr>
              <w:t>）</w:t>
            </w:r>
          </w:p>
        </w:tc>
        <w:tc>
          <w:tcPr>
            <w:tcW w:w="1879" w:type="dxa"/>
            <w:vAlign w:val="center"/>
          </w:tcPr>
          <w:p w:rsidR="00C057F7" w:rsidRDefault="00264BD8">
            <w:pPr>
              <w:ind w:firstLineChars="0" w:firstLine="0"/>
              <w:jc w:val="center"/>
              <w:rPr>
                <w:sz w:val="18"/>
                <w:szCs w:val="18"/>
              </w:rPr>
            </w:pPr>
            <w:r>
              <w:rPr>
                <w:rFonts w:hint="eastAsia"/>
                <w:sz w:val="18"/>
                <w:szCs w:val="18"/>
              </w:rPr>
              <w:t>(-2.398)</w:t>
            </w:r>
          </w:p>
        </w:tc>
        <w:tc>
          <w:tcPr>
            <w:tcW w:w="1900" w:type="dxa"/>
            <w:vAlign w:val="center"/>
          </w:tcPr>
          <w:p w:rsidR="00C057F7" w:rsidRDefault="00264BD8">
            <w:pPr>
              <w:ind w:firstLineChars="0" w:firstLine="0"/>
              <w:jc w:val="center"/>
              <w:rPr>
                <w:sz w:val="18"/>
                <w:szCs w:val="18"/>
              </w:rPr>
            </w:pPr>
            <w:r>
              <w:rPr>
                <w:sz w:val="18"/>
                <w:szCs w:val="18"/>
              </w:rPr>
              <w:t>（</w:t>
            </w:r>
            <w:r>
              <w:rPr>
                <w:rFonts w:hint="eastAsia"/>
                <w:sz w:val="18"/>
                <w:szCs w:val="18"/>
              </w:rPr>
              <w:t>-2.723</w:t>
            </w:r>
            <w:r>
              <w:rPr>
                <w:sz w:val="18"/>
                <w:szCs w:val="18"/>
              </w:rPr>
              <w:t>）</w:t>
            </w:r>
          </w:p>
        </w:tc>
        <w:tc>
          <w:tcPr>
            <w:tcW w:w="1936" w:type="dxa"/>
            <w:vAlign w:val="center"/>
          </w:tcPr>
          <w:p w:rsidR="00C057F7" w:rsidRDefault="00264BD8">
            <w:pPr>
              <w:ind w:firstLineChars="0" w:firstLine="0"/>
              <w:jc w:val="center"/>
              <w:rPr>
                <w:sz w:val="18"/>
                <w:szCs w:val="18"/>
              </w:rPr>
            </w:pPr>
            <w:r>
              <w:rPr>
                <w:sz w:val="18"/>
                <w:szCs w:val="18"/>
              </w:rPr>
              <w:t>（</w:t>
            </w:r>
            <w:r>
              <w:rPr>
                <w:sz w:val="18"/>
                <w:szCs w:val="18"/>
              </w:rPr>
              <w:t>3.202</w:t>
            </w:r>
            <w:r>
              <w:rPr>
                <w:sz w:val="18"/>
                <w:szCs w:val="18"/>
              </w:rPr>
              <w:t>）</w:t>
            </w:r>
          </w:p>
        </w:tc>
      </w:tr>
      <w:tr w:rsidR="00C057F7">
        <w:trPr>
          <w:trHeight w:val="397"/>
        </w:trPr>
        <w:tc>
          <w:tcPr>
            <w:tcW w:w="1795" w:type="dxa"/>
            <w:vAlign w:val="center"/>
          </w:tcPr>
          <w:p w:rsidR="00C057F7" w:rsidRDefault="00264BD8">
            <w:pPr>
              <w:ind w:firstLineChars="0" w:firstLine="0"/>
              <w:jc w:val="center"/>
              <w:rPr>
                <w:sz w:val="18"/>
                <w:szCs w:val="18"/>
              </w:rPr>
            </w:pPr>
            <w:r>
              <w:rPr>
                <w:sz w:val="18"/>
                <w:szCs w:val="18"/>
              </w:rPr>
              <w:t>MNFEE</w:t>
            </w:r>
          </w:p>
        </w:tc>
        <w:tc>
          <w:tcPr>
            <w:tcW w:w="1790" w:type="dxa"/>
            <w:vAlign w:val="center"/>
          </w:tcPr>
          <w:p w:rsidR="00C057F7" w:rsidRDefault="00C057F7">
            <w:pPr>
              <w:ind w:firstLine="360"/>
              <w:jc w:val="center"/>
              <w:rPr>
                <w:sz w:val="18"/>
                <w:szCs w:val="18"/>
              </w:rPr>
            </w:pPr>
          </w:p>
        </w:tc>
        <w:tc>
          <w:tcPr>
            <w:tcW w:w="1879" w:type="dxa"/>
            <w:vAlign w:val="center"/>
          </w:tcPr>
          <w:p w:rsidR="00C057F7" w:rsidRDefault="00C057F7">
            <w:pPr>
              <w:ind w:firstLine="360"/>
              <w:jc w:val="center"/>
              <w:rPr>
                <w:sz w:val="18"/>
                <w:szCs w:val="18"/>
              </w:rPr>
            </w:pPr>
          </w:p>
        </w:tc>
        <w:tc>
          <w:tcPr>
            <w:tcW w:w="1900" w:type="dxa"/>
            <w:vAlign w:val="center"/>
          </w:tcPr>
          <w:p w:rsidR="00C057F7" w:rsidRDefault="00C057F7">
            <w:pPr>
              <w:ind w:firstLine="360"/>
              <w:jc w:val="center"/>
              <w:rPr>
                <w:sz w:val="18"/>
                <w:szCs w:val="18"/>
              </w:rPr>
            </w:pPr>
          </w:p>
        </w:tc>
        <w:tc>
          <w:tcPr>
            <w:tcW w:w="1936" w:type="dxa"/>
            <w:vAlign w:val="center"/>
          </w:tcPr>
          <w:p w:rsidR="00C057F7" w:rsidRDefault="00264BD8">
            <w:pPr>
              <w:ind w:firstLineChars="0" w:firstLine="0"/>
              <w:jc w:val="center"/>
              <w:rPr>
                <w:sz w:val="18"/>
                <w:szCs w:val="18"/>
              </w:rPr>
            </w:pPr>
            <w:r>
              <w:rPr>
                <w:rFonts w:hint="eastAsia"/>
                <w:sz w:val="18"/>
                <w:szCs w:val="18"/>
              </w:rPr>
              <w:t>-0.041</w:t>
            </w:r>
            <w:r>
              <w:rPr>
                <w:sz w:val="18"/>
                <w:szCs w:val="18"/>
                <w:vertAlign w:val="superscript"/>
              </w:rPr>
              <w:t>***</w:t>
            </w:r>
          </w:p>
        </w:tc>
      </w:tr>
      <w:tr w:rsidR="00C057F7">
        <w:trPr>
          <w:trHeight w:val="397"/>
        </w:trPr>
        <w:tc>
          <w:tcPr>
            <w:tcW w:w="1795" w:type="dxa"/>
            <w:vAlign w:val="center"/>
          </w:tcPr>
          <w:p w:rsidR="00C057F7" w:rsidRDefault="00C057F7">
            <w:pPr>
              <w:ind w:firstLine="360"/>
              <w:rPr>
                <w:sz w:val="18"/>
                <w:szCs w:val="18"/>
              </w:rPr>
            </w:pPr>
          </w:p>
        </w:tc>
        <w:tc>
          <w:tcPr>
            <w:tcW w:w="1790" w:type="dxa"/>
            <w:vAlign w:val="center"/>
          </w:tcPr>
          <w:p w:rsidR="00C057F7" w:rsidRDefault="00C057F7">
            <w:pPr>
              <w:ind w:firstLine="360"/>
              <w:jc w:val="center"/>
              <w:rPr>
                <w:sz w:val="18"/>
                <w:szCs w:val="18"/>
              </w:rPr>
            </w:pPr>
          </w:p>
        </w:tc>
        <w:tc>
          <w:tcPr>
            <w:tcW w:w="1879" w:type="dxa"/>
            <w:vAlign w:val="center"/>
          </w:tcPr>
          <w:p w:rsidR="00C057F7" w:rsidRDefault="00C057F7">
            <w:pPr>
              <w:ind w:firstLine="360"/>
              <w:jc w:val="center"/>
              <w:rPr>
                <w:sz w:val="18"/>
                <w:szCs w:val="18"/>
              </w:rPr>
            </w:pPr>
          </w:p>
        </w:tc>
        <w:tc>
          <w:tcPr>
            <w:tcW w:w="1900" w:type="dxa"/>
            <w:vAlign w:val="center"/>
          </w:tcPr>
          <w:p w:rsidR="00C057F7" w:rsidRDefault="00C057F7">
            <w:pPr>
              <w:ind w:firstLine="360"/>
              <w:jc w:val="center"/>
              <w:rPr>
                <w:sz w:val="18"/>
                <w:szCs w:val="18"/>
              </w:rPr>
            </w:pPr>
          </w:p>
        </w:tc>
        <w:tc>
          <w:tcPr>
            <w:tcW w:w="1936" w:type="dxa"/>
            <w:vAlign w:val="center"/>
          </w:tcPr>
          <w:p w:rsidR="00C057F7" w:rsidRDefault="00264BD8">
            <w:pPr>
              <w:ind w:firstLineChars="0" w:firstLine="0"/>
              <w:jc w:val="center"/>
              <w:rPr>
                <w:sz w:val="18"/>
                <w:szCs w:val="18"/>
              </w:rPr>
            </w:pPr>
            <w:r>
              <w:rPr>
                <w:rFonts w:hint="eastAsia"/>
                <w:sz w:val="18"/>
                <w:szCs w:val="18"/>
              </w:rPr>
              <w:t>(-9.232)</w:t>
            </w:r>
          </w:p>
        </w:tc>
      </w:tr>
      <w:tr w:rsidR="00C057F7">
        <w:trPr>
          <w:trHeight w:val="397"/>
        </w:trPr>
        <w:tc>
          <w:tcPr>
            <w:tcW w:w="1795" w:type="dxa"/>
            <w:vAlign w:val="center"/>
          </w:tcPr>
          <w:p w:rsidR="00C057F7" w:rsidRDefault="00264BD8">
            <w:pPr>
              <w:ind w:firstLineChars="0" w:firstLine="0"/>
              <w:jc w:val="center"/>
              <w:rPr>
                <w:sz w:val="18"/>
                <w:szCs w:val="18"/>
              </w:rPr>
            </w:pPr>
            <w:r>
              <w:rPr>
                <w:sz w:val="18"/>
                <w:szCs w:val="18"/>
              </w:rPr>
              <w:t>ACCRT</w:t>
            </w:r>
          </w:p>
        </w:tc>
        <w:tc>
          <w:tcPr>
            <w:tcW w:w="1790" w:type="dxa"/>
            <w:vAlign w:val="center"/>
          </w:tcPr>
          <w:p w:rsidR="00C057F7" w:rsidRDefault="00C057F7">
            <w:pPr>
              <w:ind w:firstLine="360"/>
              <w:jc w:val="center"/>
              <w:rPr>
                <w:sz w:val="18"/>
                <w:szCs w:val="18"/>
              </w:rPr>
            </w:pPr>
          </w:p>
        </w:tc>
        <w:tc>
          <w:tcPr>
            <w:tcW w:w="1879" w:type="dxa"/>
            <w:vAlign w:val="center"/>
          </w:tcPr>
          <w:p w:rsidR="00C057F7" w:rsidRDefault="00C057F7">
            <w:pPr>
              <w:ind w:firstLine="360"/>
              <w:jc w:val="center"/>
              <w:rPr>
                <w:sz w:val="18"/>
                <w:szCs w:val="18"/>
              </w:rPr>
            </w:pPr>
          </w:p>
        </w:tc>
        <w:tc>
          <w:tcPr>
            <w:tcW w:w="1900" w:type="dxa"/>
            <w:vAlign w:val="center"/>
          </w:tcPr>
          <w:p w:rsidR="00C057F7" w:rsidRDefault="00C057F7">
            <w:pPr>
              <w:ind w:firstLine="360"/>
              <w:jc w:val="center"/>
              <w:rPr>
                <w:sz w:val="18"/>
                <w:szCs w:val="18"/>
              </w:rPr>
            </w:pPr>
          </w:p>
        </w:tc>
        <w:tc>
          <w:tcPr>
            <w:tcW w:w="1936" w:type="dxa"/>
            <w:vAlign w:val="center"/>
          </w:tcPr>
          <w:p w:rsidR="00C057F7" w:rsidRDefault="00264BD8">
            <w:pPr>
              <w:ind w:firstLineChars="0" w:firstLine="0"/>
              <w:jc w:val="center"/>
              <w:rPr>
                <w:sz w:val="18"/>
                <w:szCs w:val="18"/>
              </w:rPr>
            </w:pPr>
            <w:r>
              <w:rPr>
                <w:rFonts w:hint="eastAsia"/>
                <w:sz w:val="18"/>
                <w:szCs w:val="18"/>
              </w:rPr>
              <w:t>-0.111</w:t>
            </w:r>
            <w:r>
              <w:rPr>
                <w:sz w:val="18"/>
                <w:szCs w:val="18"/>
                <w:vertAlign w:val="superscript"/>
              </w:rPr>
              <w:t>***</w:t>
            </w:r>
          </w:p>
        </w:tc>
      </w:tr>
      <w:tr w:rsidR="00C057F7">
        <w:trPr>
          <w:trHeight w:val="397"/>
        </w:trPr>
        <w:tc>
          <w:tcPr>
            <w:tcW w:w="1795" w:type="dxa"/>
            <w:vAlign w:val="center"/>
          </w:tcPr>
          <w:p w:rsidR="00C057F7" w:rsidRDefault="00C057F7">
            <w:pPr>
              <w:ind w:firstLine="360"/>
              <w:rPr>
                <w:sz w:val="18"/>
                <w:szCs w:val="18"/>
              </w:rPr>
            </w:pPr>
          </w:p>
        </w:tc>
        <w:tc>
          <w:tcPr>
            <w:tcW w:w="1790" w:type="dxa"/>
            <w:vAlign w:val="center"/>
          </w:tcPr>
          <w:p w:rsidR="00C057F7" w:rsidRDefault="00C057F7">
            <w:pPr>
              <w:ind w:firstLine="360"/>
              <w:jc w:val="center"/>
              <w:rPr>
                <w:sz w:val="18"/>
                <w:szCs w:val="18"/>
              </w:rPr>
            </w:pPr>
          </w:p>
        </w:tc>
        <w:tc>
          <w:tcPr>
            <w:tcW w:w="1879" w:type="dxa"/>
            <w:vAlign w:val="center"/>
          </w:tcPr>
          <w:p w:rsidR="00C057F7" w:rsidRDefault="00C057F7">
            <w:pPr>
              <w:ind w:firstLine="360"/>
              <w:jc w:val="center"/>
              <w:rPr>
                <w:sz w:val="18"/>
                <w:szCs w:val="18"/>
              </w:rPr>
            </w:pPr>
          </w:p>
        </w:tc>
        <w:tc>
          <w:tcPr>
            <w:tcW w:w="1900" w:type="dxa"/>
            <w:vAlign w:val="center"/>
          </w:tcPr>
          <w:p w:rsidR="00C057F7" w:rsidRDefault="00C057F7">
            <w:pPr>
              <w:ind w:firstLine="360"/>
              <w:jc w:val="center"/>
              <w:rPr>
                <w:sz w:val="18"/>
                <w:szCs w:val="18"/>
              </w:rPr>
            </w:pPr>
          </w:p>
        </w:tc>
        <w:tc>
          <w:tcPr>
            <w:tcW w:w="1936" w:type="dxa"/>
            <w:vAlign w:val="center"/>
          </w:tcPr>
          <w:p w:rsidR="00C057F7" w:rsidRDefault="00264BD8">
            <w:pPr>
              <w:ind w:firstLineChars="0" w:firstLine="0"/>
              <w:jc w:val="center"/>
              <w:rPr>
                <w:sz w:val="18"/>
                <w:szCs w:val="18"/>
              </w:rPr>
            </w:pPr>
            <w:r>
              <w:rPr>
                <w:sz w:val="18"/>
                <w:szCs w:val="18"/>
              </w:rPr>
              <w:t>（</w:t>
            </w:r>
            <w:r>
              <w:rPr>
                <w:sz w:val="18"/>
                <w:szCs w:val="18"/>
              </w:rPr>
              <w:t>-</w:t>
            </w:r>
            <w:r>
              <w:rPr>
                <w:rFonts w:hint="eastAsia"/>
                <w:sz w:val="18"/>
                <w:szCs w:val="18"/>
              </w:rPr>
              <w:t>4.998</w:t>
            </w:r>
            <w:r>
              <w:rPr>
                <w:sz w:val="18"/>
                <w:szCs w:val="18"/>
              </w:rPr>
              <w:t>）</w:t>
            </w:r>
          </w:p>
        </w:tc>
      </w:tr>
      <w:tr w:rsidR="00C057F7">
        <w:trPr>
          <w:trHeight w:val="397"/>
        </w:trPr>
        <w:tc>
          <w:tcPr>
            <w:tcW w:w="1795" w:type="dxa"/>
            <w:vAlign w:val="center"/>
          </w:tcPr>
          <w:p w:rsidR="00C057F7" w:rsidRDefault="00264BD8">
            <w:pPr>
              <w:ind w:firstLineChars="0" w:firstLine="0"/>
              <w:jc w:val="center"/>
              <w:rPr>
                <w:sz w:val="18"/>
                <w:szCs w:val="18"/>
              </w:rPr>
            </w:pPr>
            <w:r>
              <w:rPr>
                <w:sz w:val="18"/>
                <w:szCs w:val="18"/>
              </w:rPr>
              <w:t>SIZE</w:t>
            </w:r>
          </w:p>
        </w:tc>
        <w:tc>
          <w:tcPr>
            <w:tcW w:w="1790" w:type="dxa"/>
            <w:vAlign w:val="center"/>
          </w:tcPr>
          <w:p w:rsidR="00C057F7" w:rsidRDefault="00264BD8">
            <w:pPr>
              <w:ind w:firstLineChars="0" w:firstLine="0"/>
              <w:jc w:val="center"/>
              <w:rPr>
                <w:sz w:val="18"/>
                <w:szCs w:val="18"/>
              </w:rPr>
            </w:pPr>
            <w:r>
              <w:rPr>
                <w:sz w:val="18"/>
                <w:szCs w:val="18"/>
              </w:rPr>
              <w:t>0.00</w:t>
            </w:r>
            <w:r>
              <w:rPr>
                <w:rFonts w:hint="eastAsia"/>
                <w:sz w:val="18"/>
                <w:szCs w:val="18"/>
              </w:rPr>
              <w:t>7</w:t>
            </w:r>
            <w:r>
              <w:rPr>
                <w:sz w:val="18"/>
                <w:szCs w:val="18"/>
                <w:vertAlign w:val="superscript"/>
              </w:rPr>
              <w:t>***</w:t>
            </w:r>
          </w:p>
        </w:tc>
        <w:tc>
          <w:tcPr>
            <w:tcW w:w="1879" w:type="dxa"/>
            <w:vAlign w:val="center"/>
          </w:tcPr>
          <w:p w:rsidR="00C057F7" w:rsidRDefault="00264BD8">
            <w:pPr>
              <w:ind w:firstLineChars="0" w:firstLine="0"/>
              <w:jc w:val="center"/>
              <w:rPr>
                <w:sz w:val="18"/>
                <w:szCs w:val="18"/>
              </w:rPr>
            </w:pPr>
            <w:r>
              <w:rPr>
                <w:rFonts w:hint="eastAsia"/>
                <w:sz w:val="18"/>
                <w:szCs w:val="18"/>
              </w:rPr>
              <w:t>-0.028</w:t>
            </w:r>
            <w:r>
              <w:rPr>
                <w:sz w:val="18"/>
                <w:szCs w:val="18"/>
                <w:vertAlign w:val="superscript"/>
              </w:rPr>
              <w:t>***</w:t>
            </w:r>
          </w:p>
        </w:tc>
        <w:tc>
          <w:tcPr>
            <w:tcW w:w="1900" w:type="dxa"/>
            <w:vAlign w:val="center"/>
          </w:tcPr>
          <w:p w:rsidR="00C057F7" w:rsidRDefault="00264BD8">
            <w:pPr>
              <w:ind w:firstLineChars="0" w:firstLine="0"/>
              <w:jc w:val="center"/>
              <w:rPr>
                <w:sz w:val="18"/>
                <w:szCs w:val="18"/>
              </w:rPr>
            </w:pPr>
            <w:r>
              <w:rPr>
                <w:rFonts w:hint="eastAsia"/>
                <w:sz w:val="18"/>
                <w:szCs w:val="18"/>
              </w:rPr>
              <w:t>-</w:t>
            </w:r>
            <w:r>
              <w:rPr>
                <w:sz w:val="18"/>
                <w:szCs w:val="18"/>
              </w:rPr>
              <w:t>0.00</w:t>
            </w:r>
            <w:r>
              <w:rPr>
                <w:rFonts w:hint="eastAsia"/>
                <w:sz w:val="18"/>
                <w:szCs w:val="18"/>
              </w:rPr>
              <w:t>2</w:t>
            </w:r>
            <w:r>
              <w:rPr>
                <w:sz w:val="18"/>
                <w:szCs w:val="18"/>
                <w:vertAlign w:val="superscript"/>
              </w:rPr>
              <w:t>***</w:t>
            </w:r>
          </w:p>
        </w:tc>
        <w:tc>
          <w:tcPr>
            <w:tcW w:w="1936" w:type="dxa"/>
            <w:vAlign w:val="center"/>
          </w:tcPr>
          <w:p w:rsidR="00C057F7" w:rsidRDefault="00264BD8">
            <w:pPr>
              <w:ind w:firstLineChars="0" w:firstLine="0"/>
              <w:jc w:val="center"/>
              <w:rPr>
                <w:sz w:val="18"/>
                <w:szCs w:val="18"/>
              </w:rPr>
            </w:pPr>
            <w:r>
              <w:rPr>
                <w:sz w:val="18"/>
                <w:szCs w:val="18"/>
              </w:rPr>
              <w:t>0.00</w:t>
            </w:r>
            <w:r>
              <w:rPr>
                <w:rFonts w:hint="eastAsia"/>
                <w:sz w:val="18"/>
                <w:szCs w:val="18"/>
              </w:rPr>
              <w:t>5</w:t>
            </w:r>
            <w:r>
              <w:rPr>
                <w:sz w:val="18"/>
                <w:szCs w:val="18"/>
                <w:vertAlign w:val="superscript"/>
              </w:rPr>
              <w:t>***</w:t>
            </w:r>
          </w:p>
        </w:tc>
      </w:tr>
      <w:tr w:rsidR="00C057F7">
        <w:trPr>
          <w:trHeight w:val="397"/>
        </w:trPr>
        <w:tc>
          <w:tcPr>
            <w:tcW w:w="1795" w:type="dxa"/>
            <w:vAlign w:val="center"/>
          </w:tcPr>
          <w:p w:rsidR="00C057F7" w:rsidRDefault="00C057F7">
            <w:pPr>
              <w:ind w:firstLine="360"/>
              <w:rPr>
                <w:sz w:val="18"/>
                <w:szCs w:val="18"/>
              </w:rPr>
            </w:pPr>
          </w:p>
        </w:tc>
        <w:tc>
          <w:tcPr>
            <w:tcW w:w="1790" w:type="dxa"/>
            <w:vAlign w:val="center"/>
          </w:tcPr>
          <w:p w:rsidR="00C057F7" w:rsidRDefault="00264BD8">
            <w:pPr>
              <w:ind w:firstLineChars="0" w:firstLine="0"/>
              <w:jc w:val="center"/>
              <w:rPr>
                <w:sz w:val="18"/>
                <w:szCs w:val="18"/>
              </w:rPr>
            </w:pPr>
            <w:r>
              <w:rPr>
                <w:sz w:val="18"/>
                <w:szCs w:val="18"/>
              </w:rPr>
              <w:t>（</w:t>
            </w:r>
            <w:r>
              <w:rPr>
                <w:sz w:val="18"/>
                <w:szCs w:val="18"/>
              </w:rPr>
              <w:t>9.303</w:t>
            </w:r>
            <w:r>
              <w:rPr>
                <w:sz w:val="18"/>
                <w:szCs w:val="18"/>
              </w:rPr>
              <w:t>）</w:t>
            </w:r>
          </w:p>
        </w:tc>
        <w:tc>
          <w:tcPr>
            <w:tcW w:w="1879" w:type="dxa"/>
            <w:vAlign w:val="center"/>
          </w:tcPr>
          <w:p w:rsidR="00C057F7" w:rsidRDefault="00264BD8">
            <w:pPr>
              <w:ind w:firstLineChars="0" w:firstLine="0"/>
              <w:jc w:val="center"/>
              <w:rPr>
                <w:sz w:val="18"/>
                <w:szCs w:val="18"/>
              </w:rPr>
            </w:pPr>
            <w:r>
              <w:rPr>
                <w:sz w:val="18"/>
                <w:szCs w:val="18"/>
              </w:rPr>
              <w:t>（</w:t>
            </w:r>
            <w:r>
              <w:rPr>
                <w:rFonts w:hint="eastAsia"/>
                <w:sz w:val="18"/>
                <w:szCs w:val="18"/>
              </w:rPr>
              <w:t>-14.239</w:t>
            </w:r>
            <w:r>
              <w:rPr>
                <w:sz w:val="18"/>
                <w:szCs w:val="18"/>
              </w:rPr>
              <w:t>）</w:t>
            </w:r>
          </w:p>
        </w:tc>
        <w:tc>
          <w:tcPr>
            <w:tcW w:w="1900" w:type="dxa"/>
            <w:vAlign w:val="center"/>
          </w:tcPr>
          <w:p w:rsidR="00C057F7" w:rsidRDefault="00264BD8">
            <w:pPr>
              <w:ind w:firstLineChars="0" w:firstLine="0"/>
              <w:jc w:val="center"/>
              <w:rPr>
                <w:sz w:val="18"/>
                <w:szCs w:val="18"/>
              </w:rPr>
            </w:pPr>
            <w:r>
              <w:rPr>
                <w:sz w:val="18"/>
                <w:szCs w:val="18"/>
              </w:rPr>
              <w:t>（</w:t>
            </w:r>
            <w:r>
              <w:rPr>
                <w:rFonts w:hint="eastAsia"/>
                <w:sz w:val="18"/>
                <w:szCs w:val="18"/>
              </w:rPr>
              <w:t>-3.957</w:t>
            </w:r>
            <w:r>
              <w:rPr>
                <w:sz w:val="18"/>
                <w:szCs w:val="18"/>
              </w:rPr>
              <w:t>）</w:t>
            </w:r>
          </w:p>
        </w:tc>
        <w:tc>
          <w:tcPr>
            <w:tcW w:w="1936" w:type="dxa"/>
            <w:vAlign w:val="center"/>
          </w:tcPr>
          <w:p w:rsidR="00C057F7" w:rsidRDefault="00264BD8">
            <w:pPr>
              <w:ind w:firstLineChars="0" w:firstLine="0"/>
              <w:jc w:val="center"/>
              <w:rPr>
                <w:sz w:val="18"/>
                <w:szCs w:val="18"/>
              </w:rPr>
            </w:pPr>
            <w:r>
              <w:rPr>
                <w:sz w:val="18"/>
                <w:szCs w:val="18"/>
              </w:rPr>
              <w:t>（</w:t>
            </w:r>
            <w:r>
              <w:rPr>
                <w:rFonts w:hint="eastAsia"/>
                <w:sz w:val="18"/>
                <w:szCs w:val="18"/>
              </w:rPr>
              <w:t>7.425</w:t>
            </w:r>
            <w:r>
              <w:rPr>
                <w:sz w:val="18"/>
                <w:szCs w:val="18"/>
              </w:rPr>
              <w:t>）</w:t>
            </w:r>
          </w:p>
        </w:tc>
      </w:tr>
      <w:tr w:rsidR="00C057F7">
        <w:trPr>
          <w:trHeight w:val="397"/>
        </w:trPr>
        <w:tc>
          <w:tcPr>
            <w:tcW w:w="1795" w:type="dxa"/>
            <w:vAlign w:val="center"/>
          </w:tcPr>
          <w:p w:rsidR="00C057F7" w:rsidRDefault="00264BD8">
            <w:pPr>
              <w:ind w:firstLineChars="0" w:firstLine="0"/>
              <w:jc w:val="center"/>
              <w:rPr>
                <w:sz w:val="18"/>
                <w:szCs w:val="18"/>
              </w:rPr>
            </w:pPr>
            <w:r>
              <w:rPr>
                <w:sz w:val="18"/>
                <w:szCs w:val="18"/>
              </w:rPr>
              <w:t>LEV</w:t>
            </w:r>
          </w:p>
        </w:tc>
        <w:tc>
          <w:tcPr>
            <w:tcW w:w="1790" w:type="dxa"/>
            <w:vAlign w:val="center"/>
          </w:tcPr>
          <w:p w:rsidR="00C057F7" w:rsidRDefault="00264BD8">
            <w:pPr>
              <w:ind w:firstLineChars="0" w:firstLine="0"/>
              <w:jc w:val="center"/>
              <w:rPr>
                <w:sz w:val="18"/>
                <w:szCs w:val="18"/>
              </w:rPr>
            </w:pPr>
            <w:r>
              <w:rPr>
                <w:sz w:val="18"/>
                <w:szCs w:val="18"/>
              </w:rPr>
              <w:t>-0.</w:t>
            </w:r>
            <w:r>
              <w:rPr>
                <w:rFonts w:hint="eastAsia"/>
                <w:sz w:val="18"/>
                <w:szCs w:val="18"/>
              </w:rPr>
              <w:t>142</w:t>
            </w:r>
            <w:r>
              <w:rPr>
                <w:sz w:val="18"/>
                <w:szCs w:val="18"/>
                <w:vertAlign w:val="superscript"/>
              </w:rPr>
              <w:t>***</w:t>
            </w:r>
          </w:p>
        </w:tc>
        <w:tc>
          <w:tcPr>
            <w:tcW w:w="1879" w:type="dxa"/>
            <w:vAlign w:val="center"/>
          </w:tcPr>
          <w:p w:rsidR="00C057F7" w:rsidRDefault="00264BD8">
            <w:pPr>
              <w:ind w:firstLineChars="0" w:firstLine="0"/>
              <w:jc w:val="center"/>
              <w:rPr>
                <w:sz w:val="18"/>
                <w:szCs w:val="18"/>
              </w:rPr>
            </w:pPr>
            <w:r>
              <w:rPr>
                <w:sz w:val="18"/>
                <w:szCs w:val="18"/>
              </w:rPr>
              <w:t>-0.</w:t>
            </w:r>
            <w:r>
              <w:rPr>
                <w:rFonts w:hint="eastAsia"/>
                <w:sz w:val="18"/>
                <w:szCs w:val="18"/>
              </w:rPr>
              <w:t>007</w:t>
            </w:r>
          </w:p>
        </w:tc>
        <w:tc>
          <w:tcPr>
            <w:tcW w:w="1900" w:type="dxa"/>
            <w:vAlign w:val="center"/>
          </w:tcPr>
          <w:p w:rsidR="00C057F7" w:rsidRDefault="00264BD8">
            <w:pPr>
              <w:ind w:firstLineChars="0" w:firstLine="0"/>
              <w:jc w:val="center"/>
              <w:rPr>
                <w:sz w:val="18"/>
                <w:szCs w:val="18"/>
              </w:rPr>
            </w:pPr>
            <w:r>
              <w:rPr>
                <w:sz w:val="18"/>
                <w:szCs w:val="18"/>
              </w:rPr>
              <w:t>0.</w:t>
            </w:r>
            <w:r>
              <w:rPr>
                <w:rFonts w:hint="eastAsia"/>
                <w:sz w:val="18"/>
                <w:szCs w:val="18"/>
              </w:rPr>
              <w:t>021</w:t>
            </w:r>
            <w:r>
              <w:rPr>
                <w:sz w:val="18"/>
                <w:szCs w:val="18"/>
                <w:vertAlign w:val="superscript"/>
              </w:rPr>
              <w:t>***</w:t>
            </w:r>
          </w:p>
        </w:tc>
        <w:tc>
          <w:tcPr>
            <w:tcW w:w="1936" w:type="dxa"/>
            <w:vAlign w:val="center"/>
          </w:tcPr>
          <w:p w:rsidR="00C057F7" w:rsidRDefault="00264BD8">
            <w:pPr>
              <w:ind w:firstLineChars="0" w:firstLine="0"/>
              <w:jc w:val="center"/>
              <w:rPr>
                <w:sz w:val="18"/>
                <w:szCs w:val="18"/>
              </w:rPr>
            </w:pPr>
            <w:r>
              <w:rPr>
                <w:sz w:val="18"/>
                <w:szCs w:val="18"/>
              </w:rPr>
              <w:t>-0.</w:t>
            </w:r>
            <w:r>
              <w:rPr>
                <w:rFonts w:hint="eastAsia"/>
                <w:sz w:val="18"/>
                <w:szCs w:val="18"/>
              </w:rPr>
              <w:t>140</w:t>
            </w:r>
            <w:r>
              <w:rPr>
                <w:sz w:val="18"/>
                <w:szCs w:val="18"/>
                <w:vertAlign w:val="superscript"/>
              </w:rPr>
              <w:t>***</w:t>
            </w:r>
          </w:p>
        </w:tc>
      </w:tr>
      <w:tr w:rsidR="00C057F7">
        <w:trPr>
          <w:trHeight w:val="397"/>
        </w:trPr>
        <w:tc>
          <w:tcPr>
            <w:tcW w:w="1795" w:type="dxa"/>
            <w:vAlign w:val="center"/>
          </w:tcPr>
          <w:p w:rsidR="00C057F7" w:rsidRDefault="00C057F7">
            <w:pPr>
              <w:ind w:firstLine="360"/>
              <w:rPr>
                <w:sz w:val="18"/>
                <w:szCs w:val="18"/>
              </w:rPr>
            </w:pPr>
          </w:p>
        </w:tc>
        <w:tc>
          <w:tcPr>
            <w:tcW w:w="1790" w:type="dxa"/>
            <w:vAlign w:val="center"/>
          </w:tcPr>
          <w:p w:rsidR="00C057F7" w:rsidRDefault="00264BD8">
            <w:pPr>
              <w:ind w:firstLineChars="0" w:firstLine="0"/>
              <w:jc w:val="center"/>
              <w:rPr>
                <w:sz w:val="18"/>
                <w:szCs w:val="18"/>
              </w:rPr>
            </w:pPr>
            <w:r>
              <w:rPr>
                <w:sz w:val="18"/>
                <w:szCs w:val="18"/>
              </w:rPr>
              <w:t>（</w:t>
            </w:r>
            <w:r>
              <w:rPr>
                <w:sz w:val="18"/>
                <w:szCs w:val="18"/>
              </w:rPr>
              <w:t>-31.138</w:t>
            </w:r>
            <w:r>
              <w:rPr>
                <w:sz w:val="18"/>
                <w:szCs w:val="18"/>
              </w:rPr>
              <w:t>）</w:t>
            </w:r>
          </w:p>
        </w:tc>
        <w:tc>
          <w:tcPr>
            <w:tcW w:w="1879" w:type="dxa"/>
            <w:vAlign w:val="center"/>
          </w:tcPr>
          <w:p w:rsidR="00C057F7" w:rsidRDefault="00264BD8">
            <w:pPr>
              <w:ind w:firstLineChars="0" w:firstLine="0"/>
              <w:jc w:val="center"/>
              <w:rPr>
                <w:sz w:val="18"/>
                <w:szCs w:val="18"/>
              </w:rPr>
            </w:pPr>
            <w:r>
              <w:rPr>
                <w:sz w:val="18"/>
                <w:szCs w:val="18"/>
              </w:rPr>
              <w:t>（</w:t>
            </w:r>
            <w:r>
              <w:rPr>
                <w:sz w:val="18"/>
                <w:szCs w:val="18"/>
              </w:rPr>
              <w:t>-</w:t>
            </w:r>
            <w:r>
              <w:rPr>
                <w:rFonts w:hint="eastAsia"/>
                <w:sz w:val="18"/>
                <w:szCs w:val="18"/>
              </w:rPr>
              <w:t>0.571</w:t>
            </w:r>
            <w:r>
              <w:rPr>
                <w:sz w:val="18"/>
                <w:szCs w:val="18"/>
              </w:rPr>
              <w:t>）</w:t>
            </w:r>
          </w:p>
        </w:tc>
        <w:tc>
          <w:tcPr>
            <w:tcW w:w="1900" w:type="dxa"/>
            <w:vAlign w:val="center"/>
          </w:tcPr>
          <w:p w:rsidR="00C057F7" w:rsidRDefault="00264BD8">
            <w:pPr>
              <w:ind w:firstLineChars="0" w:firstLine="0"/>
              <w:jc w:val="center"/>
              <w:rPr>
                <w:sz w:val="18"/>
                <w:szCs w:val="18"/>
              </w:rPr>
            </w:pPr>
            <w:r>
              <w:rPr>
                <w:sz w:val="18"/>
                <w:szCs w:val="18"/>
              </w:rPr>
              <w:t>（</w:t>
            </w:r>
            <w:r>
              <w:rPr>
                <w:rFonts w:hint="eastAsia"/>
                <w:sz w:val="18"/>
                <w:szCs w:val="18"/>
              </w:rPr>
              <w:t>8.621</w:t>
            </w:r>
            <w:r>
              <w:rPr>
                <w:sz w:val="18"/>
                <w:szCs w:val="18"/>
              </w:rPr>
              <w:t>）</w:t>
            </w:r>
          </w:p>
        </w:tc>
        <w:tc>
          <w:tcPr>
            <w:tcW w:w="1936" w:type="dxa"/>
            <w:vAlign w:val="center"/>
          </w:tcPr>
          <w:p w:rsidR="00C057F7" w:rsidRDefault="00264BD8">
            <w:pPr>
              <w:ind w:firstLineChars="0" w:firstLine="0"/>
              <w:jc w:val="center"/>
              <w:rPr>
                <w:sz w:val="18"/>
                <w:szCs w:val="18"/>
              </w:rPr>
            </w:pPr>
            <w:r>
              <w:rPr>
                <w:sz w:val="18"/>
                <w:szCs w:val="18"/>
              </w:rPr>
              <w:t>（</w:t>
            </w:r>
            <w:r>
              <w:rPr>
                <w:sz w:val="18"/>
                <w:szCs w:val="18"/>
              </w:rPr>
              <w:t>-30.</w:t>
            </w:r>
            <w:r>
              <w:rPr>
                <w:rFonts w:hint="eastAsia"/>
                <w:sz w:val="18"/>
                <w:szCs w:val="18"/>
              </w:rPr>
              <w:t>768</w:t>
            </w:r>
            <w:r>
              <w:rPr>
                <w:sz w:val="18"/>
                <w:szCs w:val="18"/>
              </w:rPr>
              <w:t>）</w:t>
            </w:r>
          </w:p>
        </w:tc>
      </w:tr>
      <w:tr w:rsidR="00C057F7">
        <w:trPr>
          <w:trHeight w:val="397"/>
        </w:trPr>
        <w:tc>
          <w:tcPr>
            <w:tcW w:w="1795" w:type="dxa"/>
            <w:vAlign w:val="center"/>
          </w:tcPr>
          <w:p w:rsidR="00C057F7" w:rsidRDefault="00264BD8">
            <w:pPr>
              <w:ind w:firstLineChars="0" w:firstLine="0"/>
              <w:jc w:val="center"/>
              <w:rPr>
                <w:sz w:val="18"/>
                <w:szCs w:val="18"/>
              </w:rPr>
            </w:pPr>
            <w:r>
              <w:rPr>
                <w:sz w:val="18"/>
                <w:szCs w:val="18"/>
              </w:rPr>
              <w:t>GRTH</w:t>
            </w:r>
          </w:p>
        </w:tc>
        <w:tc>
          <w:tcPr>
            <w:tcW w:w="1790" w:type="dxa"/>
            <w:vAlign w:val="center"/>
          </w:tcPr>
          <w:p w:rsidR="00C057F7" w:rsidRDefault="00264BD8">
            <w:pPr>
              <w:ind w:firstLineChars="0" w:firstLine="0"/>
              <w:jc w:val="center"/>
              <w:rPr>
                <w:sz w:val="18"/>
                <w:szCs w:val="18"/>
              </w:rPr>
            </w:pPr>
            <w:r>
              <w:rPr>
                <w:sz w:val="18"/>
                <w:szCs w:val="18"/>
              </w:rPr>
              <w:t>0.00</w:t>
            </w:r>
            <w:r>
              <w:rPr>
                <w:rFonts w:hint="eastAsia"/>
                <w:sz w:val="18"/>
                <w:szCs w:val="18"/>
              </w:rPr>
              <w:t>1</w:t>
            </w:r>
            <w:r>
              <w:rPr>
                <w:sz w:val="18"/>
                <w:szCs w:val="18"/>
                <w:vertAlign w:val="superscript"/>
              </w:rPr>
              <w:t>***</w:t>
            </w:r>
          </w:p>
        </w:tc>
        <w:tc>
          <w:tcPr>
            <w:tcW w:w="1879" w:type="dxa"/>
            <w:vAlign w:val="center"/>
          </w:tcPr>
          <w:p w:rsidR="00C057F7" w:rsidRDefault="00264BD8">
            <w:pPr>
              <w:ind w:firstLineChars="0" w:firstLine="0"/>
              <w:jc w:val="center"/>
              <w:rPr>
                <w:sz w:val="18"/>
                <w:szCs w:val="18"/>
              </w:rPr>
            </w:pPr>
            <w:r>
              <w:rPr>
                <w:rFonts w:hint="eastAsia"/>
                <w:sz w:val="18"/>
                <w:szCs w:val="18"/>
              </w:rPr>
              <w:t>-</w:t>
            </w:r>
            <w:r>
              <w:rPr>
                <w:sz w:val="18"/>
                <w:szCs w:val="18"/>
              </w:rPr>
              <w:t>0.00</w:t>
            </w:r>
            <w:r>
              <w:rPr>
                <w:rFonts w:hint="eastAsia"/>
                <w:sz w:val="18"/>
                <w:szCs w:val="18"/>
              </w:rPr>
              <w:t>2</w:t>
            </w:r>
            <w:r>
              <w:rPr>
                <w:sz w:val="18"/>
                <w:szCs w:val="18"/>
                <w:vertAlign w:val="superscript"/>
              </w:rPr>
              <w:t>**</w:t>
            </w:r>
          </w:p>
        </w:tc>
        <w:tc>
          <w:tcPr>
            <w:tcW w:w="1900" w:type="dxa"/>
            <w:vAlign w:val="center"/>
          </w:tcPr>
          <w:p w:rsidR="00C057F7" w:rsidRDefault="00264BD8">
            <w:pPr>
              <w:ind w:firstLineChars="0" w:firstLine="0"/>
              <w:jc w:val="center"/>
              <w:rPr>
                <w:sz w:val="18"/>
                <w:szCs w:val="18"/>
              </w:rPr>
            </w:pPr>
            <w:r>
              <w:rPr>
                <w:sz w:val="18"/>
                <w:szCs w:val="18"/>
              </w:rPr>
              <w:t>0.00</w:t>
            </w:r>
            <w:r>
              <w:rPr>
                <w:rFonts w:hint="eastAsia"/>
                <w:sz w:val="18"/>
                <w:szCs w:val="18"/>
              </w:rPr>
              <w:t>0</w:t>
            </w:r>
          </w:p>
        </w:tc>
        <w:tc>
          <w:tcPr>
            <w:tcW w:w="1936" w:type="dxa"/>
            <w:vAlign w:val="center"/>
          </w:tcPr>
          <w:p w:rsidR="00C057F7" w:rsidRDefault="00264BD8">
            <w:pPr>
              <w:ind w:firstLineChars="0" w:firstLine="0"/>
              <w:jc w:val="center"/>
              <w:rPr>
                <w:sz w:val="18"/>
                <w:szCs w:val="18"/>
              </w:rPr>
            </w:pPr>
            <w:r>
              <w:rPr>
                <w:sz w:val="18"/>
                <w:szCs w:val="18"/>
              </w:rPr>
              <w:t>0.00</w:t>
            </w:r>
            <w:r>
              <w:rPr>
                <w:rFonts w:hint="eastAsia"/>
                <w:sz w:val="18"/>
                <w:szCs w:val="18"/>
              </w:rPr>
              <w:t>1</w:t>
            </w:r>
            <w:r>
              <w:rPr>
                <w:sz w:val="18"/>
                <w:szCs w:val="18"/>
                <w:vertAlign w:val="superscript"/>
              </w:rPr>
              <w:t>***</w:t>
            </w:r>
          </w:p>
        </w:tc>
      </w:tr>
      <w:tr w:rsidR="00C057F7">
        <w:trPr>
          <w:trHeight w:val="397"/>
        </w:trPr>
        <w:tc>
          <w:tcPr>
            <w:tcW w:w="1795" w:type="dxa"/>
            <w:vAlign w:val="center"/>
          </w:tcPr>
          <w:p w:rsidR="00C057F7" w:rsidRDefault="00C057F7">
            <w:pPr>
              <w:ind w:firstLine="360"/>
              <w:rPr>
                <w:sz w:val="18"/>
                <w:szCs w:val="18"/>
              </w:rPr>
            </w:pPr>
          </w:p>
        </w:tc>
        <w:tc>
          <w:tcPr>
            <w:tcW w:w="1790" w:type="dxa"/>
            <w:vAlign w:val="center"/>
          </w:tcPr>
          <w:p w:rsidR="00C057F7" w:rsidRDefault="00264BD8">
            <w:pPr>
              <w:ind w:firstLineChars="0" w:firstLine="0"/>
              <w:jc w:val="center"/>
              <w:rPr>
                <w:sz w:val="18"/>
                <w:szCs w:val="18"/>
              </w:rPr>
            </w:pPr>
            <w:r>
              <w:rPr>
                <w:sz w:val="18"/>
                <w:szCs w:val="18"/>
              </w:rPr>
              <w:t>（</w:t>
            </w:r>
            <w:r>
              <w:rPr>
                <w:sz w:val="18"/>
                <w:szCs w:val="18"/>
              </w:rPr>
              <w:t>3.008</w:t>
            </w:r>
            <w:r>
              <w:rPr>
                <w:sz w:val="18"/>
                <w:szCs w:val="18"/>
              </w:rPr>
              <w:t>）</w:t>
            </w:r>
          </w:p>
        </w:tc>
        <w:tc>
          <w:tcPr>
            <w:tcW w:w="1879" w:type="dxa"/>
            <w:vAlign w:val="center"/>
          </w:tcPr>
          <w:p w:rsidR="00C057F7" w:rsidRDefault="00264BD8">
            <w:pPr>
              <w:ind w:firstLineChars="0" w:firstLine="0"/>
              <w:jc w:val="center"/>
              <w:rPr>
                <w:sz w:val="18"/>
                <w:szCs w:val="18"/>
              </w:rPr>
            </w:pPr>
            <w:r>
              <w:rPr>
                <w:sz w:val="18"/>
                <w:szCs w:val="18"/>
              </w:rPr>
              <w:t>（</w:t>
            </w:r>
            <w:r>
              <w:rPr>
                <w:rFonts w:hint="eastAsia"/>
                <w:sz w:val="18"/>
                <w:szCs w:val="18"/>
              </w:rPr>
              <w:t>-2.314</w:t>
            </w:r>
            <w:r>
              <w:rPr>
                <w:sz w:val="18"/>
                <w:szCs w:val="18"/>
              </w:rPr>
              <w:t>）</w:t>
            </w:r>
          </w:p>
        </w:tc>
        <w:tc>
          <w:tcPr>
            <w:tcW w:w="1900" w:type="dxa"/>
            <w:vAlign w:val="center"/>
          </w:tcPr>
          <w:p w:rsidR="00C057F7" w:rsidRDefault="00264BD8">
            <w:pPr>
              <w:ind w:firstLineChars="0" w:firstLine="0"/>
              <w:jc w:val="center"/>
              <w:rPr>
                <w:sz w:val="18"/>
                <w:szCs w:val="18"/>
              </w:rPr>
            </w:pPr>
            <w:r>
              <w:rPr>
                <w:sz w:val="18"/>
                <w:szCs w:val="18"/>
              </w:rPr>
              <w:t>（</w:t>
            </w:r>
            <w:r>
              <w:rPr>
                <w:rFonts w:hint="eastAsia"/>
                <w:sz w:val="18"/>
                <w:szCs w:val="18"/>
              </w:rPr>
              <w:t>1.311</w:t>
            </w:r>
            <w:r>
              <w:rPr>
                <w:sz w:val="18"/>
                <w:szCs w:val="18"/>
              </w:rPr>
              <w:t>）</w:t>
            </w:r>
          </w:p>
        </w:tc>
        <w:tc>
          <w:tcPr>
            <w:tcW w:w="1936" w:type="dxa"/>
            <w:vAlign w:val="center"/>
          </w:tcPr>
          <w:p w:rsidR="00C057F7" w:rsidRDefault="00264BD8">
            <w:pPr>
              <w:ind w:firstLineChars="0" w:firstLine="0"/>
              <w:jc w:val="center"/>
              <w:rPr>
                <w:sz w:val="18"/>
                <w:szCs w:val="18"/>
              </w:rPr>
            </w:pPr>
            <w:r>
              <w:rPr>
                <w:sz w:val="18"/>
                <w:szCs w:val="18"/>
              </w:rPr>
              <w:t>（</w:t>
            </w:r>
            <w:r>
              <w:rPr>
                <w:rFonts w:hint="eastAsia"/>
                <w:sz w:val="18"/>
                <w:szCs w:val="18"/>
              </w:rPr>
              <w:t>2.852</w:t>
            </w:r>
            <w:r>
              <w:rPr>
                <w:sz w:val="18"/>
                <w:szCs w:val="18"/>
              </w:rPr>
              <w:t>）</w:t>
            </w:r>
          </w:p>
        </w:tc>
      </w:tr>
      <w:tr w:rsidR="00C057F7">
        <w:trPr>
          <w:trHeight w:val="397"/>
        </w:trPr>
        <w:tc>
          <w:tcPr>
            <w:tcW w:w="1795" w:type="dxa"/>
            <w:vAlign w:val="center"/>
          </w:tcPr>
          <w:p w:rsidR="00C057F7" w:rsidRDefault="00264BD8">
            <w:pPr>
              <w:ind w:firstLineChars="0" w:firstLine="0"/>
              <w:jc w:val="center"/>
              <w:rPr>
                <w:sz w:val="18"/>
                <w:szCs w:val="18"/>
              </w:rPr>
            </w:pPr>
            <w:r>
              <w:rPr>
                <w:sz w:val="18"/>
                <w:szCs w:val="18"/>
              </w:rPr>
              <w:t>FIRST</w:t>
            </w:r>
          </w:p>
        </w:tc>
        <w:tc>
          <w:tcPr>
            <w:tcW w:w="1790" w:type="dxa"/>
            <w:vAlign w:val="center"/>
          </w:tcPr>
          <w:p w:rsidR="00C057F7" w:rsidRDefault="00264BD8">
            <w:pPr>
              <w:ind w:firstLineChars="0" w:firstLine="0"/>
              <w:jc w:val="center"/>
              <w:rPr>
                <w:sz w:val="18"/>
                <w:szCs w:val="18"/>
              </w:rPr>
            </w:pPr>
            <w:r>
              <w:rPr>
                <w:sz w:val="18"/>
                <w:szCs w:val="18"/>
              </w:rPr>
              <w:t>0.0</w:t>
            </w:r>
            <w:r>
              <w:rPr>
                <w:rFonts w:hint="eastAsia"/>
                <w:sz w:val="18"/>
                <w:szCs w:val="18"/>
              </w:rPr>
              <w:t>49</w:t>
            </w:r>
            <w:r>
              <w:rPr>
                <w:sz w:val="18"/>
                <w:szCs w:val="18"/>
                <w:vertAlign w:val="superscript"/>
              </w:rPr>
              <w:t>***</w:t>
            </w:r>
          </w:p>
        </w:tc>
        <w:tc>
          <w:tcPr>
            <w:tcW w:w="1879" w:type="dxa"/>
            <w:vAlign w:val="center"/>
          </w:tcPr>
          <w:p w:rsidR="00C057F7" w:rsidRDefault="00264BD8">
            <w:pPr>
              <w:ind w:firstLineChars="0" w:firstLine="0"/>
              <w:jc w:val="center"/>
              <w:rPr>
                <w:sz w:val="18"/>
                <w:szCs w:val="18"/>
              </w:rPr>
            </w:pPr>
            <w:r>
              <w:rPr>
                <w:rFonts w:hint="eastAsia"/>
                <w:sz w:val="18"/>
                <w:szCs w:val="18"/>
              </w:rPr>
              <w:t>-</w:t>
            </w:r>
            <w:r>
              <w:rPr>
                <w:sz w:val="18"/>
                <w:szCs w:val="18"/>
              </w:rPr>
              <w:t>0.0</w:t>
            </w:r>
            <w:r>
              <w:rPr>
                <w:rFonts w:hint="eastAsia"/>
                <w:sz w:val="18"/>
                <w:szCs w:val="18"/>
              </w:rPr>
              <w:t>83</w:t>
            </w:r>
            <w:r>
              <w:rPr>
                <w:sz w:val="18"/>
                <w:szCs w:val="18"/>
                <w:vertAlign w:val="superscript"/>
              </w:rPr>
              <w:t>***</w:t>
            </w:r>
          </w:p>
        </w:tc>
        <w:tc>
          <w:tcPr>
            <w:tcW w:w="1900" w:type="dxa"/>
            <w:vAlign w:val="center"/>
          </w:tcPr>
          <w:p w:rsidR="00C057F7" w:rsidRDefault="00264BD8">
            <w:pPr>
              <w:ind w:firstLineChars="0" w:firstLine="0"/>
              <w:jc w:val="center"/>
              <w:rPr>
                <w:sz w:val="18"/>
                <w:szCs w:val="18"/>
              </w:rPr>
            </w:pPr>
            <w:r>
              <w:rPr>
                <w:rFonts w:hint="eastAsia"/>
                <w:sz w:val="18"/>
                <w:szCs w:val="18"/>
              </w:rPr>
              <w:t>-</w:t>
            </w:r>
            <w:r>
              <w:rPr>
                <w:sz w:val="18"/>
                <w:szCs w:val="18"/>
              </w:rPr>
              <w:t>0.0</w:t>
            </w:r>
            <w:r>
              <w:rPr>
                <w:rFonts w:hint="eastAsia"/>
                <w:sz w:val="18"/>
                <w:szCs w:val="18"/>
              </w:rPr>
              <w:t>08</w:t>
            </w:r>
            <w:r>
              <w:rPr>
                <w:sz w:val="18"/>
                <w:szCs w:val="18"/>
                <w:vertAlign w:val="superscript"/>
              </w:rPr>
              <w:t>***</w:t>
            </w:r>
          </w:p>
        </w:tc>
        <w:tc>
          <w:tcPr>
            <w:tcW w:w="1936" w:type="dxa"/>
            <w:vAlign w:val="center"/>
          </w:tcPr>
          <w:p w:rsidR="00C057F7" w:rsidRDefault="00264BD8">
            <w:pPr>
              <w:ind w:firstLineChars="0" w:firstLine="0"/>
              <w:jc w:val="center"/>
              <w:rPr>
                <w:sz w:val="18"/>
                <w:szCs w:val="18"/>
              </w:rPr>
            </w:pPr>
            <w:r>
              <w:rPr>
                <w:sz w:val="18"/>
                <w:szCs w:val="18"/>
              </w:rPr>
              <w:t>0.0</w:t>
            </w:r>
            <w:r>
              <w:rPr>
                <w:rFonts w:hint="eastAsia"/>
                <w:sz w:val="18"/>
                <w:szCs w:val="18"/>
              </w:rPr>
              <w:t>45</w:t>
            </w:r>
            <w:r>
              <w:rPr>
                <w:sz w:val="18"/>
                <w:szCs w:val="18"/>
                <w:vertAlign w:val="superscript"/>
              </w:rPr>
              <w:t>***</w:t>
            </w:r>
          </w:p>
        </w:tc>
      </w:tr>
      <w:tr w:rsidR="00C057F7">
        <w:trPr>
          <w:trHeight w:val="397"/>
        </w:trPr>
        <w:tc>
          <w:tcPr>
            <w:tcW w:w="1795" w:type="dxa"/>
            <w:vAlign w:val="center"/>
          </w:tcPr>
          <w:p w:rsidR="00C057F7" w:rsidRDefault="00C057F7">
            <w:pPr>
              <w:ind w:firstLine="360"/>
              <w:rPr>
                <w:sz w:val="18"/>
                <w:szCs w:val="18"/>
              </w:rPr>
            </w:pPr>
          </w:p>
        </w:tc>
        <w:tc>
          <w:tcPr>
            <w:tcW w:w="1790" w:type="dxa"/>
            <w:vAlign w:val="center"/>
          </w:tcPr>
          <w:p w:rsidR="00C057F7" w:rsidRDefault="00264BD8">
            <w:pPr>
              <w:ind w:firstLineChars="0" w:firstLine="0"/>
              <w:jc w:val="center"/>
              <w:rPr>
                <w:sz w:val="18"/>
                <w:szCs w:val="18"/>
              </w:rPr>
            </w:pPr>
            <w:r>
              <w:rPr>
                <w:sz w:val="18"/>
                <w:szCs w:val="18"/>
              </w:rPr>
              <w:t>（</w:t>
            </w:r>
            <w:r>
              <w:rPr>
                <w:sz w:val="18"/>
                <w:szCs w:val="18"/>
              </w:rPr>
              <w:t>9.192</w:t>
            </w:r>
            <w:r>
              <w:rPr>
                <w:sz w:val="18"/>
                <w:szCs w:val="18"/>
              </w:rPr>
              <w:t>）</w:t>
            </w:r>
          </w:p>
        </w:tc>
        <w:tc>
          <w:tcPr>
            <w:tcW w:w="1879" w:type="dxa"/>
            <w:vAlign w:val="center"/>
          </w:tcPr>
          <w:p w:rsidR="00C057F7" w:rsidRDefault="00264BD8">
            <w:pPr>
              <w:ind w:firstLineChars="0" w:firstLine="0"/>
              <w:jc w:val="center"/>
              <w:rPr>
                <w:sz w:val="18"/>
                <w:szCs w:val="18"/>
              </w:rPr>
            </w:pPr>
            <w:r>
              <w:rPr>
                <w:sz w:val="18"/>
                <w:szCs w:val="18"/>
              </w:rPr>
              <w:t>（</w:t>
            </w:r>
            <w:r>
              <w:rPr>
                <w:sz w:val="18"/>
                <w:szCs w:val="18"/>
              </w:rPr>
              <w:t>-5.6</w:t>
            </w:r>
            <w:r>
              <w:rPr>
                <w:rFonts w:hint="eastAsia"/>
                <w:sz w:val="18"/>
                <w:szCs w:val="18"/>
              </w:rPr>
              <w:t>94</w:t>
            </w:r>
            <w:r>
              <w:rPr>
                <w:sz w:val="18"/>
                <w:szCs w:val="18"/>
              </w:rPr>
              <w:t>）</w:t>
            </w:r>
          </w:p>
        </w:tc>
        <w:tc>
          <w:tcPr>
            <w:tcW w:w="1900" w:type="dxa"/>
            <w:vAlign w:val="center"/>
          </w:tcPr>
          <w:p w:rsidR="00C057F7" w:rsidRDefault="00264BD8">
            <w:pPr>
              <w:ind w:firstLine="360"/>
              <w:jc w:val="center"/>
              <w:rPr>
                <w:sz w:val="18"/>
                <w:szCs w:val="18"/>
              </w:rPr>
            </w:pPr>
            <w:r>
              <w:rPr>
                <w:sz w:val="18"/>
                <w:szCs w:val="18"/>
              </w:rPr>
              <w:t>（</w:t>
            </w:r>
            <w:r>
              <w:rPr>
                <w:rFonts w:hint="eastAsia"/>
                <w:sz w:val="18"/>
                <w:szCs w:val="18"/>
              </w:rPr>
              <w:t>-2.599</w:t>
            </w:r>
            <w:r>
              <w:rPr>
                <w:sz w:val="18"/>
                <w:szCs w:val="18"/>
              </w:rPr>
              <w:t>）</w:t>
            </w:r>
          </w:p>
        </w:tc>
        <w:tc>
          <w:tcPr>
            <w:tcW w:w="1936" w:type="dxa"/>
            <w:vAlign w:val="center"/>
          </w:tcPr>
          <w:p w:rsidR="00C057F7" w:rsidRDefault="00264BD8">
            <w:pPr>
              <w:ind w:firstLineChars="0" w:firstLine="0"/>
              <w:jc w:val="center"/>
              <w:rPr>
                <w:sz w:val="18"/>
                <w:szCs w:val="18"/>
              </w:rPr>
            </w:pPr>
            <w:r>
              <w:rPr>
                <w:sz w:val="18"/>
                <w:szCs w:val="18"/>
              </w:rPr>
              <w:t>（</w:t>
            </w:r>
            <w:r>
              <w:rPr>
                <w:sz w:val="18"/>
                <w:szCs w:val="18"/>
              </w:rPr>
              <w:t>8.</w:t>
            </w:r>
            <w:r>
              <w:rPr>
                <w:rFonts w:hint="eastAsia"/>
                <w:sz w:val="18"/>
                <w:szCs w:val="18"/>
              </w:rPr>
              <w:t>448</w:t>
            </w:r>
            <w:r>
              <w:rPr>
                <w:sz w:val="18"/>
                <w:szCs w:val="18"/>
              </w:rPr>
              <w:t>）</w:t>
            </w:r>
          </w:p>
        </w:tc>
      </w:tr>
      <w:tr w:rsidR="00C057F7">
        <w:trPr>
          <w:trHeight w:val="397"/>
        </w:trPr>
        <w:tc>
          <w:tcPr>
            <w:tcW w:w="1795" w:type="dxa"/>
            <w:vAlign w:val="center"/>
          </w:tcPr>
          <w:p w:rsidR="00C057F7" w:rsidRDefault="00264BD8">
            <w:pPr>
              <w:ind w:firstLineChars="0" w:firstLine="0"/>
              <w:jc w:val="center"/>
              <w:rPr>
                <w:sz w:val="18"/>
                <w:szCs w:val="18"/>
              </w:rPr>
            </w:pPr>
            <w:r>
              <w:rPr>
                <w:sz w:val="18"/>
                <w:szCs w:val="18"/>
              </w:rPr>
              <w:t>Year</w:t>
            </w:r>
          </w:p>
        </w:tc>
        <w:tc>
          <w:tcPr>
            <w:tcW w:w="1790" w:type="dxa"/>
            <w:vAlign w:val="center"/>
          </w:tcPr>
          <w:p w:rsidR="00C057F7" w:rsidRDefault="00264BD8">
            <w:pPr>
              <w:ind w:firstLineChars="0" w:firstLine="0"/>
              <w:jc w:val="center"/>
              <w:rPr>
                <w:sz w:val="18"/>
                <w:szCs w:val="18"/>
              </w:rPr>
            </w:pPr>
            <w:r>
              <w:rPr>
                <w:sz w:val="18"/>
                <w:szCs w:val="18"/>
              </w:rPr>
              <w:t>YES</w:t>
            </w:r>
          </w:p>
        </w:tc>
        <w:tc>
          <w:tcPr>
            <w:tcW w:w="1879" w:type="dxa"/>
            <w:vAlign w:val="center"/>
          </w:tcPr>
          <w:p w:rsidR="00C057F7" w:rsidRDefault="00264BD8">
            <w:pPr>
              <w:ind w:firstLineChars="0" w:firstLine="0"/>
              <w:jc w:val="center"/>
              <w:rPr>
                <w:sz w:val="18"/>
                <w:szCs w:val="18"/>
              </w:rPr>
            </w:pPr>
            <w:r>
              <w:rPr>
                <w:sz w:val="18"/>
                <w:szCs w:val="18"/>
              </w:rPr>
              <w:t>YES</w:t>
            </w:r>
          </w:p>
        </w:tc>
        <w:tc>
          <w:tcPr>
            <w:tcW w:w="1900" w:type="dxa"/>
            <w:vAlign w:val="center"/>
          </w:tcPr>
          <w:p w:rsidR="00C057F7" w:rsidRDefault="00264BD8">
            <w:pPr>
              <w:ind w:firstLineChars="0" w:firstLine="0"/>
              <w:jc w:val="center"/>
              <w:rPr>
                <w:sz w:val="18"/>
                <w:szCs w:val="18"/>
              </w:rPr>
            </w:pPr>
            <w:r>
              <w:rPr>
                <w:sz w:val="18"/>
                <w:szCs w:val="18"/>
              </w:rPr>
              <w:t>YES</w:t>
            </w:r>
          </w:p>
        </w:tc>
        <w:tc>
          <w:tcPr>
            <w:tcW w:w="1936" w:type="dxa"/>
            <w:vAlign w:val="center"/>
          </w:tcPr>
          <w:p w:rsidR="00C057F7" w:rsidRDefault="00264BD8">
            <w:pPr>
              <w:ind w:firstLineChars="0" w:firstLine="0"/>
              <w:jc w:val="center"/>
              <w:rPr>
                <w:sz w:val="18"/>
                <w:szCs w:val="18"/>
              </w:rPr>
            </w:pPr>
            <w:r>
              <w:rPr>
                <w:sz w:val="18"/>
                <w:szCs w:val="18"/>
              </w:rPr>
              <w:t>YES</w:t>
            </w:r>
          </w:p>
        </w:tc>
      </w:tr>
      <w:tr w:rsidR="00C057F7">
        <w:trPr>
          <w:trHeight w:val="397"/>
        </w:trPr>
        <w:tc>
          <w:tcPr>
            <w:tcW w:w="1795" w:type="dxa"/>
            <w:vAlign w:val="center"/>
          </w:tcPr>
          <w:p w:rsidR="00C057F7" w:rsidRDefault="00264BD8">
            <w:pPr>
              <w:ind w:firstLineChars="0" w:firstLine="0"/>
              <w:jc w:val="center"/>
              <w:rPr>
                <w:sz w:val="18"/>
                <w:szCs w:val="18"/>
              </w:rPr>
            </w:pPr>
            <w:r>
              <w:rPr>
                <w:sz w:val="18"/>
                <w:szCs w:val="18"/>
              </w:rPr>
              <w:t>Industry</w:t>
            </w:r>
          </w:p>
        </w:tc>
        <w:tc>
          <w:tcPr>
            <w:tcW w:w="1790" w:type="dxa"/>
            <w:vAlign w:val="center"/>
          </w:tcPr>
          <w:p w:rsidR="00C057F7" w:rsidRDefault="00264BD8">
            <w:pPr>
              <w:ind w:firstLineChars="0" w:firstLine="0"/>
              <w:jc w:val="center"/>
              <w:rPr>
                <w:sz w:val="18"/>
                <w:szCs w:val="18"/>
              </w:rPr>
            </w:pPr>
            <w:r>
              <w:rPr>
                <w:sz w:val="18"/>
                <w:szCs w:val="18"/>
              </w:rPr>
              <w:t>YES</w:t>
            </w:r>
          </w:p>
        </w:tc>
        <w:tc>
          <w:tcPr>
            <w:tcW w:w="1879" w:type="dxa"/>
            <w:vAlign w:val="center"/>
          </w:tcPr>
          <w:p w:rsidR="00C057F7" w:rsidRDefault="00264BD8">
            <w:pPr>
              <w:ind w:firstLineChars="0" w:firstLine="0"/>
              <w:jc w:val="center"/>
              <w:rPr>
                <w:sz w:val="18"/>
                <w:szCs w:val="18"/>
              </w:rPr>
            </w:pPr>
            <w:r>
              <w:rPr>
                <w:sz w:val="18"/>
                <w:szCs w:val="18"/>
              </w:rPr>
              <w:t>YES</w:t>
            </w:r>
          </w:p>
        </w:tc>
        <w:tc>
          <w:tcPr>
            <w:tcW w:w="1900" w:type="dxa"/>
            <w:vAlign w:val="center"/>
          </w:tcPr>
          <w:p w:rsidR="00C057F7" w:rsidRDefault="00264BD8">
            <w:pPr>
              <w:ind w:firstLineChars="0" w:firstLine="0"/>
              <w:jc w:val="center"/>
              <w:rPr>
                <w:sz w:val="18"/>
                <w:szCs w:val="18"/>
              </w:rPr>
            </w:pPr>
            <w:r>
              <w:rPr>
                <w:sz w:val="18"/>
                <w:szCs w:val="18"/>
              </w:rPr>
              <w:t>YES</w:t>
            </w:r>
          </w:p>
        </w:tc>
        <w:tc>
          <w:tcPr>
            <w:tcW w:w="1936" w:type="dxa"/>
            <w:vAlign w:val="center"/>
          </w:tcPr>
          <w:p w:rsidR="00C057F7" w:rsidRDefault="00264BD8">
            <w:pPr>
              <w:ind w:firstLineChars="0" w:firstLine="0"/>
              <w:jc w:val="center"/>
              <w:rPr>
                <w:sz w:val="18"/>
                <w:szCs w:val="18"/>
              </w:rPr>
            </w:pPr>
            <w:r>
              <w:rPr>
                <w:sz w:val="18"/>
                <w:szCs w:val="18"/>
              </w:rPr>
              <w:t>YES</w:t>
            </w:r>
          </w:p>
        </w:tc>
      </w:tr>
      <w:tr w:rsidR="00C057F7">
        <w:trPr>
          <w:trHeight w:val="397"/>
        </w:trPr>
        <w:tc>
          <w:tcPr>
            <w:tcW w:w="1795" w:type="dxa"/>
            <w:vAlign w:val="center"/>
          </w:tcPr>
          <w:p w:rsidR="00C057F7" w:rsidRDefault="00264BD8">
            <w:pPr>
              <w:ind w:firstLineChars="0" w:firstLine="0"/>
              <w:jc w:val="center"/>
              <w:rPr>
                <w:sz w:val="18"/>
                <w:szCs w:val="18"/>
              </w:rPr>
            </w:pPr>
            <w:r>
              <w:rPr>
                <w:sz w:val="18"/>
                <w:szCs w:val="18"/>
              </w:rPr>
              <w:t>F</w:t>
            </w:r>
          </w:p>
        </w:tc>
        <w:tc>
          <w:tcPr>
            <w:tcW w:w="1790" w:type="dxa"/>
            <w:vAlign w:val="center"/>
          </w:tcPr>
          <w:p w:rsidR="00C057F7" w:rsidRDefault="00264BD8">
            <w:pPr>
              <w:ind w:firstLineChars="0" w:firstLine="0"/>
              <w:jc w:val="center"/>
              <w:rPr>
                <w:sz w:val="18"/>
                <w:szCs w:val="18"/>
              </w:rPr>
            </w:pPr>
            <w:r>
              <w:rPr>
                <w:sz w:val="18"/>
                <w:szCs w:val="18"/>
              </w:rPr>
              <w:t>60.512</w:t>
            </w:r>
          </w:p>
        </w:tc>
        <w:tc>
          <w:tcPr>
            <w:tcW w:w="1879" w:type="dxa"/>
            <w:vAlign w:val="center"/>
          </w:tcPr>
          <w:p w:rsidR="00C057F7" w:rsidRDefault="00264BD8">
            <w:pPr>
              <w:ind w:firstLineChars="0" w:firstLine="0"/>
              <w:jc w:val="center"/>
              <w:rPr>
                <w:sz w:val="18"/>
                <w:szCs w:val="18"/>
              </w:rPr>
            </w:pPr>
            <w:r>
              <w:rPr>
                <w:sz w:val="18"/>
                <w:szCs w:val="18"/>
              </w:rPr>
              <w:t>63.028</w:t>
            </w:r>
          </w:p>
        </w:tc>
        <w:tc>
          <w:tcPr>
            <w:tcW w:w="1900" w:type="dxa"/>
            <w:vAlign w:val="center"/>
          </w:tcPr>
          <w:p w:rsidR="00C057F7" w:rsidRDefault="00264BD8">
            <w:pPr>
              <w:ind w:firstLineChars="0" w:firstLine="0"/>
              <w:jc w:val="center"/>
              <w:rPr>
                <w:sz w:val="18"/>
                <w:szCs w:val="18"/>
              </w:rPr>
            </w:pPr>
            <w:r>
              <w:rPr>
                <w:sz w:val="18"/>
                <w:szCs w:val="18"/>
              </w:rPr>
              <w:t>60.190</w:t>
            </w:r>
          </w:p>
        </w:tc>
        <w:tc>
          <w:tcPr>
            <w:tcW w:w="1936" w:type="dxa"/>
            <w:vAlign w:val="center"/>
          </w:tcPr>
          <w:p w:rsidR="00C057F7" w:rsidRDefault="00264BD8">
            <w:pPr>
              <w:ind w:firstLineChars="0" w:firstLine="0"/>
              <w:jc w:val="center"/>
              <w:rPr>
                <w:sz w:val="18"/>
                <w:szCs w:val="18"/>
              </w:rPr>
            </w:pPr>
            <w:r>
              <w:rPr>
                <w:sz w:val="18"/>
                <w:szCs w:val="18"/>
              </w:rPr>
              <w:t>57.824</w:t>
            </w:r>
          </w:p>
        </w:tc>
      </w:tr>
      <w:tr w:rsidR="00C057F7">
        <w:trPr>
          <w:trHeight w:val="397"/>
        </w:trPr>
        <w:tc>
          <w:tcPr>
            <w:tcW w:w="1795" w:type="dxa"/>
            <w:vAlign w:val="center"/>
          </w:tcPr>
          <w:p w:rsidR="00C057F7" w:rsidRDefault="00264BD8">
            <w:pPr>
              <w:ind w:firstLineChars="0" w:firstLine="0"/>
              <w:jc w:val="center"/>
              <w:rPr>
                <w:sz w:val="18"/>
                <w:szCs w:val="18"/>
              </w:rPr>
            </w:pPr>
            <w:r>
              <w:rPr>
                <w:sz w:val="18"/>
                <w:szCs w:val="18"/>
              </w:rPr>
              <w:t>样本数</w:t>
            </w:r>
          </w:p>
        </w:tc>
        <w:tc>
          <w:tcPr>
            <w:tcW w:w="1790" w:type="dxa"/>
            <w:vAlign w:val="center"/>
          </w:tcPr>
          <w:p w:rsidR="00C057F7" w:rsidRDefault="00264BD8">
            <w:pPr>
              <w:ind w:firstLineChars="0" w:firstLine="0"/>
              <w:jc w:val="center"/>
              <w:rPr>
                <w:sz w:val="18"/>
                <w:szCs w:val="18"/>
              </w:rPr>
            </w:pPr>
            <w:r>
              <w:rPr>
                <w:sz w:val="18"/>
                <w:szCs w:val="18"/>
              </w:rPr>
              <w:t>6808</w:t>
            </w:r>
          </w:p>
        </w:tc>
        <w:tc>
          <w:tcPr>
            <w:tcW w:w="1879" w:type="dxa"/>
            <w:vAlign w:val="center"/>
          </w:tcPr>
          <w:p w:rsidR="00C057F7" w:rsidRDefault="00264BD8">
            <w:pPr>
              <w:ind w:firstLineChars="0" w:firstLine="0"/>
              <w:jc w:val="center"/>
              <w:rPr>
                <w:sz w:val="18"/>
                <w:szCs w:val="18"/>
              </w:rPr>
            </w:pPr>
            <w:r>
              <w:rPr>
                <w:sz w:val="18"/>
                <w:szCs w:val="18"/>
              </w:rPr>
              <w:t>6808</w:t>
            </w:r>
          </w:p>
        </w:tc>
        <w:tc>
          <w:tcPr>
            <w:tcW w:w="1900" w:type="dxa"/>
            <w:vAlign w:val="center"/>
          </w:tcPr>
          <w:p w:rsidR="00C057F7" w:rsidRDefault="00264BD8">
            <w:pPr>
              <w:ind w:firstLineChars="0" w:firstLine="0"/>
              <w:jc w:val="center"/>
              <w:rPr>
                <w:sz w:val="18"/>
                <w:szCs w:val="18"/>
              </w:rPr>
            </w:pPr>
            <w:r>
              <w:rPr>
                <w:sz w:val="18"/>
                <w:szCs w:val="18"/>
              </w:rPr>
              <w:t>6808</w:t>
            </w:r>
          </w:p>
        </w:tc>
        <w:tc>
          <w:tcPr>
            <w:tcW w:w="1936" w:type="dxa"/>
            <w:vAlign w:val="center"/>
          </w:tcPr>
          <w:p w:rsidR="00C057F7" w:rsidRDefault="00264BD8">
            <w:pPr>
              <w:ind w:firstLineChars="0" w:firstLine="0"/>
              <w:jc w:val="center"/>
              <w:rPr>
                <w:sz w:val="18"/>
                <w:szCs w:val="18"/>
              </w:rPr>
            </w:pPr>
            <w:r>
              <w:rPr>
                <w:sz w:val="18"/>
                <w:szCs w:val="18"/>
              </w:rPr>
              <w:t>6808</w:t>
            </w:r>
          </w:p>
        </w:tc>
      </w:tr>
      <w:tr w:rsidR="00C057F7">
        <w:trPr>
          <w:trHeight w:val="397"/>
        </w:trPr>
        <w:tc>
          <w:tcPr>
            <w:tcW w:w="1795" w:type="dxa"/>
            <w:vAlign w:val="center"/>
          </w:tcPr>
          <w:p w:rsidR="00C057F7" w:rsidRDefault="00264BD8">
            <w:pPr>
              <w:ind w:firstLineChars="0" w:firstLine="0"/>
              <w:jc w:val="center"/>
              <w:rPr>
                <w:sz w:val="18"/>
                <w:szCs w:val="18"/>
                <w:vertAlign w:val="superscript"/>
              </w:rPr>
            </w:pPr>
            <w:r>
              <w:rPr>
                <w:sz w:val="18"/>
                <w:szCs w:val="18"/>
              </w:rPr>
              <w:t>R</w:t>
            </w:r>
            <w:r>
              <w:rPr>
                <w:sz w:val="18"/>
                <w:szCs w:val="18"/>
                <w:vertAlign w:val="superscript"/>
              </w:rPr>
              <w:t>2</w:t>
            </w:r>
          </w:p>
        </w:tc>
        <w:tc>
          <w:tcPr>
            <w:tcW w:w="1790" w:type="dxa"/>
            <w:vAlign w:val="center"/>
          </w:tcPr>
          <w:p w:rsidR="00C057F7" w:rsidRDefault="00264BD8">
            <w:pPr>
              <w:ind w:firstLineChars="0" w:firstLine="0"/>
              <w:jc w:val="center"/>
              <w:rPr>
                <w:sz w:val="18"/>
                <w:szCs w:val="18"/>
              </w:rPr>
            </w:pPr>
            <w:r>
              <w:rPr>
                <w:sz w:val="18"/>
                <w:szCs w:val="18"/>
              </w:rPr>
              <w:t>0.188</w:t>
            </w:r>
          </w:p>
        </w:tc>
        <w:tc>
          <w:tcPr>
            <w:tcW w:w="1879" w:type="dxa"/>
            <w:vAlign w:val="center"/>
          </w:tcPr>
          <w:p w:rsidR="00C057F7" w:rsidRDefault="00264BD8">
            <w:pPr>
              <w:ind w:firstLineChars="0" w:firstLine="0"/>
              <w:jc w:val="center"/>
              <w:rPr>
                <w:sz w:val="18"/>
                <w:szCs w:val="18"/>
              </w:rPr>
            </w:pPr>
            <w:r>
              <w:rPr>
                <w:sz w:val="18"/>
                <w:szCs w:val="18"/>
              </w:rPr>
              <w:t>0.</w:t>
            </w:r>
            <w:r>
              <w:rPr>
                <w:rFonts w:hint="eastAsia"/>
                <w:sz w:val="18"/>
                <w:szCs w:val="18"/>
              </w:rPr>
              <w:t>081</w:t>
            </w:r>
          </w:p>
        </w:tc>
        <w:tc>
          <w:tcPr>
            <w:tcW w:w="1900" w:type="dxa"/>
            <w:vAlign w:val="center"/>
          </w:tcPr>
          <w:p w:rsidR="00C057F7" w:rsidRDefault="00264BD8">
            <w:pPr>
              <w:ind w:firstLineChars="0" w:firstLine="0"/>
              <w:jc w:val="center"/>
              <w:rPr>
                <w:sz w:val="18"/>
                <w:szCs w:val="18"/>
              </w:rPr>
            </w:pPr>
            <w:r>
              <w:rPr>
                <w:sz w:val="18"/>
                <w:szCs w:val="18"/>
              </w:rPr>
              <w:t>0.</w:t>
            </w:r>
            <w:r>
              <w:rPr>
                <w:rFonts w:hint="eastAsia"/>
                <w:sz w:val="18"/>
                <w:szCs w:val="18"/>
              </w:rPr>
              <w:t>060</w:t>
            </w:r>
          </w:p>
        </w:tc>
        <w:tc>
          <w:tcPr>
            <w:tcW w:w="1936" w:type="dxa"/>
            <w:vAlign w:val="center"/>
          </w:tcPr>
          <w:p w:rsidR="00C057F7" w:rsidRDefault="00264BD8">
            <w:pPr>
              <w:ind w:firstLineChars="0" w:firstLine="0"/>
              <w:jc w:val="center"/>
              <w:rPr>
                <w:sz w:val="18"/>
                <w:szCs w:val="18"/>
              </w:rPr>
            </w:pPr>
            <w:r>
              <w:rPr>
                <w:sz w:val="18"/>
                <w:szCs w:val="18"/>
              </w:rPr>
              <w:t>0.193</w:t>
            </w:r>
          </w:p>
        </w:tc>
      </w:tr>
      <w:tr w:rsidR="00C057F7">
        <w:trPr>
          <w:trHeight w:val="397"/>
        </w:trPr>
        <w:tc>
          <w:tcPr>
            <w:tcW w:w="1795" w:type="dxa"/>
            <w:vAlign w:val="center"/>
          </w:tcPr>
          <w:p w:rsidR="00C057F7" w:rsidRDefault="00264BD8">
            <w:pPr>
              <w:ind w:firstLineChars="0" w:firstLine="0"/>
              <w:jc w:val="center"/>
              <w:rPr>
                <w:sz w:val="18"/>
                <w:szCs w:val="18"/>
                <w:vertAlign w:val="superscript"/>
              </w:rPr>
            </w:pPr>
            <w:r>
              <w:rPr>
                <w:sz w:val="18"/>
                <w:szCs w:val="18"/>
              </w:rPr>
              <w:t>Adj_R</w:t>
            </w:r>
            <w:r>
              <w:rPr>
                <w:sz w:val="18"/>
                <w:szCs w:val="18"/>
                <w:vertAlign w:val="superscript"/>
              </w:rPr>
              <w:t>2</w:t>
            </w:r>
          </w:p>
        </w:tc>
        <w:tc>
          <w:tcPr>
            <w:tcW w:w="1790" w:type="dxa"/>
            <w:vAlign w:val="center"/>
          </w:tcPr>
          <w:p w:rsidR="00C057F7" w:rsidRDefault="00264BD8">
            <w:pPr>
              <w:ind w:firstLineChars="0" w:firstLine="0"/>
              <w:jc w:val="center"/>
              <w:rPr>
                <w:sz w:val="18"/>
                <w:szCs w:val="18"/>
              </w:rPr>
            </w:pPr>
            <w:r>
              <w:rPr>
                <w:sz w:val="18"/>
                <w:szCs w:val="18"/>
              </w:rPr>
              <w:t>0.185</w:t>
            </w:r>
          </w:p>
        </w:tc>
        <w:tc>
          <w:tcPr>
            <w:tcW w:w="1879" w:type="dxa"/>
            <w:vAlign w:val="center"/>
          </w:tcPr>
          <w:p w:rsidR="00C057F7" w:rsidRDefault="00264BD8">
            <w:pPr>
              <w:ind w:firstLineChars="0" w:firstLine="0"/>
              <w:jc w:val="center"/>
              <w:rPr>
                <w:sz w:val="18"/>
                <w:szCs w:val="18"/>
              </w:rPr>
            </w:pPr>
            <w:r>
              <w:rPr>
                <w:sz w:val="18"/>
                <w:szCs w:val="18"/>
              </w:rPr>
              <w:t>0.</w:t>
            </w:r>
            <w:r>
              <w:rPr>
                <w:rFonts w:hint="eastAsia"/>
                <w:sz w:val="18"/>
                <w:szCs w:val="18"/>
              </w:rPr>
              <w:t>077</w:t>
            </w:r>
          </w:p>
        </w:tc>
        <w:tc>
          <w:tcPr>
            <w:tcW w:w="1900" w:type="dxa"/>
            <w:vAlign w:val="center"/>
          </w:tcPr>
          <w:p w:rsidR="00C057F7" w:rsidRDefault="00264BD8">
            <w:pPr>
              <w:ind w:firstLineChars="0" w:firstLine="0"/>
              <w:jc w:val="center"/>
              <w:rPr>
                <w:sz w:val="18"/>
                <w:szCs w:val="18"/>
              </w:rPr>
            </w:pPr>
            <w:r>
              <w:rPr>
                <w:sz w:val="18"/>
                <w:szCs w:val="18"/>
              </w:rPr>
              <w:t>0.</w:t>
            </w:r>
            <w:r>
              <w:rPr>
                <w:rFonts w:hint="eastAsia"/>
                <w:sz w:val="18"/>
                <w:szCs w:val="18"/>
              </w:rPr>
              <w:t>056</w:t>
            </w:r>
          </w:p>
        </w:tc>
        <w:tc>
          <w:tcPr>
            <w:tcW w:w="1936" w:type="dxa"/>
            <w:vAlign w:val="center"/>
          </w:tcPr>
          <w:p w:rsidR="00C057F7" w:rsidRDefault="00264BD8">
            <w:pPr>
              <w:ind w:firstLineChars="0" w:firstLine="0"/>
              <w:jc w:val="center"/>
              <w:rPr>
                <w:sz w:val="18"/>
                <w:szCs w:val="18"/>
              </w:rPr>
            </w:pPr>
            <w:r>
              <w:rPr>
                <w:sz w:val="18"/>
                <w:szCs w:val="18"/>
              </w:rPr>
              <w:t>0.199</w:t>
            </w:r>
          </w:p>
        </w:tc>
      </w:tr>
    </w:tbl>
    <w:p w:rsidR="00C057F7" w:rsidRDefault="00264BD8">
      <w:pPr>
        <w:spacing w:line="400" w:lineRule="exact"/>
        <w:ind w:firstLineChars="0" w:firstLine="0"/>
        <w:rPr>
          <w:szCs w:val="21"/>
        </w:rPr>
      </w:pPr>
      <w:bookmarkStart w:id="39" w:name="OLE_LINK15"/>
      <w:bookmarkStart w:id="40" w:name="OLE_LINK14"/>
      <w:r>
        <w:rPr>
          <w:sz w:val="18"/>
          <w:szCs w:val="18"/>
        </w:rPr>
        <w:t>注：</w:t>
      </w:r>
      <w:r>
        <w:rPr>
          <w:rFonts w:hint="eastAsia"/>
          <w:sz w:val="18"/>
          <w:szCs w:val="18"/>
        </w:rPr>
        <w:t>（</w:t>
      </w:r>
      <w:r>
        <w:rPr>
          <w:rFonts w:hint="eastAsia"/>
          <w:sz w:val="18"/>
          <w:szCs w:val="18"/>
        </w:rPr>
        <w:t>1</w:t>
      </w:r>
      <w:r>
        <w:rPr>
          <w:rFonts w:hint="eastAsia"/>
          <w:sz w:val="18"/>
          <w:szCs w:val="18"/>
        </w:rPr>
        <w:t>）</w:t>
      </w:r>
      <w:r>
        <w:rPr>
          <w:sz w:val="18"/>
          <w:szCs w:val="18"/>
        </w:rPr>
        <w:t>***</w:t>
      </w:r>
      <w:r>
        <w:rPr>
          <w:rFonts w:hint="eastAsia"/>
          <w:sz w:val="18"/>
          <w:szCs w:val="18"/>
        </w:rPr>
        <w:t>、</w:t>
      </w:r>
      <w:r>
        <w:rPr>
          <w:sz w:val="18"/>
          <w:szCs w:val="18"/>
        </w:rPr>
        <w:t>**</w:t>
      </w:r>
      <w:r>
        <w:rPr>
          <w:rFonts w:hint="eastAsia"/>
          <w:sz w:val="18"/>
          <w:szCs w:val="18"/>
        </w:rPr>
        <w:t>、</w:t>
      </w:r>
      <w:r>
        <w:rPr>
          <w:sz w:val="18"/>
          <w:szCs w:val="18"/>
        </w:rPr>
        <w:t>*</w:t>
      </w:r>
      <w:r>
        <w:rPr>
          <w:rFonts w:hint="eastAsia"/>
          <w:sz w:val="18"/>
          <w:szCs w:val="18"/>
        </w:rPr>
        <w:t>分别表示</w:t>
      </w:r>
      <w:r>
        <w:rPr>
          <w:rFonts w:hint="eastAsia"/>
          <w:sz w:val="18"/>
          <w:szCs w:val="18"/>
        </w:rPr>
        <w:t>1%</w:t>
      </w:r>
      <w:r>
        <w:rPr>
          <w:rFonts w:hint="eastAsia"/>
          <w:sz w:val="18"/>
          <w:szCs w:val="18"/>
        </w:rPr>
        <w:t>、</w:t>
      </w:r>
      <w:r>
        <w:rPr>
          <w:rFonts w:hint="eastAsia"/>
          <w:sz w:val="18"/>
          <w:szCs w:val="18"/>
        </w:rPr>
        <w:t>5%</w:t>
      </w:r>
      <w:r>
        <w:rPr>
          <w:rFonts w:hint="eastAsia"/>
          <w:sz w:val="18"/>
          <w:szCs w:val="18"/>
        </w:rPr>
        <w:t>、</w:t>
      </w:r>
      <w:r>
        <w:rPr>
          <w:rFonts w:hint="eastAsia"/>
          <w:sz w:val="18"/>
          <w:szCs w:val="18"/>
        </w:rPr>
        <w:t>10%</w:t>
      </w:r>
      <w:r>
        <w:rPr>
          <w:rFonts w:hint="eastAsia"/>
          <w:sz w:val="18"/>
          <w:szCs w:val="18"/>
        </w:rPr>
        <w:t>的显著性水平；</w:t>
      </w:r>
      <w:bookmarkEnd w:id="39"/>
      <w:bookmarkEnd w:id="40"/>
      <w:r>
        <w:rPr>
          <w:rFonts w:hint="eastAsia"/>
          <w:sz w:val="18"/>
          <w:szCs w:val="18"/>
        </w:rPr>
        <w:t>（</w:t>
      </w:r>
      <w:r>
        <w:rPr>
          <w:rFonts w:hint="eastAsia"/>
          <w:sz w:val="18"/>
          <w:szCs w:val="18"/>
        </w:rPr>
        <w:t>2</w:t>
      </w:r>
      <w:r>
        <w:rPr>
          <w:rFonts w:hint="eastAsia"/>
          <w:sz w:val="18"/>
          <w:szCs w:val="18"/>
        </w:rPr>
        <w:t>）样本数为</w:t>
      </w:r>
      <w:r>
        <w:rPr>
          <w:rFonts w:hint="eastAsia"/>
          <w:sz w:val="18"/>
          <w:szCs w:val="18"/>
        </w:rPr>
        <w:t>6808</w:t>
      </w:r>
      <w:r>
        <w:rPr>
          <w:rFonts w:hint="eastAsia"/>
          <w:sz w:val="18"/>
          <w:szCs w:val="18"/>
        </w:rPr>
        <w:t>；（</w:t>
      </w:r>
      <w:r>
        <w:rPr>
          <w:rFonts w:hint="eastAsia"/>
          <w:sz w:val="18"/>
          <w:szCs w:val="18"/>
        </w:rPr>
        <w:t>3</w:t>
      </w:r>
      <w:r>
        <w:rPr>
          <w:rFonts w:hint="eastAsia"/>
          <w:sz w:val="18"/>
          <w:szCs w:val="18"/>
        </w:rPr>
        <w:t>）括号内为</w:t>
      </w:r>
      <w:r>
        <w:rPr>
          <w:rFonts w:hint="eastAsia"/>
          <w:sz w:val="18"/>
          <w:szCs w:val="18"/>
        </w:rPr>
        <w:t>t</w:t>
      </w:r>
      <w:r>
        <w:rPr>
          <w:rFonts w:hint="eastAsia"/>
          <w:sz w:val="18"/>
          <w:szCs w:val="18"/>
        </w:rPr>
        <w:t>值。</w:t>
      </w:r>
    </w:p>
    <w:p w:rsidR="00C057F7" w:rsidRDefault="00264BD8" w:rsidP="000A5B3C">
      <w:pPr>
        <w:pStyle w:val="1"/>
        <w:spacing w:beforeLines="50" w:afterLines="50"/>
      </w:pPr>
      <w:bookmarkStart w:id="41" w:name="_Toc15489"/>
      <w:bookmarkStart w:id="42" w:name="_Toc385787649"/>
      <w:bookmarkStart w:id="43" w:name="_Toc8383286"/>
      <w:r>
        <w:rPr>
          <w:rFonts w:hint="eastAsia"/>
        </w:rPr>
        <w:t>6</w:t>
      </w:r>
      <w:r>
        <w:rPr>
          <w:rFonts w:hint="eastAsia"/>
        </w:rPr>
        <w:t>结论</w:t>
      </w:r>
      <w:bookmarkEnd w:id="41"/>
      <w:bookmarkEnd w:id="42"/>
      <w:bookmarkEnd w:id="43"/>
    </w:p>
    <w:p w:rsidR="00C057F7" w:rsidRDefault="00264BD8">
      <w:pPr>
        <w:ind w:firstLine="420"/>
        <w:rPr>
          <w:color w:val="FF0000"/>
        </w:rPr>
      </w:pPr>
      <w:r>
        <w:t>本文以</w:t>
      </w:r>
      <w:r>
        <w:t>201</w:t>
      </w:r>
      <w:r>
        <w:rPr>
          <w:rFonts w:hint="eastAsia"/>
        </w:rPr>
        <w:t>5</w:t>
      </w:r>
      <w:r>
        <w:t>-201</w:t>
      </w:r>
      <w:r>
        <w:rPr>
          <w:rFonts w:hint="eastAsia"/>
        </w:rPr>
        <w:t>7</w:t>
      </w:r>
      <w:r>
        <w:t>年的沪深两地上市公司为主要研究样本。</w:t>
      </w:r>
      <w:r>
        <w:rPr>
          <w:rFonts w:hint="eastAsia"/>
        </w:rPr>
        <w:t>探究了现金股利政策、代理成本和公司绩效三者之间的关系。得到了以下结果：首先，大体上来看中国上市公司现金股利支付水</w:t>
      </w:r>
      <w:r>
        <w:rPr>
          <w:rFonts w:hint="eastAsia"/>
        </w:rPr>
        <w:lastRenderedPageBreak/>
        <w:t>平与公司绩效显著正相关。其次，公司的现金股利支付水平对第一类代理成本和第二类代理成本，均产生负面影响。最后，两类代理成本在现金股利影响上市公司绩效的过程中发挥显著的中介作用，支付现金股利能够显著降低代理成本从而提高公司绩效。</w:t>
      </w:r>
    </w:p>
    <w:p w:rsidR="00C057F7" w:rsidRDefault="00264BD8">
      <w:pPr>
        <w:ind w:firstLine="420"/>
      </w:pPr>
      <w:r>
        <w:rPr>
          <w:rFonts w:hint="eastAsia"/>
        </w:rPr>
        <w:t>根据本文的研究，提出以下建议：（</w:t>
      </w:r>
      <w:r>
        <w:rPr>
          <w:rFonts w:hint="eastAsia"/>
        </w:rPr>
        <w:t>1</w:t>
      </w:r>
      <w:r>
        <w:rPr>
          <w:rFonts w:hint="eastAsia"/>
        </w:rPr>
        <w:t>）、完善公司的现金股利政策，制定适宜公司的分配政策。现金股利政策的公司治理的功能，能降低代理成本，从而提高公司绩效，而适度的分红有助于发挥这</w:t>
      </w:r>
      <w:r>
        <w:rPr>
          <w:rFonts w:hint="eastAsia"/>
        </w:rPr>
        <w:t>一功能。（</w:t>
      </w:r>
      <w:r>
        <w:rPr>
          <w:rFonts w:hint="eastAsia"/>
        </w:rPr>
        <w:t>2</w:t>
      </w:r>
      <w:r>
        <w:rPr>
          <w:rFonts w:hint="eastAsia"/>
        </w:rPr>
        <w:t>）、完善公司内部治理机制，避免上市公司的管理层和股东等内部人员表面上是为公司绩效做贡献，实际上则为了自己的利益异常派现来侵占和掠夺公司资源的行为。公司异常派现的做法不仅不能发挥公司内部治理机制的功能，反而对提高公司绩效有害。（</w:t>
      </w:r>
      <w:r>
        <w:rPr>
          <w:rFonts w:hint="eastAsia"/>
        </w:rPr>
        <w:t>3</w:t>
      </w:r>
      <w:r>
        <w:rPr>
          <w:rFonts w:hint="eastAsia"/>
        </w:rPr>
        <w:t>）、对于各性质不同的上市公司，监管层在对其股利政策监管的过程中不能单一地对他们实施统一的分红标准，应充分考虑后采用多样性的监管措施。本文研究得出的结论，有利于解决中国一些上市在提升公司绩效的过程中发生的代理成本问题，对提高公司绩效具有现实指导意义。同时也有利于促进市场健康</w:t>
      </w:r>
      <w:r>
        <w:rPr>
          <w:rFonts w:hint="eastAsia"/>
        </w:rPr>
        <w:t>、稳定地发展。</w:t>
      </w:r>
    </w:p>
    <w:p w:rsidR="00C057F7" w:rsidRDefault="00264BD8">
      <w:pPr>
        <w:ind w:firstLine="420"/>
      </w:pPr>
      <w:r>
        <w:rPr>
          <w:rFonts w:hint="eastAsia"/>
        </w:rPr>
        <w:t>本文的研究还存在一定的不足与局限性。首先，代理成本本身是很难完全量化的指标，虽然本文选取的数据已经具有一定的代表性，但是还不能说完美地代表了所有公司的代理成本，因此若要得到更准确的结果，需要我们用更全面且精确的度量尺度纳入研究模型。其次，衡量企业绩效时只考虑了财务指标，忽略了非财务指标的影响，因此还有待进一步深入研究。同时，现金股利政策的稳定性和连续性同样会对研究结果产生重要影响，现金股利政策的指标也缺乏多样性。这些也将成为未来继续深入探讨的研究方向。</w:t>
      </w:r>
    </w:p>
    <w:p w:rsidR="00C057F7" w:rsidRDefault="00264BD8">
      <w:pPr>
        <w:ind w:firstLineChars="0" w:firstLine="0"/>
        <w:rPr>
          <w:b/>
          <w:sz w:val="30"/>
          <w:szCs w:val="30"/>
        </w:rPr>
      </w:pPr>
      <w:r>
        <w:rPr>
          <w:rFonts w:hint="eastAsia"/>
          <w:b/>
          <w:sz w:val="30"/>
          <w:szCs w:val="30"/>
        </w:rPr>
        <w:t>参考文献</w:t>
      </w:r>
    </w:p>
    <w:p w:rsidR="00C057F7" w:rsidRDefault="00264BD8">
      <w:pPr>
        <w:tabs>
          <w:tab w:val="left" w:pos="312"/>
        </w:tabs>
        <w:spacing w:line="400" w:lineRule="atLeast"/>
        <w:ind w:firstLineChars="0" w:firstLine="0"/>
      </w:pPr>
      <w:r>
        <w:rPr>
          <w:rFonts w:hint="eastAsia"/>
        </w:rPr>
        <w:t>[1]Michae</w:t>
      </w:r>
      <w:r>
        <w:rPr>
          <w:rFonts w:hint="eastAsia"/>
        </w:rPr>
        <w:t>l Rozeff</w:t>
      </w:r>
      <w:r>
        <w:rPr>
          <w:rFonts w:hint="eastAsia"/>
        </w:rPr>
        <w:t>，</w:t>
      </w:r>
      <w:r>
        <w:rPr>
          <w:rFonts w:hint="eastAsia"/>
        </w:rPr>
        <w:t xml:space="preserve"> how "Companies Set Their Dividend Payout" Ratios "Chase Financial quarterly, winter 1982</w:t>
      </w:r>
      <w:r>
        <w:rPr>
          <w:rFonts w:hint="eastAsia"/>
        </w:rPr>
        <w:t>；</w:t>
      </w:r>
      <w:r>
        <w:rPr>
          <w:rFonts w:hint="eastAsia"/>
        </w:rPr>
        <w:t>Micchael Rozeff Growth[J].Beta</w:t>
      </w:r>
      <w:r>
        <w:rPr>
          <w:rFonts w:hint="eastAsia"/>
        </w:rPr>
        <w:t>，</w:t>
      </w:r>
      <w:r>
        <w:rPr>
          <w:rFonts w:hint="eastAsia"/>
        </w:rPr>
        <w:t>and Agency Cost as Determinants of Dividend Payout "Journal of Financial Research</w:t>
      </w:r>
      <w:r>
        <w:rPr>
          <w:rFonts w:hint="eastAsia"/>
        </w:rPr>
        <w:t>，</w:t>
      </w:r>
      <w:r>
        <w:rPr>
          <w:rFonts w:hint="eastAsia"/>
        </w:rPr>
        <w:t>fall 1982</w:t>
      </w:r>
      <w:r>
        <w:rPr>
          <w:rFonts w:hint="eastAsia"/>
        </w:rPr>
        <w:t>，</w:t>
      </w:r>
      <w:r>
        <w:rPr>
          <w:rFonts w:hint="eastAsia"/>
        </w:rPr>
        <w:t>pp</w:t>
      </w:r>
      <w:r>
        <w:rPr>
          <w:rFonts w:hint="eastAsia"/>
        </w:rPr>
        <w:t>．</w:t>
      </w:r>
      <w:r>
        <w:rPr>
          <w:rFonts w:hint="eastAsia"/>
        </w:rPr>
        <w:t>249-259</w:t>
      </w:r>
      <w:r>
        <w:rPr>
          <w:rFonts w:hint="eastAsia"/>
        </w:rPr>
        <w:t>．</w:t>
      </w:r>
    </w:p>
    <w:p w:rsidR="00C057F7" w:rsidRDefault="00264BD8">
      <w:pPr>
        <w:tabs>
          <w:tab w:val="left" w:pos="312"/>
        </w:tabs>
        <w:spacing w:line="400" w:lineRule="atLeast"/>
        <w:ind w:firstLineChars="0" w:firstLine="0"/>
      </w:pPr>
      <w:r>
        <w:rPr>
          <w:rFonts w:hint="eastAsia"/>
        </w:rPr>
        <w:t>[</w:t>
      </w:r>
      <w:r w:rsidR="000A5B3C">
        <w:rPr>
          <w:rFonts w:hint="eastAsia"/>
        </w:rPr>
        <w:t>2</w:t>
      </w:r>
      <w:r>
        <w:rPr>
          <w:rFonts w:hint="eastAsia"/>
        </w:rPr>
        <w:t>]Balachandran B</w:t>
      </w:r>
      <w:r>
        <w:rPr>
          <w:rFonts w:hint="eastAsia"/>
        </w:rPr>
        <w:t>，</w:t>
      </w:r>
      <w:r>
        <w:rPr>
          <w:rFonts w:hint="eastAsia"/>
        </w:rPr>
        <w:t>Vineeta J</w:t>
      </w:r>
      <w:r>
        <w:rPr>
          <w:rFonts w:hint="eastAsia"/>
        </w:rPr>
        <w:t>，</w:t>
      </w:r>
      <w:r>
        <w:rPr>
          <w:rFonts w:hint="eastAsia"/>
        </w:rPr>
        <w:t>Manali M</w:t>
      </w:r>
      <w:r>
        <w:rPr>
          <w:rFonts w:hint="eastAsia"/>
        </w:rPr>
        <w:t>．</w:t>
      </w:r>
      <w:r>
        <w:rPr>
          <w:rFonts w:hint="eastAsia"/>
        </w:rPr>
        <w:t>Final Dividend Reductions and Signaling</w:t>
      </w:r>
      <w:r>
        <w:rPr>
          <w:rFonts w:hint="eastAsia"/>
        </w:rPr>
        <w:t>：</w:t>
      </w:r>
      <w:r>
        <w:rPr>
          <w:rFonts w:hint="eastAsia"/>
        </w:rPr>
        <w:t>UK Evid ence[J]</w:t>
      </w:r>
      <w:r>
        <w:rPr>
          <w:rFonts w:hint="eastAsia"/>
        </w:rPr>
        <w:t>．</w:t>
      </w:r>
      <w:r>
        <w:rPr>
          <w:rFonts w:hint="eastAsia"/>
        </w:rPr>
        <w:t>Journal of Applied Finance. 2014(17)</w:t>
      </w:r>
      <w:r>
        <w:rPr>
          <w:rFonts w:hint="eastAsia"/>
        </w:rPr>
        <w:t>：</w:t>
      </w:r>
      <w:r>
        <w:rPr>
          <w:rFonts w:hint="eastAsia"/>
        </w:rPr>
        <w:t>26-37</w:t>
      </w:r>
      <w:r>
        <w:rPr>
          <w:rFonts w:hint="eastAsia"/>
        </w:rPr>
        <w:t>．</w:t>
      </w:r>
    </w:p>
    <w:p w:rsidR="00C057F7" w:rsidRDefault="00264BD8">
      <w:pPr>
        <w:tabs>
          <w:tab w:val="left" w:pos="312"/>
        </w:tabs>
        <w:spacing w:line="400" w:lineRule="atLeast"/>
        <w:ind w:firstLineChars="0" w:firstLine="0"/>
      </w:pPr>
      <w:r>
        <w:rPr>
          <w:rFonts w:hint="eastAsia"/>
        </w:rPr>
        <w:t>[</w:t>
      </w:r>
      <w:r w:rsidR="000A5B3C">
        <w:rPr>
          <w:rFonts w:hint="eastAsia"/>
        </w:rPr>
        <w:t>3</w:t>
      </w:r>
      <w:r>
        <w:rPr>
          <w:rFonts w:hint="eastAsia"/>
        </w:rPr>
        <w:t>]Shleifer A</w:t>
      </w:r>
      <w:r>
        <w:rPr>
          <w:rFonts w:hint="eastAsia"/>
        </w:rPr>
        <w:t>，</w:t>
      </w:r>
      <w:r>
        <w:rPr>
          <w:rFonts w:hint="eastAsia"/>
        </w:rPr>
        <w:t>R W V ishny</w:t>
      </w:r>
      <w:r>
        <w:rPr>
          <w:rFonts w:hint="eastAsia"/>
        </w:rPr>
        <w:t>．</w:t>
      </w:r>
      <w:r>
        <w:rPr>
          <w:rFonts w:hint="eastAsia"/>
        </w:rPr>
        <w:t>A Survey of Corporate G overnan ce[J]</w:t>
      </w:r>
      <w:r>
        <w:rPr>
          <w:rFonts w:hint="eastAsia"/>
        </w:rPr>
        <w:t>．</w:t>
      </w:r>
      <w:r w:rsidR="006A6643">
        <w:rPr>
          <w:rFonts w:hint="eastAsia"/>
        </w:rPr>
        <w:t>The Jou</w:t>
      </w:r>
      <w:r>
        <w:rPr>
          <w:rFonts w:hint="eastAsia"/>
        </w:rPr>
        <w:t>rnal of F inance</w:t>
      </w:r>
      <w:r>
        <w:rPr>
          <w:rFonts w:hint="eastAsia"/>
        </w:rPr>
        <w:t>，</w:t>
      </w:r>
      <w:r>
        <w:rPr>
          <w:rFonts w:hint="eastAsia"/>
        </w:rPr>
        <w:t>1997</w:t>
      </w:r>
      <w:r>
        <w:rPr>
          <w:rFonts w:hint="eastAsia"/>
        </w:rPr>
        <w:t>，</w:t>
      </w:r>
      <w:r>
        <w:rPr>
          <w:rFonts w:hint="eastAsia"/>
        </w:rPr>
        <w:t xml:space="preserve"> 52( 2)</w:t>
      </w:r>
      <w:r>
        <w:rPr>
          <w:rFonts w:hint="eastAsia"/>
        </w:rPr>
        <w:t>：</w:t>
      </w:r>
      <w:r>
        <w:rPr>
          <w:rFonts w:hint="eastAsia"/>
        </w:rPr>
        <w:t>737-783</w:t>
      </w:r>
      <w:r>
        <w:rPr>
          <w:rFonts w:hint="eastAsia"/>
        </w:rPr>
        <w:t>．</w:t>
      </w:r>
    </w:p>
    <w:p w:rsidR="00C057F7" w:rsidRDefault="00264BD8">
      <w:pPr>
        <w:tabs>
          <w:tab w:val="left" w:pos="312"/>
        </w:tabs>
        <w:spacing w:line="400" w:lineRule="atLeast"/>
        <w:ind w:firstLineChars="0" w:firstLine="0"/>
      </w:pPr>
      <w:r>
        <w:rPr>
          <w:rFonts w:hint="eastAsia"/>
        </w:rPr>
        <w:t>[</w:t>
      </w:r>
      <w:r w:rsidR="006A6643">
        <w:rPr>
          <w:rFonts w:hint="eastAsia"/>
        </w:rPr>
        <w:t>4</w:t>
      </w:r>
      <w:r>
        <w:rPr>
          <w:rFonts w:hint="eastAsia"/>
        </w:rPr>
        <w:t>]</w:t>
      </w:r>
      <w:r>
        <w:rPr>
          <w:rFonts w:hint="eastAsia"/>
        </w:rPr>
        <w:t>钟天丽，郭亚军．现金股利与上市公司未来收益的实证分析</w:t>
      </w:r>
      <w:r>
        <w:rPr>
          <w:rFonts w:hint="eastAsia"/>
        </w:rPr>
        <w:t>[J]</w:t>
      </w:r>
      <w:r>
        <w:rPr>
          <w:rFonts w:hint="eastAsia"/>
        </w:rPr>
        <w:t>．东北大学学报，</w:t>
      </w:r>
      <w:r>
        <w:rPr>
          <w:rFonts w:hint="eastAsia"/>
        </w:rPr>
        <w:t>2003(10)</w:t>
      </w:r>
      <w:r>
        <w:rPr>
          <w:rFonts w:hint="eastAsia"/>
        </w:rPr>
        <w:t>：</w:t>
      </w:r>
      <w:r>
        <w:rPr>
          <w:rFonts w:hint="eastAsia"/>
        </w:rPr>
        <w:t xml:space="preserve"> 1006-1009</w:t>
      </w:r>
      <w:r>
        <w:rPr>
          <w:rFonts w:hint="eastAsia"/>
        </w:rPr>
        <w:t>．</w:t>
      </w:r>
    </w:p>
    <w:p w:rsidR="00C057F7" w:rsidRDefault="00264BD8">
      <w:pPr>
        <w:tabs>
          <w:tab w:val="left" w:pos="312"/>
        </w:tabs>
        <w:spacing w:line="400" w:lineRule="atLeast"/>
        <w:ind w:firstLineChars="0" w:firstLine="0"/>
      </w:pPr>
      <w:r>
        <w:rPr>
          <w:rFonts w:hint="eastAsia"/>
        </w:rPr>
        <w:t>[</w:t>
      </w:r>
      <w:r w:rsidR="006A6643">
        <w:rPr>
          <w:rFonts w:hint="eastAsia"/>
        </w:rPr>
        <w:t>5</w:t>
      </w:r>
      <w:r>
        <w:rPr>
          <w:rFonts w:hint="eastAsia"/>
        </w:rPr>
        <w:t>]</w:t>
      </w:r>
      <w:r>
        <w:rPr>
          <w:rFonts w:hint="eastAsia"/>
        </w:rPr>
        <w:t>倪海霞，谷秀娟．上市公司股利政策实证研究</w:t>
      </w:r>
      <w:r>
        <w:rPr>
          <w:rFonts w:hint="eastAsia"/>
        </w:rPr>
        <w:t>[J]</w:t>
      </w:r>
      <w:r>
        <w:rPr>
          <w:rFonts w:hint="eastAsia"/>
        </w:rPr>
        <w:t>．河南工业大学学报</w:t>
      </w:r>
      <w:r>
        <w:rPr>
          <w:rFonts w:hint="eastAsia"/>
        </w:rPr>
        <w:t>, 2007(4)</w:t>
      </w:r>
      <w:r>
        <w:rPr>
          <w:rFonts w:hint="eastAsia"/>
        </w:rPr>
        <w:t>：</w:t>
      </w:r>
      <w:r>
        <w:rPr>
          <w:rFonts w:hint="eastAsia"/>
        </w:rPr>
        <w:t>148-156</w:t>
      </w:r>
      <w:r>
        <w:rPr>
          <w:rFonts w:hint="eastAsia"/>
        </w:rPr>
        <w:t>．</w:t>
      </w:r>
    </w:p>
    <w:p w:rsidR="00C057F7" w:rsidRDefault="00264BD8">
      <w:pPr>
        <w:tabs>
          <w:tab w:val="left" w:pos="312"/>
        </w:tabs>
        <w:spacing w:line="400" w:lineRule="atLeast"/>
        <w:ind w:firstLineChars="0" w:firstLine="0"/>
      </w:pPr>
      <w:r>
        <w:rPr>
          <w:rFonts w:hint="eastAsia"/>
        </w:rPr>
        <w:t>[</w:t>
      </w:r>
      <w:r w:rsidR="006A6643">
        <w:rPr>
          <w:rFonts w:hint="eastAsia"/>
        </w:rPr>
        <w:t>6</w:t>
      </w:r>
      <w:r>
        <w:rPr>
          <w:rFonts w:hint="eastAsia"/>
        </w:rPr>
        <w:t>]</w:t>
      </w:r>
      <w:r>
        <w:rPr>
          <w:rFonts w:hint="eastAsia"/>
        </w:rPr>
        <w:t>宋力，韩亮亮．大股东持股比例对代理成本影响的实证分析</w:t>
      </w:r>
      <w:r>
        <w:rPr>
          <w:rFonts w:hint="eastAsia"/>
        </w:rPr>
        <w:t xml:space="preserve">[J]. </w:t>
      </w:r>
      <w:r>
        <w:rPr>
          <w:rFonts w:hint="eastAsia"/>
        </w:rPr>
        <w:t>南开管理评论，</w:t>
      </w:r>
      <w:r>
        <w:rPr>
          <w:rFonts w:hint="eastAsia"/>
        </w:rPr>
        <w:t>2005, 8(1)</w:t>
      </w:r>
      <w:r>
        <w:rPr>
          <w:rFonts w:hint="eastAsia"/>
        </w:rPr>
        <w:t>：</w:t>
      </w:r>
      <w:r>
        <w:rPr>
          <w:rFonts w:hint="eastAsia"/>
        </w:rPr>
        <w:t>30-34</w:t>
      </w:r>
      <w:r>
        <w:rPr>
          <w:rFonts w:hint="eastAsia"/>
        </w:rPr>
        <w:t>．</w:t>
      </w:r>
    </w:p>
    <w:p w:rsidR="00C057F7" w:rsidRDefault="00264BD8">
      <w:pPr>
        <w:tabs>
          <w:tab w:val="left" w:pos="312"/>
        </w:tabs>
        <w:spacing w:line="400" w:lineRule="atLeast"/>
        <w:ind w:firstLineChars="0" w:firstLine="0"/>
      </w:pPr>
      <w:r>
        <w:rPr>
          <w:rFonts w:hint="eastAsia"/>
        </w:rPr>
        <w:t>[</w:t>
      </w:r>
      <w:r w:rsidR="006A6643">
        <w:rPr>
          <w:rFonts w:hint="eastAsia"/>
        </w:rPr>
        <w:t>7</w:t>
      </w:r>
      <w:r>
        <w:rPr>
          <w:rFonts w:hint="eastAsia"/>
        </w:rPr>
        <w:t>]</w:t>
      </w:r>
      <w:r>
        <w:rPr>
          <w:rFonts w:hint="eastAsia"/>
        </w:rPr>
        <w:t>胡泽民，刘杰，李刚．控股</w:t>
      </w:r>
      <w:r>
        <w:rPr>
          <w:rFonts w:hint="eastAsia"/>
        </w:rPr>
        <w:t>股东代理问题、现金股利与企业绩效</w:t>
      </w:r>
      <w:r>
        <w:rPr>
          <w:rFonts w:hint="eastAsia"/>
        </w:rPr>
        <w:t>[J]</w:t>
      </w:r>
      <w:r>
        <w:rPr>
          <w:rFonts w:hint="eastAsia"/>
        </w:rPr>
        <w:t>．财会通讯，</w:t>
      </w:r>
      <w:r>
        <w:rPr>
          <w:rFonts w:hint="eastAsia"/>
        </w:rPr>
        <w:t>2018(27)</w:t>
      </w:r>
      <w:r>
        <w:rPr>
          <w:rFonts w:hint="eastAsia"/>
        </w:rPr>
        <w:t>：</w:t>
      </w:r>
      <w:r>
        <w:rPr>
          <w:rFonts w:hint="eastAsia"/>
        </w:rPr>
        <w:t>60-66</w:t>
      </w:r>
      <w:r>
        <w:rPr>
          <w:rFonts w:hint="eastAsia"/>
        </w:rPr>
        <w:t>．</w:t>
      </w:r>
    </w:p>
    <w:p w:rsidR="00C057F7" w:rsidRDefault="000A5B3C" w:rsidP="006A6643">
      <w:pPr>
        <w:tabs>
          <w:tab w:val="left" w:pos="312"/>
        </w:tabs>
        <w:spacing w:line="400" w:lineRule="atLeast"/>
        <w:ind w:firstLineChars="0" w:firstLine="0"/>
      </w:pPr>
      <w:r>
        <w:rPr>
          <w:rFonts w:hint="eastAsia"/>
        </w:rPr>
        <w:t xml:space="preserve"> </w:t>
      </w:r>
      <w:r w:rsidR="00264BD8">
        <w:rPr>
          <w:rFonts w:hint="eastAsia"/>
        </w:rPr>
        <w:t>[</w:t>
      </w:r>
      <w:r w:rsidR="006A6643">
        <w:rPr>
          <w:rFonts w:hint="eastAsia"/>
        </w:rPr>
        <w:t>8</w:t>
      </w:r>
      <w:r w:rsidR="00264BD8">
        <w:rPr>
          <w:rFonts w:hint="eastAsia"/>
        </w:rPr>
        <w:t xml:space="preserve">] </w:t>
      </w:r>
      <w:r w:rsidR="00264BD8">
        <w:rPr>
          <w:rFonts w:hint="eastAsia"/>
        </w:rPr>
        <w:t>徐寿福，徐龙炳．现金股利政策、代理成本与公司绩效</w:t>
      </w:r>
      <w:r w:rsidR="00264BD8">
        <w:rPr>
          <w:rFonts w:hint="eastAsia"/>
        </w:rPr>
        <w:t>[J]</w:t>
      </w:r>
      <w:r w:rsidR="00264BD8">
        <w:rPr>
          <w:rFonts w:hint="eastAsia"/>
        </w:rPr>
        <w:t>．管理科学，</w:t>
      </w:r>
      <w:r w:rsidR="00264BD8">
        <w:rPr>
          <w:rFonts w:hint="eastAsia"/>
        </w:rPr>
        <w:t>2015</w:t>
      </w:r>
      <w:r w:rsidR="00264BD8">
        <w:rPr>
          <w:rFonts w:hint="eastAsia"/>
        </w:rPr>
        <w:t>（</w:t>
      </w:r>
      <w:r w:rsidR="00264BD8">
        <w:rPr>
          <w:rFonts w:hint="eastAsia"/>
        </w:rPr>
        <w:t>1</w:t>
      </w:r>
      <w:r w:rsidR="00264BD8">
        <w:rPr>
          <w:rFonts w:hint="eastAsia"/>
        </w:rPr>
        <w:t>）：</w:t>
      </w:r>
      <w:r w:rsidR="00264BD8">
        <w:rPr>
          <w:rFonts w:hint="eastAsia"/>
        </w:rPr>
        <w:t>96-110.</w:t>
      </w:r>
    </w:p>
    <w:sectPr w:rsidR="00C057F7" w:rsidSect="00C057F7">
      <w:headerReference w:type="even" r:id="rId15"/>
      <w:headerReference w:type="default" r:id="rId16"/>
      <w:footerReference w:type="even" r:id="rId17"/>
      <w:footerReference w:type="default" r:id="rId18"/>
      <w:headerReference w:type="first" r:id="rId19"/>
      <w:footerReference w:type="first" r:id="rId20"/>
      <w:pgSz w:w="11906" w:h="16838"/>
      <w:pgMar w:top="1531" w:right="1531" w:bottom="1531" w:left="1531" w:header="1021" w:footer="1049"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BD8" w:rsidRDefault="00264BD8" w:rsidP="000A5B3C">
      <w:pPr>
        <w:spacing w:line="240" w:lineRule="auto"/>
        <w:ind w:firstLine="420"/>
      </w:pPr>
      <w:r>
        <w:separator/>
      </w:r>
    </w:p>
  </w:endnote>
  <w:endnote w:type="continuationSeparator" w:id="0">
    <w:p w:rsidR="00264BD8" w:rsidRDefault="00264BD8" w:rsidP="000A5B3C">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ont-weight : 400">
    <w:altName w:val="微软雅黑"/>
    <w:charset w:val="00"/>
    <w:family w:val="auto"/>
    <w:pitch w:val="default"/>
    <w:sig w:usb0="00000000" w:usb1="00000000" w:usb2="00000000" w:usb3="00000000" w:csb0="00040001"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MingLiU">
    <w:altName w:val="Microsoft JhengHei"/>
    <w:panose1 w:val="02010609000101010101"/>
    <w:charset w:val="88"/>
    <w:family w:val="modern"/>
    <w:notTrueType/>
    <w:pitch w:val="fixed"/>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7F7" w:rsidRPr="000A5B3C" w:rsidRDefault="00C057F7" w:rsidP="000A5B3C">
    <w:pPr>
      <w:pStyle w:val="a9"/>
      <w:ind w:firstLine="360"/>
      <w:rPr>
        <w:szCs w:val="15"/>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7F7" w:rsidRPr="000A5B3C" w:rsidRDefault="00C057F7" w:rsidP="000A5B3C">
    <w:pPr>
      <w:pStyle w:val="a9"/>
      <w:ind w:firstLine="360"/>
      <w:rPr>
        <w:szCs w:val="15"/>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B3C" w:rsidRDefault="000A5B3C" w:rsidP="000A5B3C">
    <w:pPr>
      <w:pStyle w:val="a9"/>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BD8" w:rsidRDefault="00264BD8" w:rsidP="000A5B3C">
      <w:pPr>
        <w:spacing w:line="240" w:lineRule="auto"/>
        <w:ind w:firstLine="420"/>
      </w:pPr>
      <w:r>
        <w:separator/>
      </w:r>
    </w:p>
  </w:footnote>
  <w:footnote w:type="continuationSeparator" w:id="0">
    <w:p w:rsidR="00264BD8" w:rsidRDefault="00264BD8" w:rsidP="000A5B3C">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7F7" w:rsidRPr="000A5B3C" w:rsidRDefault="00C057F7" w:rsidP="000A5B3C">
    <w:pPr>
      <w:pStyle w:val="aa"/>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7F7" w:rsidRPr="000A5B3C" w:rsidRDefault="00C057F7" w:rsidP="000A5B3C">
    <w:pPr>
      <w:pStyle w:val="aa"/>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B3C" w:rsidRDefault="000A5B3C" w:rsidP="000A5B3C">
    <w:pPr>
      <w:pStyle w:val="aa"/>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evenAndOddHeaders/>
  <w:drawingGridVerticalSpacing w:val="156"/>
  <w:noPunctuationKerning/>
  <w:characterSpacingControl w:val="doNotCompress"/>
  <w:footnotePr>
    <w:footnote w:id="-1"/>
    <w:footnote w:id="0"/>
  </w:footnotePr>
  <w:endnotePr>
    <w:endnote w:id="-1"/>
    <w:endnote w:id="0"/>
  </w:endnotePr>
  <w:compat>
    <w:ulTrailSpace/>
    <w:doNotExpandShiftReturn/>
    <w:useFELayout/>
  </w:compat>
  <w:rsids>
    <w:rsidRoot w:val="00702EDA"/>
    <w:rsid w:val="00010383"/>
    <w:rsid w:val="00011C58"/>
    <w:rsid w:val="00014FAA"/>
    <w:rsid w:val="0002142E"/>
    <w:rsid w:val="00026343"/>
    <w:rsid w:val="000318CA"/>
    <w:rsid w:val="000410EB"/>
    <w:rsid w:val="00041FB2"/>
    <w:rsid w:val="000535DF"/>
    <w:rsid w:val="00053EBA"/>
    <w:rsid w:val="0006241D"/>
    <w:rsid w:val="00063691"/>
    <w:rsid w:val="00071310"/>
    <w:rsid w:val="00072993"/>
    <w:rsid w:val="00073234"/>
    <w:rsid w:val="000879B8"/>
    <w:rsid w:val="00087DAD"/>
    <w:rsid w:val="00095010"/>
    <w:rsid w:val="000A283E"/>
    <w:rsid w:val="000A5B3C"/>
    <w:rsid w:val="000A7705"/>
    <w:rsid w:val="000C548E"/>
    <w:rsid w:val="000C54CE"/>
    <w:rsid w:val="000C6BF1"/>
    <w:rsid w:val="000C7059"/>
    <w:rsid w:val="000C7306"/>
    <w:rsid w:val="000C7C97"/>
    <w:rsid w:val="000D0EED"/>
    <w:rsid w:val="000D21F4"/>
    <w:rsid w:val="000D2841"/>
    <w:rsid w:val="000D43BB"/>
    <w:rsid w:val="000D7B2D"/>
    <w:rsid w:val="000E0DAD"/>
    <w:rsid w:val="000E1B58"/>
    <w:rsid w:val="000E4732"/>
    <w:rsid w:val="000F0832"/>
    <w:rsid w:val="000F3AD8"/>
    <w:rsid w:val="000F3C65"/>
    <w:rsid w:val="001017A7"/>
    <w:rsid w:val="001105E8"/>
    <w:rsid w:val="00111345"/>
    <w:rsid w:val="00111DB3"/>
    <w:rsid w:val="001122AE"/>
    <w:rsid w:val="0011424F"/>
    <w:rsid w:val="00117A2A"/>
    <w:rsid w:val="00120511"/>
    <w:rsid w:val="00123DB0"/>
    <w:rsid w:val="00144B9D"/>
    <w:rsid w:val="00145F9B"/>
    <w:rsid w:val="0015704C"/>
    <w:rsid w:val="00170773"/>
    <w:rsid w:val="00182889"/>
    <w:rsid w:val="00182D59"/>
    <w:rsid w:val="0018333A"/>
    <w:rsid w:val="00187D61"/>
    <w:rsid w:val="00190702"/>
    <w:rsid w:val="00197339"/>
    <w:rsid w:val="001C2E8A"/>
    <w:rsid w:val="001C34AB"/>
    <w:rsid w:val="001D1DED"/>
    <w:rsid w:val="001D4755"/>
    <w:rsid w:val="001F0DA2"/>
    <w:rsid w:val="001F46E4"/>
    <w:rsid w:val="0020197A"/>
    <w:rsid w:val="00211530"/>
    <w:rsid w:val="00214422"/>
    <w:rsid w:val="00215F4D"/>
    <w:rsid w:val="00217CD3"/>
    <w:rsid w:val="002239B7"/>
    <w:rsid w:val="00225B28"/>
    <w:rsid w:val="0023495E"/>
    <w:rsid w:val="00234A99"/>
    <w:rsid w:val="00236992"/>
    <w:rsid w:val="00237196"/>
    <w:rsid w:val="00250799"/>
    <w:rsid w:val="002532B0"/>
    <w:rsid w:val="0025405F"/>
    <w:rsid w:val="00255F33"/>
    <w:rsid w:val="002603E5"/>
    <w:rsid w:val="00264BD8"/>
    <w:rsid w:val="002714AB"/>
    <w:rsid w:val="002717A7"/>
    <w:rsid w:val="00271E14"/>
    <w:rsid w:val="00285D8A"/>
    <w:rsid w:val="0028663F"/>
    <w:rsid w:val="00287B2D"/>
    <w:rsid w:val="002966B3"/>
    <w:rsid w:val="002976EA"/>
    <w:rsid w:val="002A3B7A"/>
    <w:rsid w:val="002B0F4C"/>
    <w:rsid w:val="002B56AF"/>
    <w:rsid w:val="002B5FD9"/>
    <w:rsid w:val="002C125E"/>
    <w:rsid w:val="002C3625"/>
    <w:rsid w:val="002C4786"/>
    <w:rsid w:val="002E2F08"/>
    <w:rsid w:val="002F22B2"/>
    <w:rsid w:val="002F3066"/>
    <w:rsid w:val="002F66AB"/>
    <w:rsid w:val="00303488"/>
    <w:rsid w:val="003149E3"/>
    <w:rsid w:val="003154E8"/>
    <w:rsid w:val="00316362"/>
    <w:rsid w:val="00322619"/>
    <w:rsid w:val="00323B43"/>
    <w:rsid w:val="00330DD6"/>
    <w:rsid w:val="003479F5"/>
    <w:rsid w:val="00347B3E"/>
    <w:rsid w:val="003544C3"/>
    <w:rsid w:val="00354CC5"/>
    <w:rsid w:val="00362881"/>
    <w:rsid w:val="00364070"/>
    <w:rsid w:val="00365DFA"/>
    <w:rsid w:val="00372359"/>
    <w:rsid w:val="003843B5"/>
    <w:rsid w:val="0038599E"/>
    <w:rsid w:val="003866C7"/>
    <w:rsid w:val="0039081E"/>
    <w:rsid w:val="00391AA5"/>
    <w:rsid w:val="00393EC3"/>
    <w:rsid w:val="00393F82"/>
    <w:rsid w:val="00395F2E"/>
    <w:rsid w:val="003A00AE"/>
    <w:rsid w:val="003A1463"/>
    <w:rsid w:val="003A29EC"/>
    <w:rsid w:val="003A565C"/>
    <w:rsid w:val="003B7E13"/>
    <w:rsid w:val="003C111A"/>
    <w:rsid w:val="003D0FA7"/>
    <w:rsid w:val="003D37D8"/>
    <w:rsid w:val="003D6B4D"/>
    <w:rsid w:val="003E1632"/>
    <w:rsid w:val="003E1EFE"/>
    <w:rsid w:val="003E29A4"/>
    <w:rsid w:val="003F0B27"/>
    <w:rsid w:val="003F173E"/>
    <w:rsid w:val="003F2539"/>
    <w:rsid w:val="003F3871"/>
    <w:rsid w:val="003F6965"/>
    <w:rsid w:val="00400DD7"/>
    <w:rsid w:val="00402C9E"/>
    <w:rsid w:val="00407E74"/>
    <w:rsid w:val="00413205"/>
    <w:rsid w:val="0041374B"/>
    <w:rsid w:val="004159EC"/>
    <w:rsid w:val="00423EC4"/>
    <w:rsid w:val="00425AAE"/>
    <w:rsid w:val="004262FD"/>
    <w:rsid w:val="0042641E"/>
    <w:rsid w:val="004313B5"/>
    <w:rsid w:val="00432732"/>
    <w:rsid w:val="004358AB"/>
    <w:rsid w:val="00454BF9"/>
    <w:rsid w:val="00457F9E"/>
    <w:rsid w:val="00463671"/>
    <w:rsid w:val="00464D96"/>
    <w:rsid w:val="00472811"/>
    <w:rsid w:val="00477051"/>
    <w:rsid w:val="00484F05"/>
    <w:rsid w:val="00487F4E"/>
    <w:rsid w:val="00492ECA"/>
    <w:rsid w:val="00496F4A"/>
    <w:rsid w:val="004A1FC4"/>
    <w:rsid w:val="004A2AC6"/>
    <w:rsid w:val="004C199D"/>
    <w:rsid w:val="004C1CF7"/>
    <w:rsid w:val="004C51FA"/>
    <w:rsid w:val="004D0781"/>
    <w:rsid w:val="004D0D9D"/>
    <w:rsid w:val="004D61E5"/>
    <w:rsid w:val="004D70D9"/>
    <w:rsid w:val="004D7D7D"/>
    <w:rsid w:val="004E29C6"/>
    <w:rsid w:val="004F1765"/>
    <w:rsid w:val="004F5BE8"/>
    <w:rsid w:val="00505E93"/>
    <w:rsid w:val="005061D2"/>
    <w:rsid w:val="00507B1B"/>
    <w:rsid w:val="005101BA"/>
    <w:rsid w:val="0051069A"/>
    <w:rsid w:val="00513664"/>
    <w:rsid w:val="005211D5"/>
    <w:rsid w:val="0052238F"/>
    <w:rsid w:val="00527298"/>
    <w:rsid w:val="00527C39"/>
    <w:rsid w:val="0053273D"/>
    <w:rsid w:val="0053638F"/>
    <w:rsid w:val="00536D34"/>
    <w:rsid w:val="00537063"/>
    <w:rsid w:val="00540205"/>
    <w:rsid w:val="00540A66"/>
    <w:rsid w:val="0054680D"/>
    <w:rsid w:val="005541DB"/>
    <w:rsid w:val="00554F75"/>
    <w:rsid w:val="00555944"/>
    <w:rsid w:val="005566C9"/>
    <w:rsid w:val="00562E21"/>
    <w:rsid w:val="00567485"/>
    <w:rsid w:val="005725C1"/>
    <w:rsid w:val="00572B17"/>
    <w:rsid w:val="0057408A"/>
    <w:rsid w:val="00577022"/>
    <w:rsid w:val="0059027C"/>
    <w:rsid w:val="0059127A"/>
    <w:rsid w:val="005A10B0"/>
    <w:rsid w:val="005A1281"/>
    <w:rsid w:val="005A2B7F"/>
    <w:rsid w:val="005A3DC7"/>
    <w:rsid w:val="005A4862"/>
    <w:rsid w:val="005B00B7"/>
    <w:rsid w:val="005B0795"/>
    <w:rsid w:val="005B6228"/>
    <w:rsid w:val="005B70F8"/>
    <w:rsid w:val="005C7EB7"/>
    <w:rsid w:val="005D397E"/>
    <w:rsid w:val="005D4A54"/>
    <w:rsid w:val="005E2AF0"/>
    <w:rsid w:val="005E40C3"/>
    <w:rsid w:val="005E4212"/>
    <w:rsid w:val="005E71AF"/>
    <w:rsid w:val="005F194D"/>
    <w:rsid w:val="005F525E"/>
    <w:rsid w:val="005F7390"/>
    <w:rsid w:val="006059C2"/>
    <w:rsid w:val="006103C4"/>
    <w:rsid w:val="00614623"/>
    <w:rsid w:val="00616C18"/>
    <w:rsid w:val="00620A83"/>
    <w:rsid w:val="006227A7"/>
    <w:rsid w:val="00623B5B"/>
    <w:rsid w:val="00632C13"/>
    <w:rsid w:val="00634DD2"/>
    <w:rsid w:val="00635D59"/>
    <w:rsid w:val="006435FF"/>
    <w:rsid w:val="00650696"/>
    <w:rsid w:val="00650E43"/>
    <w:rsid w:val="006538CD"/>
    <w:rsid w:val="006564E3"/>
    <w:rsid w:val="00656F84"/>
    <w:rsid w:val="00660AD5"/>
    <w:rsid w:val="00663B66"/>
    <w:rsid w:val="006650C5"/>
    <w:rsid w:val="00666B77"/>
    <w:rsid w:val="00673451"/>
    <w:rsid w:val="00675E9C"/>
    <w:rsid w:val="006762D7"/>
    <w:rsid w:val="00677BE1"/>
    <w:rsid w:val="00680EF7"/>
    <w:rsid w:val="00686F60"/>
    <w:rsid w:val="00692119"/>
    <w:rsid w:val="0069454E"/>
    <w:rsid w:val="006947C7"/>
    <w:rsid w:val="006A4678"/>
    <w:rsid w:val="006A6643"/>
    <w:rsid w:val="006B2CBD"/>
    <w:rsid w:val="006B3BCB"/>
    <w:rsid w:val="006C582A"/>
    <w:rsid w:val="006C7042"/>
    <w:rsid w:val="006C73C1"/>
    <w:rsid w:val="006C78CF"/>
    <w:rsid w:val="006D0A4C"/>
    <w:rsid w:val="006D1076"/>
    <w:rsid w:val="006D145D"/>
    <w:rsid w:val="006E1865"/>
    <w:rsid w:val="006E1FFF"/>
    <w:rsid w:val="006E4FBC"/>
    <w:rsid w:val="006E519E"/>
    <w:rsid w:val="006F471B"/>
    <w:rsid w:val="006F71BF"/>
    <w:rsid w:val="006F7867"/>
    <w:rsid w:val="00702EDA"/>
    <w:rsid w:val="00703E61"/>
    <w:rsid w:val="007040E3"/>
    <w:rsid w:val="0071444E"/>
    <w:rsid w:val="007169EE"/>
    <w:rsid w:val="00722446"/>
    <w:rsid w:val="00722B97"/>
    <w:rsid w:val="00726547"/>
    <w:rsid w:val="0072669C"/>
    <w:rsid w:val="00735E39"/>
    <w:rsid w:val="0074156C"/>
    <w:rsid w:val="00742EB5"/>
    <w:rsid w:val="00742F18"/>
    <w:rsid w:val="00744913"/>
    <w:rsid w:val="00745B80"/>
    <w:rsid w:val="00747984"/>
    <w:rsid w:val="007535CE"/>
    <w:rsid w:val="0075596C"/>
    <w:rsid w:val="0075696D"/>
    <w:rsid w:val="00756A2D"/>
    <w:rsid w:val="00761CC2"/>
    <w:rsid w:val="007633E4"/>
    <w:rsid w:val="00763B07"/>
    <w:rsid w:val="00765E3D"/>
    <w:rsid w:val="00765EE1"/>
    <w:rsid w:val="007660C1"/>
    <w:rsid w:val="00773B64"/>
    <w:rsid w:val="00777439"/>
    <w:rsid w:val="00785043"/>
    <w:rsid w:val="00791EE0"/>
    <w:rsid w:val="00792EC0"/>
    <w:rsid w:val="007A29BC"/>
    <w:rsid w:val="007A46EA"/>
    <w:rsid w:val="007A5D71"/>
    <w:rsid w:val="007A76AA"/>
    <w:rsid w:val="007B090F"/>
    <w:rsid w:val="007B520C"/>
    <w:rsid w:val="007C2881"/>
    <w:rsid w:val="007C4648"/>
    <w:rsid w:val="007C529E"/>
    <w:rsid w:val="007D2687"/>
    <w:rsid w:val="007E2C49"/>
    <w:rsid w:val="007E3F57"/>
    <w:rsid w:val="007E4432"/>
    <w:rsid w:val="007E5CC3"/>
    <w:rsid w:val="007F11A8"/>
    <w:rsid w:val="007F202C"/>
    <w:rsid w:val="007F50F4"/>
    <w:rsid w:val="008031D3"/>
    <w:rsid w:val="00804FD7"/>
    <w:rsid w:val="00806739"/>
    <w:rsid w:val="00810361"/>
    <w:rsid w:val="008114C1"/>
    <w:rsid w:val="00811C1C"/>
    <w:rsid w:val="0081481D"/>
    <w:rsid w:val="00814A9B"/>
    <w:rsid w:val="00820882"/>
    <w:rsid w:val="00824563"/>
    <w:rsid w:val="00824B04"/>
    <w:rsid w:val="00831DFF"/>
    <w:rsid w:val="0083220E"/>
    <w:rsid w:val="00834782"/>
    <w:rsid w:val="008444A8"/>
    <w:rsid w:val="0084522D"/>
    <w:rsid w:val="00847774"/>
    <w:rsid w:val="00853BA4"/>
    <w:rsid w:val="00855F1F"/>
    <w:rsid w:val="0085648C"/>
    <w:rsid w:val="0086338C"/>
    <w:rsid w:val="00873046"/>
    <w:rsid w:val="00876664"/>
    <w:rsid w:val="008805FF"/>
    <w:rsid w:val="008806F8"/>
    <w:rsid w:val="00881A3A"/>
    <w:rsid w:val="00881BBD"/>
    <w:rsid w:val="0088465A"/>
    <w:rsid w:val="008854E4"/>
    <w:rsid w:val="00885C54"/>
    <w:rsid w:val="00887536"/>
    <w:rsid w:val="00892095"/>
    <w:rsid w:val="00893E1D"/>
    <w:rsid w:val="008A1F02"/>
    <w:rsid w:val="008A1F9D"/>
    <w:rsid w:val="008A597E"/>
    <w:rsid w:val="008A5987"/>
    <w:rsid w:val="008B2060"/>
    <w:rsid w:val="008B55F5"/>
    <w:rsid w:val="008B7726"/>
    <w:rsid w:val="008B7C2F"/>
    <w:rsid w:val="008C475E"/>
    <w:rsid w:val="008C6E30"/>
    <w:rsid w:val="008E116D"/>
    <w:rsid w:val="008E14C0"/>
    <w:rsid w:val="008E243A"/>
    <w:rsid w:val="008E5C44"/>
    <w:rsid w:val="008E6851"/>
    <w:rsid w:val="008F4F51"/>
    <w:rsid w:val="008F65BE"/>
    <w:rsid w:val="00901E92"/>
    <w:rsid w:val="00926DA9"/>
    <w:rsid w:val="009271D6"/>
    <w:rsid w:val="009310FE"/>
    <w:rsid w:val="00933E51"/>
    <w:rsid w:val="00942F0C"/>
    <w:rsid w:val="009431F4"/>
    <w:rsid w:val="00955AA0"/>
    <w:rsid w:val="00961E07"/>
    <w:rsid w:val="0096370E"/>
    <w:rsid w:val="00965C98"/>
    <w:rsid w:val="00974BCD"/>
    <w:rsid w:val="00976158"/>
    <w:rsid w:val="00977AE2"/>
    <w:rsid w:val="009814B9"/>
    <w:rsid w:val="00985F32"/>
    <w:rsid w:val="00987EC4"/>
    <w:rsid w:val="0099624F"/>
    <w:rsid w:val="00997CB3"/>
    <w:rsid w:val="009A3A59"/>
    <w:rsid w:val="009A7602"/>
    <w:rsid w:val="009B5A92"/>
    <w:rsid w:val="009B6E8F"/>
    <w:rsid w:val="009B7A10"/>
    <w:rsid w:val="009C07CA"/>
    <w:rsid w:val="009C0F27"/>
    <w:rsid w:val="009C3CCA"/>
    <w:rsid w:val="009D0979"/>
    <w:rsid w:val="009D3A92"/>
    <w:rsid w:val="009D54AF"/>
    <w:rsid w:val="009D5635"/>
    <w:rsid w:val="009E0513"/>
    <w:rsid w:val="009E3AD9"/>
    <w:rsid w:val="009F2463"/>
    <w:rsid w:val="009F61D9"/>
    <w:rsid w:val="00A00623"/>
    <w:rsid w:val="00A01FF5"/>
    <w:rsid w:val="00A03D52"/>
    <w:rsid w:val="00A1027E"/>
    <w:rsid w:val="00A158A3"/>
    <w:rsid w:val="00A15A22"/>
    <w:rsid w:val="00A1664A"/>
    <w:rsid w:val="00A24FB4"/>
    <w:rsid w:val="00A254B5"/>
    <w:rsid w:val="00A25A29"/>
    <w:rsid w:val="00A26FFB"/>
    <w:rsid w:val="00A27473"/>
    <w:rsid w:val="00A30D0A"/>
    <w:rsid w:val="00A331B8"/>
    <w:rsid w:val="00A40372"/>
    <w:rsid w:val="00A4375E"/>
    <w:rsid w:val="00A44679"/>
    <w:rsid w:val="00A47A75"/>
    <w:rsid w:val="00A52D44"/>
    <w:rsid w:val="00A550B4"/>
    <w:rsid w:val="00A567CC"/>
    <w:rsid w:val="00A56B8D"/>
    <w:rsid w:val="00A64B59"/>
    <w:rsid w:val="00A747C4"/>
    <w:rsid w:val="00A80DB4"/>
    <w:rsid w:val="00A81D12"/>
    <w:rsid w:val="00A822BE"/>
    <w:rsid w:val="00A9247E"/>
    <w:rsid w:val="00A94C91"/>
    <w:rsid w:val="00AA1FBB"/>
    <w:rsid w:val="00AA4EA2"/>
    <w:rsid w:val="00AA7A87"/>
    <w:rsid w:val="00AB224A"/>
    <w:rsid w:val="00AB2F80"/>
    <w:rsid w:val="00AB700A"/>
    <w:rsid w:val="00AC47E2"/>
    <w:rsid w:val="00AD259D"/>
    <w:rsid w:val="00AD58A7"/>
    <w:rsid w:val="00AD7EC7"/>
    <w:rsid w:val="00AE0D1A"/>
    <w:rsid w:val="00AE694F"/>
    <w:rsid w:val="00AE7CF5"/>
    <w:rsid w:val="00AF0B7F"/>
    <w:rsid w:val="00AF5958"/>
    <w:rsid w:val="00AF7719"/>
    <w:rsid w:val="00B014D7"/>
    <w:rsid w:val="00B02165"/>
    <w:rsid w:val="00B02801"/>
    <w:rsid w:val="00B0336D"/>
    <w:rsid w:val="00B05E65"/>
    <w:rsid w:val="00B14D99"/>
    <w:rsid w:val="00B17563"/>
    <w:rsid w:val="00B21736"/>
    <w:rsid w:val="00B2366C"/>
    <w:rsid w:val="00B27366"/>
    <w:rsid w:val="00B305A7"/>
    <w:rsid w:val="00B3191F"/>
    <w:rsid w:val="00B3304C"/>
    <w:rsid w:val="00B337B2"/>
    <w:rsid w:val="00B36596"/>
    <w:rsid w:val="00B37426"/>
    <w:rsid w:val="00B408C6"/>
    <w:rsid w:val="00B42827"/>
    <w:rsid w:val="00B45923"/>
    <w:rsid w:val="00B5041B"/>
    <w:rsid w:val="00B5198C"/>
    <w:rsid w:val="00B52254"/>
    <w:rsid w:val="00B60F52"/>
    <w:rsid w:val="00B77001"/>
    <w:rsid w:val="00B770C8"/>
    <w:rsid w:val="00B774CB"/>
    <w:rsid w:val="00B77F2C"/>
    <w:rsid w:val="00B91FE5"/>
    <w:rsid w:val="00B94B9B"/>
    <w:rsid w:val="00B9569E"/>
    <w:rsid w:val="00BA0460"/>
    <w:rsid w:val="00BA3016"/>
    <w:rsid w:val="00BA3E3E"/>
    <w:rsid w:val="00BA7F2E"/>
    <w:rsid w:val="00BB2D60"/>
    <w:rsid w:val="00BC1F14"/>
    <w:rsid w:val="00BC7061"/>
    <w:rsid w:val="00BD48EE"/>
    <w:rsid w:val="00BD7B93"/>
    <w:rsid w:val="00BE1A45"/>
    <w:rsid w:val="00BE49CA"/>
    <w:rsid w:val="00BF0E3B"/>
    <w:rsid w:val="00BF1AC2"/>
    <w:rsid w:val="00BF2010"/>
    <w:rsid w:val="00C057F7"/>
    <w:rsid w:val="00C064B3"/>
    <w:rsid w:val="00C07DA1"/>
    <w:rsid w:val="00C07ED1"/>
    <w:rsid w:val="00C11586"/>
    <w:rsid w:val="00C11838"/>
    <w:rsid w:val="00C236D1"/>
    <w:rsid w:val="00C25E72"/>
    <w:rsid w:val="00C27322"/>
    <w:rsid w:val="00C33FF5"/>
    <w:rsid w:val="00C4199A"/>
    <w:rsid w:val="00C42B9E"/>
    <w:rsid w:val="00C55F4E"/>
    <w:rsid w:val="00C60C49"/>
    <w:rsid w:val="00C71206"/>
    <w:rsid w:val="00C71A63"/>
    <w:rsid w:val="00C724C2"/>
    <w:rsid w:val="00C72B65"/>
    <w:rsid w:val="00C75D65"/>
    <w:rsid w:val="00C81BCE"/>
    <w:rsid w:val="00C86774"/>
    <w:rsid w:val="00C87189"/>
    <w:rsid w:val="00C876A1"/>
    <w:rsid w:val="00C92134"/>
    <w:rsid w:val="00C935DE"/>
    <w:rsid w:val="00CA64EE"/>
    <w:rsid w:val="00CB1BC1"/>
    <w:rsid w:val="00CB32D7"/>
    <w:rsid w:val="00CB32ED"/>
    <w:rsid w:val="00CB41A5"/>
    <w:rsid w:val="00CB42D1"/>
    <w:rsid w:val="00CC1823"/>
    <w:rsid w:val="00CC76DF"/>
    <w:rsid w:val="00CD10F1"/>
    <w:rsid w:val="00CD1608"/>
    <w:rsid w:val="00CD2F8F"/>
    <w:rsid w:val="00CD7017"/>
    <w:rsid w:val="00CE028D"/>
    <w:rsid w:val="00CE2F64"/>
    <w:rsid w:val="00CE4B22"/>
    <w:rsid w:val="00CF19BC"/>
    <w:rsid w:val="00CF1B67"/>
    <w:rsid w:val="00CF2812"/>
    <w:rsid w:val="00D0192A"/>
    <w:rsid w:val="00D04A74"/>
    <w:rsid w:val="00D07B62"/>
    <w:rsid w:val="00D166DB"/>
    <w:rsid w:val="00D20334"/>
    <w:rsid w:val="00D20C93"/>
    <w:rsid w:val="00D2496E"/>
    <w:rsid w:val="00D2714B"/>
    <w:rsid w:val="00D302FA"/>
    <w:rsid w:val="00D371EB"/>
    <w:rsid w:val="00D40DBC"/>
    <w:rsid w:val="00D412CB"/>
    <w:rsid w:val="00D45142"/>
    <w:rsid w:val="00D470D0"/>
    <w:rsid w:val="00D52196"/>
    <w:rsid w:val="00D533E9"/>
    <w:rsid w:val="00D56618"/>
    <w:rsid w:val="00D5676D"/>
    <w:rsid w:val="00D64119"/>
    <w:rsid w:val="00D7063B"/>
    <w:rsid w:val="00D7264E"/>
    <w:rsid w:val="00D763EB"/>
    <w:rsid w:val="00D81100"/>
    <w:rsid w:val="00D8404D"/>
    <w:rsid w:val="00D873A5"/>
    <w:rsid w:val="00D93C67"/>
    <w:rsid w:val="00D95DCD"/>
    <w:rsid w:val="00D96697"/>
    <w:rsid w:val="00D9689F"/>
    <w:rsid w:val="00DA1952"/>
    <w:rsid w:val="00DA1956"/>
    <w:rsid w:val="00DA201F"/>
    <w:rsid w:val="00DA4FF2"/>
    <w:rsid w:val="00DA7333"/>
    <w:rsid w:val="00DB4B4E"/>
    <w:rsid w:val="00DC3A6A"/>
    <w:rsid w:val="00DC41E5"/>
    <w:rsid w:val="00DC55A2"/>
    <w:rsid w:val="00DC723F"/>
    <w:rsid w:val="00DD1B2F"/>
    <w:rsid w:val="00DD794D"/>
    <w:rsid w:val="00DE0631"/>
    <w:rsid w:val="00DE6371"/>
    <w:rsid w:val="00DF0C1E"/>
    <w:rsid w:val="00E01EC6"/>
    <w:rsid w:val="00E044C2"/>
    <w:rsid w:val="00E056C0"/>
    <w:rsid w:val="00E249EA"/>
    <w:rsid w:val="00E266FD"/>
    <w:rsid w:val="00E40A5C"/>
    <w:rsid w:val="00E414CB"/>
    <w:rsid w:val="00E54A37"/>
    <w:rsid w:val="00E606EB"/>
    <w:rsid w:val="00E60ADA"/>
    <w:rsid w:val="00E60B41"/>
    <w:rsid w:val="00E60EDE"/>
    <w:rsid w:val="00E61119"/>
    <w:rsid w:val="00E61289"/>
    <w:rsid w:val="00E61FE5"/>
    <w:rsid w:val="00E7300E"/>
    <w:rsid w:val="00E76193"/>
    <w:rsid w:val="00E7731E"/>
    <w:rsid w:val="00E81D99"/>
    <w:rsid w:val="00E824EC"/>
    <w:rsid w:val="00E8401D"/>
    <w:rsid w:val="00E86B4D"/>
    <w:rsid w:val="00E92C6D"/>
    <w:rsid w:val="00E936E4"/>
    <w:rsid w:val="00E951B2"/>
    <w:rsid w:val="00E96C46"/>
    <w:rsid w:val="00EA1964"/>
    <w:rsid w:val="00EA7688"/>
    <w:rsid w:val="00EB2E6E"/>
    <w:rsid w:val="00EB6391"/>
    <w:rsid w:val="00EC33F7"/>
    <w:rsid w:val="00EC3A5D"/>
    <w:rsid w:val="00ED07DF"/>
    <w:rsid w:val="00ED5D08"/>
    <w:rsid w:val="00ED6ACB"/>
    <w:rsid w:val="00ED6B16"/>
    <w:rsid w:val="00ED7964"/>
    <w:rsid w:val="00ED7FBF"/>
    <w:rsid w:val="00EE3DDA"/>
    <w:rsid w:val="00EE7264"/>
    <w:rsid w:val="00EF03FB"/>
    <w:rsid w:val="00EF1AE4"/>
    <w:rsid w:val="00EF622B"/>
    <w:rsid w:val="00F00100"/>
    <w:rsid w:val="00F00ADF"/>
    <w:rsid w:val="00F01303"/>
    <w:rsid w:val="00F01B48"/>
    <w:rsid w:val="00F05CA0"/>
    <w:rsid w:val="00F1089C"/>
    <w:rsid w:val="00F11ABA"/>
    <w:rsid w:val="00F11DA0"/>
    <w:rsid w:val="00F16965"/>
    <w:rsid w:val="00F16A1C"/>
    <w:rsid w:val="00F21A64"/>
    <w:rsid w:val="00F22973"/>
    <w:rsid w:val="00F36BFA"/>
    <w:rsid w:val="00F37564"/>
    <w:rsid w:val="00F37FBD"/>
    <w:rsid w:val="00F42E1F"/>
    <w:rsid w:val="00F4489E"/>
    <w:rsid w:val="00F56246"/>
    <w:rsid w:val="00F577F9"/>
    <w:rsid w:val="00F64A6F"/>
    <w:rsid w:val="00F7431B"/>
    <w:rsid w:val="00F80138"/>
    <w:rsid w:val="00F82373"/>
    <w:rsid w:val="00F84145"/>
    <w:rsid w:val="00F8559F"/>
    <w:rsid w:val="00F85749"/>
    <w:rsid w:val="00F86B85"/>
    <w:rsid w:val="00F87053"/>
    <w:rsid w:val="00F96843"/>
    <w:rsid w:val="00F96C01"/>
    <w:rsid w:val="00FA38B5"/>
    <w:rsid w:val="00FA5470"/>
    <w:rsid w:val="00FA6C4F"/>
    <w:rsid w:val="00FB41CD"/>
    <w:rsid w:val="00FB5F88"/>
    <w:rsid w:val="00FB7B12"/>
    <w:rsid w:val="00FC1397"/>
    <w:rsid w:val="00FC28D1"/>
    <w:rsid w:val="00FC4882"/>
    <w:rsid w:val="00FC5AB3"/>
    <w:rsid w:val="00FC611E"/>
    <w:rsid w:val="00FD0D98"/>
    <w:rsid w:val="00FD25F9"/>
    <w:rsid w:val="00FD5981"/>
    <w:rsid w:val="00FE2A73"/>
    <w:rsid w:val="00FE7123"/>
    <w:rsid w:val="00FE7699"/>
    <w:rsid w:val="00FF0CD1"/>
    <w:rsid w:val="024D6ADB"/>
    <w:rsid w:val="029C0C03"/>
    <w:rsid w:val="03364E47"/>
    <w:rsid w:val="0643045B"/>
    <w:rsid w:val="06D25400"/>
    <w:rsid w:val="08740A28"/>
    <w:rsid w:val="09FE3626"/>
    <w:rsid w:val="0A50250C"/>
    <w:rsid w:val="0B31558D"/>
    <w:rsid w:val="0B9B0C67"/>
    <w:rsid w:val="0BF471E4"/>
    <w:rsid w:val="0CE15EDA"/>
    <w:rsid w:val="0DA519AD"/>
    <w:rsid w:val="0E4E43B0"/>
    <w:rsid w:val="0E8E5B9A"/>
    <w:rsid w:val="0F0F7410"/>
    <w:rsid w:val="10A04AA1"/>
    <w:rsid w:val="10CA4DE0"/>
    <w:rsid w:val="118C2CEF"/>
    <w:rsid w:val="13E9343B"/>
    <w:rsid w:val="142221FE"/>
    <w:rsid w:val="155226DF"/>
    <w:rsid w:val="1566114B"/>
    <w:rsid w:val="15925FFA"/>
    <w:rsid w:val="18D94972"/>
    <w:rsid w:val="1A797529"/>
    <w:rsid w:val="1B46093E"/>
    <w:rsid w:val="1C465CFB"/>
    <w:rsid w:val="1CD2405E"/>
    <w:rsid w:val="1E416184"/>
    <w:rsid w:val="213234FD"/>
    <w:rsid w:val="220D0B50"/>
    <w:rsid w:val="221737EB"/>
    <w:rsid w:val="2243422F"/>
    <w:rsid w:val="234048C2"/>
    <w:rsid w:val="23FD39CE"/>
    <w:rsid w:val="2465705A"/>
    <w:rsid w:val="25CC4E0B"/>
    <w:rsid w:val="27852F30"/>
    <w:rsid w:val="28A5388B"/>
    <w:rsid w:val="2B0F2291"/>
    <w:rsid w:val="2C6C76B1"/>
    <w:rsid w:val="2D950CDA"/>
    <w:rsid w:val="2E5F4C9A"/>
    <w:rsid w:val="30E639C1"/>
    <w:rsid w:val="31CC4FD0"/>
    <w:rsid w:val="32292030"/>
    <w:rsid w:val="32AB5C2C"/>
    <w:rsid w:val="34EB5180"/>
    <w:rsid w:val="3916311A"/>
    <w:rsid w:val="3B0D5994"/>
    <w:rsid w:val="3D3057B6"/>
    <w:rsid w:val="3D91079A"/>
    <w:rsid w:val="40E7380C"/>
    <w:rsid w:val="42247B34"/>
    <w:rsid w:val="441C1B34"/>
    <w:rsid w:val="44214DDA"/>
    <w:rsid w:val="44BB484D"/>
    <w:rsid w:val="44D94774"/>
    <w:rsid w:val="450D7389"/>
    <w:rsid w:val="455A20F8"/>
    <w:rsid w:val="48ED4BE0"/>
    <w:rsid w:val="48F40125"/>
    <w:rsid w:val="4CE41A5E"/>
    <w:rsid w:val="510E010C"/>
    <w:rsid w:val="51CF186F"/>
    <w:rsid w:val="530705CC"/>
    <w:rsid w:val="53BB0A0C"/>
    <w:rsid w:val="55D51F1F"/>
    <w:rsid w:val="55E84C56"/>
    <w:rsid w:val="560D3F13"/>
    <w:rsid w:val="56FF3733"/>
    <w:rsid w:val="595B4FD9"/>
    <w:rsid w:val="5A9535DE"/>
    <w:rsid w:val="5A9E1158"/>
    <w:rsid w:val="5B2448BD"/>
    <w:rsid w:val="5B6B6EB0"/>
    <w:rsid w:val="5DEE5830"/>
    <w:rsid w:val="5F2E45EA"/>
    <w:rsid w:val="61DE3E03"/>
    <w:rsid w:val="61EC7CAA"/>
    <w:rsid w:val="625D57CC"/>
    <w:rsid w:val="63205E79"/>
    <w:rsid w:val="63515090"/>
    <w:rsid w:val="64850295"/>
    <w:rsid w:val="65E77E1D"/>
    <w:rsid w:val="67BF3793"/>
    <w:rsid w:val="69DA5804"/>
    <w:rsid w:val="6AED08F1"/>
    <w:rsid w:val="6CF853D3"/>
    <w:rsid w:val="6E3D1A5B"/>
    <w:rsid w:val="6E6361A2"/>
    <w:rsid w:val="6EA92E22"/>
    <w:rsid w:val="6FD34136"/>
    <w:rsid w:val="713362E1"/>
    <w:rsid w:val="71AD3AE2"/>
    <w:rsid w:val="728D1EFE"/>
    <w:rsid w:val="72E6526E"/>
    <w:rsid w:val="73666099"/>
    <w:rsid w:val="752B2BF5"/>
    <w:rsid w:val="76AD69A8"/>
    <w:rsid w:val="774365C2"/>
    <w:rsid w:val="7978155B"/>
    <w:rsid w:val="79A723CD"/>
    <w:rsid w:val="7B9421F4"/>
    <w:rsid w:val="7C493263"/>
    <w:rsid w:val="7D8D2CB1"/>
    <w:rsid w:val="7DEC1D3C"/>
    <w:rsid w:val="7E7571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rules v:ext="edit">
        <o:r id="V:Rule10" type="connector" idref="#自选图形 4"/>
        <o:r id="V:Rule11" type="connector" idref="#自选图形 6"/>
        <o:r id="V:Rule12" type="connector" idref="#自选图形 5"/>
        <o:r id="V:Rule13" type="connector" idref="#自选图形 14"/>
        <o:r id="V:Rule14" type="connector" idref="#自选图形 11"/>
        <o:r id="V:Rule15" type="connector" idref="#自选图形 8"/>
        <o:r id="V:Rule16" type="connector" idref="#自选图形 10"/>
        <o:r id="V:Rule17" type="connector" idref="#自选图形 19"/>
        <o:r id="V:Rule18" type="connector" idref="#自选图形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annotation text" w:uiPriority="0" w:unhideWhenUsed="0" w:qFormat="1"/>
    <w:lsdException w:name="header" w:semiHidden="0" w:qFormat="1"/>
    <w:lsdException w:name="footer" w:semiHidden="0" w:qFormat="1"/>
    <w:lsdException w:name="caption" w:semiHidden="0" w:uiPriority="0" w:unhideWhenUsed="0" w:qFormat="1"/>
    <w:lsdException w:name="footnote reference" w:semiHidden="0" w:qFormat="1"/>
    <w:lsdException w:name="annotation reference" w:uiPriority="0" w:unhideWhenUsed="0" w:qFormat="1"/>
    <w:lsdException w:name="page number" w:semiHidden="0" w:uiPriority="0" w:unhideWhenUsed="0" w:qFormat="1"/>
    <w:lsdException w:name="endnote text" w:semiHidden="0" w:uiPriority="0" w:unhideWhenUsed="0"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Date" w:semiHidden="0"/>
    <w:lsdException w:name="Hyperlink" w:semiHidden="0" w:unhideWhenUsed="0" w:qFormat="1"/>
    <w:lsdException w:name="Strong" w:semiHidden="0" w:uiPriority="22" w:unhideWhenUsed="0" w:qFormat="1"/>
    <w:lsdException w:name="Emphasis" w:semiHidden="0" w:uiPriority="20" w:unhideWhenUsed="0" w:qFormat="1"/>
    <w:lsdException w:name="Normal Table" w:qFormat="1"/>
    <w:lsdException w:name="annotation subject" w:uiPriority="0" w:unhideWhenUsed="0" w:qFormat="1"/>
    <w:lsdException w:name="Balloon Text" w:uiPriority="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7F7"/>
    <w:pPr>
      <w:widowControl w:val="0"/>
      <w:spacing w:line="300" w:lineRule="auto"/>
      <w:ind w:firstLineChars="200" w:firstLine="200"/>
      <w:jc w:val="both"/>
    </w:pPr>
    <w:rPr>
      <w:sz w:val="21"/>
      <w:szCs w:val="22"/>
    </w:rPr>
  </w:style>
  <w:style w:type="paragraph" w:styleId="1">
    <w:name w:val="heading 1"/>
    <w:basedOn w:val="a"/>
    <w:next w:val="a"/>
    <w:link w:val="1Char"/>
    <w:uiPriority w:val="9"/>
    <w:qFormat/>
    <w:rsid w:val="00C057F7"/>
    <w:pPr>
      <w:keepNext/>
      <w:keepLines/>
      <w:tabs>
        <w:tab w:val="left" w:pos="0"/>
      </w:tabs>
      <w:spacing w:before="120" w:after="120" w:line="400" w:lineRule="exact"/>
      <w:ind w:firstLineChars="0" w:firstLine="0"/>
      <w:jc w:val="left"/>
      <w:outlineLvl w:val="0"/>
    </w:pPr>
    <w:rPr>
      <w:b/>
      <w:bCs/>
      <w:kern w:val="44"/>
      <w:sz w:val="30"/>
      <w:szCs w:val="44"/>
    </w:rPr>
  </w:style>
  <w:style w:type="paragraph" w:styleId="2">
    <w:name w:val="heading 2"/>
    <w:basedOn w:val="a"/>
    <w:next w:val="a"/>
    <w:link w:val="2Char"/>
    <w:qFormat/>
    <w:rsid w:val="00C057F7"/>
    <w:pPr>
      <w:keepNext/>
      <w:keepLines/>
      <w:tabs>
        <w:tab w:val="left" w:pos="992"/>
      </w:tabs>
      <w:spacing w:beforeLines="50" w:afterLines="50" w:line="415" w:lineRule="auto"/>
      <w:ind w:left="992" w:firstLineChars="0" w:hanging="567"/>
      <w:outlineLvl w:val="1"/>
    </w:pPr>
    <w:rPr>
      <w:rFonts w:ascii="Arial" w:hAnsi="Arial"/>
      <w:b/>
      <w:bCs/>
      <w:kern w:val="2"/>
      <w:sz w:val="28"/>
      <w:szCs w:val="32"/>
    </w:rPr>
  </w:style>
  <w:style w:type="paragraph" w:styleId="3">
    <w:name w:val="heading 3"/>
    <w:basedOn w:val="a"/>
    <w:next w:val="a"/>
    <w:uiPriority w:val="9"/>
    <w:qFormat/>
    <w:rsid w:val="00C057F7"/>
    <w:pPr>
      <w:keepNext/>
      <w:keepLines/>
      <w:spacing w:before="120" w:after="120" w:line="400" w:lineRule="exact"/>
      <w:ind w:firstLineChars="0" w:firstLine="0"/>
      <w:jc w:val="left"/>
      <w:outlineLvl w:val="2"/>
    </w:pPr>
    <w:rPr>
      <w:b/>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C057F7"/>
    <w:rPr>
      <w:rFonts w:ascii="Arial" w:eastAsia="黑体" w:hAnsi="Arial" w:cs="Arial"/>
      <w:sz w:val="20"/>
      <w:szCs w:val="20"/>
    </w:rPr>
  </w:style>
  <w:style w:type="paragraph" w:styleId="a4">
    <w:name w:val="annotation text"/>
    <w:basedOn w:val="a"/>
    <w:semiHidden/>
    <w:qFormat/>
    <w:rsid w:val="00C057F7"/>
    <w:pPr>
      <w:jc w:val="left"/>
    </w:pPr>
  </w:style>
  <w:style w:type="paragraph" w:styleId="a5">
    <w:name w:val="Body Text"/>
    <w:basedOn w:val="a"/>
    <w:uiPriority w:val="1"/>
    <w:qFormat/>
    <w:rsid w:val="00C057F7"/>
    <w:rPr>
      <w:rFonts w:ascii="宋体" w:hAnsi="宋体" w:cs="宋体"/>
      <w:sz w:val="24"/>
      <w:szCs w:val="24"/>
      <w:lang w:eastAsia="en-US" w:bidi="en-US"/>
    </w:rPr>
  </w:style>
  <w:style w:type="paragraph" w:styleId="30">
    <w:name w:val="toc 3"/>
    <w:basedOn w:val="a"/>
    <w:next w:val="a"/>
    <w:uiPriority w:val="39"/>
    <w:unhideWhenUsed/>
    <w:qFormat/>
    <w:rsid w:val="00C057F7"/>
    <w:pPr>
      <w:ind w:leftChars="400" w:left="840"/>
    </w:pPr>
  </w:style>
  <w:style w:type="paragraph" w:styleId="a6">
    <w:name w:val="Date"/>
    <w:basedOn w:val="a"/>
    <w:next w:val="a"/>
    <w:link w:val="Char"/>
    <w:uiPriority w:val="99"/>
    <w:unhideWhenUsed/>
    <w:rsid w:val="00C057F7"/>
    <w:pPr>
      <w:ind w:leftChars="2500" w:left="100"/>
    </w:pPr>
    <w:rPr>
      <w:rFonts w:ascii="Tahoma" w:hAnsi="Tahoma"/>
      <w:sz w:val="22"/>
    </w:rPr>
  </w:style>
  <w:style w:type="paragraph" w:styleId="a7">
    <w:name w:val="endnote text"/>
    <w:basedOn w:val="a"/>
    <w:link w:val="Char0"/>
    <w:qFormat/>
    <w:rsid w:val="00C057F7"/>
    <w:pPr>
      <w:ind w:firstLine="960"/>
    </w:pPr>
    <w:rPr>
      <w:kern w:val="2"/>
      <w:szCs w:val="24"/>
    </w:rPr>
  </w:style>
  <w:style w:type="paragraph" w:styleId="a8">
    <w:name w:val="Balloon Text"/>
    <w:basedOn w:val="a"/>
    <w:semiHidden/>
    <w:qFormat/>
    <w:rsid w:val="00C057F7"/>
    <w:rPr>
      <w:sz w:val="18"/>
      <w:szCs w:val="18"/>
    </w:rPr>
  </w:style>
  <w:style w:type="paragraph" w:styleId="a9">
    <w:name w:val="footer"/>
    <w:basedOn w:val="a"/>
    <w:link w:val="Char1"/>
    <w:uiPriority w:val="99"/>
    <w:unhideWhenUsed/>
    <w:qFormat/>
    <w:rsid w:val="00C057F7"/>
    <w:pPr>
      <w:tabs>
        <w:tab w:val="center" w:pos="4153"/>
        <w:tab w:val="right" w:pos="8306"/>
      </w:tabs>
    </w:pPr>
    <w:rPr>
      <w:rFonts w:ascii="Tahoma" w:hAnsi="Tahoma"/>
      <w:sz w:val="18"/>
      <w:szCs w:val="18"/>
    </w:rPr>
  </w:style>
  <w:style w:type="paragraph" w:styleId="aa">
    <w:name w:val="header"/>
    <w:basedOn w:val="a"/>
    <w:link w:val="Char2"/>
    <w:uiPriority w:val="99"/>
    <w:unhideWhenUsed/>
    <w:qFormat/>
    <w:rsid w:val="00C057F7"/>
    <w:pPr>
      <w:pBdr>
        <w:bottom w:val="single" w:sz="6" w:space="1" w:color="auto"/>
      </w:pBdr>
      <w:tabs>
        <w:tab w:val="center" w:pos="4153"/>
        <w:tab w:val="right" w:pos="8306"/>
      </w:tabs>
      <w:jc w:val="center"/>
    </w:pPr>
    <w:rPr>
      <w:rFonts w:ascii="Tahoma" w:hAnsi="Tahoma"/>
      <w:sz w:val="18"/>
      <w:szCs w:val="18"/>
    </w:rPr>
  </w:style>
  <w:style w:type="paragraph" w:styleId="10">
    <w:name w:val="toc 1"/>
    <w:basedOn w:val="a"/>
    <w:next w:val="a"/>
    <w:uiPriority w:val="39"/>
    <w:qFormat/>
    <w:rsid w:val="00C057F7"/>
    <w:pPr>
      <w:tabs>
        <w:tab w:val="right" w:leader="dot" w:pos="8834"/>
      </w:tabs>
      <w:spacing w:before="120" w:after="120"/>
      <w:ind w:firstLineChars="0" w:firstLine="0"/>
    </w:pPr>
    <w:rPr>
      <w:rFonts w:ascii="宋体" w:hAnsi="宋体"/>
      <w:bCs/>
      <w:caps/>
      <w:kern w:val="2"/>
      <w:szCs w:val="24"/>
    </w:rPr>
  </w:style>
  <w:style w:type="paragraph" w:styleId="ab">
    <w:name w:val="footnote text"/>
    <w:basedOn w:val="a"/>
    <w:link w:val="Char3"/>
    <w:uiPriority w:val="99"/>
    <w:unhideWhenUsed/>
    <w:qFormat/>
    <w:rsid w:val="00C057F7"/>
    <w:rPr>
      <w:kern w:val="2"/>
      <w:sz w:val="18"/>
      <w:szCs w:val="18"/>
    </w:rPr>
  </w:style>
  <w:style w:type="paragraph" w:styleId="20">
    <w:name w:val="toc 2"/>
    <w:basedOn w:val="a"/>
    <w:next w:val="a"/>
    <w:uiPriority w:val="39"/>
    <w:qFormat/>
    <w:rsid w:val="00C057F7"/>
    <w:pPr>
      <w:tabs>
        <w:tab w:val="left" w:leader="dot" w:pos="360"/>
        <w:tab w:val="right" w:leader="dot" w:pos="8834"/>
      </w:tabs>
      <w:ind w:firstLineChars="0" w:firstLine="0"/>
      <w:jc w:val="left"/>
    </w:pPr>
    <w:rPr>
      <w:rFonts w:ascii="Calibri" w:hAnsi="Calibri"/>
    </w:rPr>
  </w:style>
  <w:style w:type="paragraph" w:styleId="ac">
    <w:name w:val="annotation subject"/>
    <w:basedOn w:val="a4"/>
    <w:next w:val="a4"/>
    <w:semiHidden/>
    <w:qFormat/>
    <w:rsid w:val="00C057F7"/>
    <w:rPr>
      <w:b/>
      <w:bCs/>
    </w:rPr>
  </w:style>
  <w:style w:type="table" w:styleId="ad">
    <w:name w:val="Table Grid"/>
    <w:basedOn w:val="a1"/>
    <w:uiPriority w:val="59"/>
    <w:qFormat/>
    <w:rsid w:val="00C057F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age number"/>
    <w:basedOn w:val="a0"/>
    <w:qFormat/>
    <w:rsid w:val="00C057F7"/>
  </w:style>
  <w:style w:type="character" w:styleId="af">
    <w:name w:val="Hyperlink"/>
    <w:uiPriority w:val="99"/>
    <w:qFormat/>
    <w:rsid w:val="00C057F7"/>
    <w:rPr>
      <w:color w:val="0000FF"/>
      <w:u w:val="single"/>
    </w:rPr>
  </w:style>
  <w:style w:type="character" w:styleId="af0">
    <w:name w:val="annotation reference"/>
    <w:semiHidden/>
    <w:qFormat/>
    <w:rsid w:val="00C057F7"/>
    <w:rPr>
      <w:sz w:val="21"/>
      <w:szCs w:val="21"/>
    </w:rPr>
  </w:style>
  <w:style w:type="character" w:styleId="af1">
    <w:name w:val="footnote reference"/>
    <w:uiPriority w:val="99"/>
    <w:unhideWhenUsed/>
    <w:qFormat/>
    <w:rsid w:val="00C057F7"/>
    <w:rPr>
      <w:vertAlign w:val="superscript"/>
    </w:rPr>
  </w:style>
  <w:style w:type="character" w:customStyle="1" w:styleId="1Char">
    <w:name w:val="标题 1 Char"/>
    <w:link w:val="1"/>
    <w:uiPriority w:val="9"/>
    <w:qFormat/>
    <w:rsid w:val="00C057F7"/>
    <w:rPr>
      <w:b/>
      <w:bCs/>
      <w:kern w:val="44"/>
      <w:sz w:val="30"/>
      <w:szCs w:val="44"/>
    </w:rPr>
  </w:style>
  <w:style w:type="character" w:customStyle="1" w:styleId="Char0">
    <w:name w:val="尾注文本 Char"/>
    <w:link w:val="a7"/>
    <w:qFormat/>
    <w:rsid w:val="00C057F7"/>
    <w:rPr>
      <w:rFonts w:ascii="Times New Roman" w:eastAsia="宋体" w:hAnsi="Times New Roman"/>
      <w:kern w:val="2"/>
      <w:sz w:val="21"/>
      <w:szCs w:val="24"/>
    </w:rPr>
  </w:style>
  <w:style w:type="character" w:customStyle="1" w:styleId="Char">
    <w:name w:val="日期 Char"/>
    <w:link w:val="a6"/>
    <w:uiPriority w:val="99"/>
    <w:semiHidden/>
    <w:qFormat/>
    <w:rsid w:val="00C057F7"/>
    <w:rPr>
      <w:rFonts w:ascii="Tahoma" w:hAnsi="Tahoma"/>
      <w:sz w:val="22"/>
      <w:szCs w:val="22"/>
    </w:rPr>
  </w:style>
  <w:style w:type="character" w:customStyle="1" w:styleId="Char1">
    <w:name w:val="页脚 Char"/>
    <w:link w:val="a9"/>
    <w:uiPriority w:val="99"/>
    <w:qFormat/>
    <w:rsid w:val="00C057F7"/>
    <w:rPr>
      <w:rFonts w:ascii="Tahoma" w:hAnsi="Tahoma"/>
      <w:sz w:val="18"/>
      <w:szCs w:val="18"/>
    </w:rPr>
  </w:style>
  <w:style w:type="character" w:customStyle="1" w:styleId="Char2">
    <w:name w:val="页眉 Char"/>
    <w:link w:val="aa"/>
    <w:uiPriority w:val="99"/>
    <w:semiHidden/>
    <w:qFormat/>
    <w:rsid w:val="00C057F7"/>
    <w:rPr>
      <w:rFonts w:ascii="Tahoma" w:hAnsi="Tahoma"/>
      <w:sz w:val="18"/>
      <w:szCs w:val="18"/>
    </w:rPr>
  </w:style>
  <w:style w:type="character" w:customStyle="1" w:styleId="Char3">
    <w:name w:val="脚注文本 Char"/>
    <w:link w:val="ab"/>
    <w:uiPriority w:val="99"/>
    <w:semiHidden/>
    <w:qFormat/>
    <w:rsid w:val="00C057F7"/>
    <w:rPr>
      <w:rFonts w:ascii="Times New Roman" w:eastAsia="宋体" w:hAnsi="Times New Roman"/>
      <w:kern w:val="2"/>
      <w:sz w:val="18"/>
      <w:szCs w:val="18"/>
    </w:rPr>
  </w:style>
  <w:style w:type="character" w:customStyle="1" w:styleId="2Char">
    <w:name w:val="标题 2 Char"/>
    <w:link w:val="2"/>
    <w:rsid w:val="00C057F7"/>
    <w:rPr>
      <w:rFonts w:ascii="Arial" w:hAnsi="Arial"/>
      <w:b/>
      <w:bCs/>
      <w:kern w:val="2"/>
      <w:sz w:val="28"/>
      <w:szCs w:val="32"/>
    </w:rPr>
  </w:style>
  <w:style w:type="character" w:customStyle="1" w:styleId="font01">
    <w:name w:val="font01"/>
    <w:qFormat/>
    <w:rsid w:val="00C057F7"/>
    <w:rPr>
      <w:rFonts w:ascii="font-weight : 400" w:eastAsia="font-weight : 400" w:hAnsi="font-weight : 400" w:cs="font-weight : 400" w:hint="default"/>
      <w:color w:val="000000"/>
      <w:sz w:val="22"/>
      <w:szCs w:val="22"/>
      <w:u w:val="none"/>
    </w:rPr>
  </w:style>
  <w:style w:type="character" w:customStyle="1" w:styleId="font11">
    <w:name w:val="font11"/>
    <w:qFormat/>
    <w:rsid w:val="00C057F7"/>
    <w:rPr>
      <w:rFonts w:ascii="font-weight : 400" w:eastAsia="font-weight : 400" w:hAnsi="font-weight : 400" w:cs="font-weight : 400"/>
      <w:color w:val="000000"/>
      <w:sz w:val="22"/>
      <w:szCs w:val="22"/>
      <w:u w:val="none"/>
      <w:vertAlign w:val="subscript"/>
    </w:rPr>
  </w:style>
  <w:style w:type="paragraph" w:customStyle="1" w:styleId="11">
    <w:name w:val="正文1"/>
    <w:qFormat/>
    <w:rsid w:val="00C057F7"/>
    <w:pPr>
      <w:widowControl w:val="0"/>
      <w:jc w:val="both"/>
    </w:pPr>
    <w:rPr>
      <w:kern w:val="2"/>
      <w:sz w:val="21"/>
    </w:rPr>
  </w:style>
  <w:style w:type="paragraph" w:customStyle="1" w:styleId="12">
    <w:name w:val="样式1"/>
    <w:basedOn w:val="a"/>
    <w:qFormat/>
    <w:rsid w:val="00C057F7"/>
    <w:pPr>
      <w:ind w:firstLine="420"/>
      <w:jc w:val="left"/>
    </w:pPr>
    <w:rPr>
      <w:b/>
    </w:rPr>
  </w:style>
  <w:style w:type="paragraph" w:customStyle="1" w:styleId="Char4">
    <w:name w:val="Char"/>
    <w:basedOn w:val="a"/>
    <w:qFormat/>
    <w:rsid w:val="00C057F7"/>
    <w:pPr>
      <w:spacing w:line="240" w:lineRule="auto"/>
      <w:ind w:firstLineChars="0" w:firstLine="0"/>
    </w:pPr>
    <w:rPr>
      <w:kern w:val="2"/>
      <w:szCs w:val="24"/>
    </w:rPr>
  </w:style>
  <w:style w:type="character" w:customStyle="1" w:styleId="chsp4">
    <w:name w:val="ch_sp4"/>
    <w:basedOn w:val="a0"/>
    <w:qFormat/>
    <w:rsid w:val="00C057F7"/>
  </w:style>
  <w:style w:type="character" w:customStyle="1" w:styleId="chsp5">
    <w:name w:val="ch_sp5"/>
    <w:basedOn w:val="a0"/>
    <w:qFormat/>
    <w:rsid w:val="00C057F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54"/>
    <customShpInfo spid="_x0000_s1055"/>
    <customShpInfo spid="_x0000_s1056"/>
    <customShpInfo spid="_x0000_s1053"/>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57"/>
    <customShpInfo spid="_x0000_s1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1918</Words>
  <Characters>10938</Characters>
  <Application>Microsoft Office Word</Application>
  <DocSecurity>0</DocSecurity>
  <Lines>91</Lines>
  <Paragraphs>25</Paragraphs>
  <ScaleCrop>false</ScaleCrop>
  <Company>Sky123.Org</Company>
  <LinksUpToDate>false</LinksUpToDate>
  <CharactersWithSpaces>12831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xbany</cp:lastModifiedBy>
  <cp:revision>38</cp:revision>
  <cp:lastPrinted>2019-05-17T04:52:00Z</cp:lastPrinted>
  <dcterms:created xsi:type="dcterms:W3CDTF">2019-05-10T03:30:00Z</dcterms:created>
  <dcterms:modified xsi:type="dcterms:W3CDTF">2019-05-22T02:57:00Z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vt:lpwstr>6</vt:lpwstr>
  </property>
</Properties>
</file>