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jc w:val="center"/>
        <w:rPr>
          <w:rFonts w:ascii="黑体" w:hAnsi="黑体" w:eastAsia="黑体"/>
          <w:sz w:val="30"/>
          <w:szCs w:val="30"/>
        </w:rPr>
      </w:pPr>
      <w:r>
        <w:rPr>
          <w:rFonts w:hint="eastAsia" w:ascii="黑体" w:hAnsi="黑体" w:eastAsia="黑体"/>
          <w:sz w:val="30"/>
          <w:szCs w:val="30"/>
        </w:rPr>
        <w:t>实用新型专利加大审查力度下的对策</w:t>
      </w:r>
    </w:p>
    <w:p>
      <w:pPr>
        <w:ind w:firstLine="480"/>
        <w:jc w:val="center"/>
        <w:rPr>
          <w:rFonts w:ascii="楷体" w:hAnsi="楷体" w:eastAsia="楷体"/>
          <w:szCs w:val="24"/>
          <w:vertAlign w:val="superscript"/>
        </w:rPr>
      </w:pPr>
      <w:r>
        <w:rPr>
          <w:rFonts w:hint="eastAsia" w:ascii="楷体" w:hAnsi="楷体" w:eastAsia="楷体"/>
          <w:szCs w:val="24"/>
        </w:rPr>
        <w:t>李浩</w:t>
      </w:r>
      <w:r>
        <w:rPr>
          <w:rFonts w:hint="eastAsia" w:ascii="楷体" w:hAnsi="楷体" w:eastAsia="楷体"/>
          <w:szCs w:val="24"/>
          <w:vertAlign w:val="superscript"/>
        </w:rPr>
        <w:t>1</w:t>
      </w:r>
      <w:r>
        <w:rPr>
          <w:rFonts w:hint="eastAsia" w:ascii="楷体" w:hAnsi="楷体" w:eastAsia="楷体"/>
          <w:szCs w:val="24"/>
        </w:rPr>
        <w:t>，李方溪</w:t>
      </w:r>
      <w:r>
        <w:rPr>
          <w:rFonts w:hint="eastAsia" w:ascii="楷体" w:hAnsi="楷体" w:eastAsia="楷体"/>
          <w:szCs w:val="24"/>
          <w:vertAlign w:val="superscript"/>
        </w:rPr>
        <w:t>1</w:t>
      </w:r>
      <w:r>
        <w:rPr>
          <w:rFonts w:hint="eastAsia" w:ascii="楷体" w:hAnsi="楷体" w:eastAsia="楷体"/>
          <w:szCs w:val="24"/>
        </w:rPr>
        <w:t>，王照峰</w:t>
      </w:r>
      <w:r>
        <w:rPr>
          <w:rFonts w:hint="eastAsia" w:ascii="楷体" w:hAnsi="楷体" w:eastAsia="楷体"/>
          <w:szCs w:val="24"/>
          <w:vertAlign w:val="superscript"/>
        </w:rPr>
        <w:t>1</w:t>
      </w:r>
      <w:r>
        <w:rPr>
          <w:rFonts w:hint="eastAsia" w:ascii="楷体" w:hAnsi="楷体" w:eastAsia="楷体"/>
          <w:szCs w:val="24"/>
        </w:rPr>
        <w:t>，王魁</w:t>
      </w:r>
      <w:r>
        <w:rPr>
          <w:rFonts w:hint="eastAsia" w:ascii="楷体" w:hAnsi="楷体" w:eastAsia="楷体"/>
          <w:szCs w:val="24"/>
          <w:vertAlign w:val="superscript"/>
        </w:rPr>
        <w:t>1</w:t>
      </w:r>
    </w:p>
    <w:p>
      <w:pPr>
        <w:ind w:firstLine="480"/>
        <w:jc w:val="center"/>
        <w:rPr>
          <w:rFonts w:ascii="楷体" w:hAnsi="楷体" w:eastAsia="楷体"/>
          <w:szCs w:val="24"/>
        </w:rPr>
      </w:pPr>
      <w:r>
        <w:rPr>
          <w:rFonts w:hint="eastAsia" w:ascii="楷体" w:hAnsi="楷体" w:eastAsia="楷体"/>
          <w:szCs w:val="24"/>
          <w:vertAlign w:val="superscript"/>
        </w:rPr>
        <w:t>1</w:t>
      </w:r>
      <w:r>
        <w:rPr>
          <w:rFonts w:hint="eastAsia" w:ascii="楷体" w:hAnsi="楷体" w:eastAsia="楷体"/>
          <w:szCs w:val="24"/>
        </w:rPr>
        <w:t>（中国人民解放军火箭军工程大学，陕西西安710025）</w:t>
      </w:r>
    </w:p>
    <w:p>
      <w:pPr>
        <w:ind w:left="480" w:leftChars="200" w:firstLine="0" w:firstLineChars="0"/>
        <w:rPr>
          <w:rFonts w:hint="eastAsia" w:ascii="楷体" w:hAnsi="楷体" w:eastAsia="楷体"/>
          <w:color w:val="676767"/>
          <w:sz w:val="21"/>
          <w:szCs w:val="21"/>
        </w:rPr>
      </w:pPr>
      <w:r>
        <w:rPr>
          <w:rFonts w:hint="eastAsia" w:ascii="楷体" w:hAnsi="楷体" w:eastAsia="楷体"/>
          <w:color w:val="676767"/>
          <w:sz w:val="21"/>
          <w:szCs w:val="21"/>
        </w:rPr>
        <w:t>摘要：实施国家知识产权战略，是建设创新型国家的迫切需要，是转变经济发展方式的必由之路，也是提高国家核心竞争力的关键举措。当前我国正由专利大国向专利强国转变，提高专利质量是急需解决的问题，而实用新型</w:t>
      </w:r>
      <w:r>
        <w:rPr>
          <w:rFonts w:hint="eastAsia" w:ascii="楷体" w:hAnsi="楷体" w:eastAsia="楷体"/>
          <w:color w:val="676767"/>
          <w:sz w:val="21"/>
          <w:szCs w:val="21"/>
          <w:vertAlign w:val="superscript"/>
          <w:lang w:eastAsia="zh-CN"/>
        </w:rPr>
        <w:t>【</w:t>
      </w:r>
      <w:r>
        <w:rPr>
          <w:rFonts w:hint="eastAsia" w:ascii="楷体" w:hAnsi="楷体" w:eastAsia="楷体"/>
          <w:color w:val="676767"/>
          <w:sz w:val="21"/>
          <w:szCs w:val="21"/>
          <w:vertAlign w:val="superscript"/>
          <w:lang w:val="en-US" w:eastAsia="zh-CN"/>
        </w:rPr>
        <w:t>1</w:t>
      </w:r>
      <w:r>
        <w:rPr>
          <w:rFonts w:hint="eastAsia" w:ascii="楷体" w:hAnsi="楷体" w:eastAsia="楷体"/>
          <w:color w:val="676767"/>
          <w:sz w:val="21"/>
          <w:szCs w:val="21"/>
          <w:vertAlign w:val="superscript"/>
          <w:lang w:eastAsia="zh-CN"/>
        </w:rPr>
        <w:t>】</w:t>
      </w:r>
      <w:r>
        <w:rPr>
          <w:rFonts w:hint="eastAsia" w:ascii="楷体" w:hAnsi="楷体" w:eastAsia="楷体"/>
          <w:color w:val="676767"/>
          <w:sz w:val="21"/>
          <w:szCs w:val="21"/>
        </w:rPr>
        <w:t>作为我国专利体系的重要组成部分，发挥着不可替代的作用，然而，现今我国的实用新型专利申请存在很多问题，</w:t>
      </w:r>
      <w:r>
        <w:rPr>
          <w:rFonts w:hint="eastAsia" w:ascii="楷体" w:hAnsi="楷体" w:eastAsia="楷体"/>
          <w:color w:val="676767"/>
          <w:sz w:val="21"/>
          <w:szCs w:val="21"/>
          <w:lang w:eastAsia="zh-CN"/>
        </w:rPr>
        <w:t>国家知识产权局也逐步加大了实用新型审查力度，审查周期变为了</w:t>
      </w:r>
      <w:r>
        <w:rPr>
          <w:rFonts w:hint="eastAsia" w:ascii="楷体" w:hAnsi="楷体" w:eastAsia="楷体"/>
          <w:color w:val="676767"/>
          <w:sz w:val="21"/>
          <w:szCs w:val="21"/>
          <w:lang w:val="en-US" w:eastAsia="zh-CN"/>
        </w:rPr>
        <w:t>7-14个月，基于此，</w:t>
      </w:r>
      <w:r>
        <w:rPr>
          <w:rFonts w:hint="eastAsia" w:ascii="楷体" w:hAnsi="楷体" w:eastAsia="楷体"/>
          <w:color w:val="676767"/>
          <w:sz w:val="21"/>
          <w:szCs w:val="21"/>
        </w:rPr>
        <w:t xml:space="preserve">只有理清专利申请本质、充分的检索、合适的布局、 </w:t>
      </w:r>
      <w:r>
        <w:rPr>
          <w:rFonts w:hint="eastAsia" w:ascii="楷体" w:hAnsi="楷体" w:eastAsia="楷体"/>
          <w:color w:val="676767"/>
          <w:sz w:val="21"/>
          <w:szCs w:val="21"/>
          <w:lang w:eastAsia="zh-CN"/>
        </w:rPr>
        <w:t>规范的撰写</w:t>
      </w:r>
      <w:r>
        <w:rPr>
          <w:rFonts w:hint="eastAsia" w:ascii="楷体" w:hAnsi="楷体" w:eastAsia="楷体"/>
          <w:color w:val="676767"/>
          <w:sz w:val="21"/>
          <w:szCs w:val="21"/>
        </w:rPr>
        <w:t>才能保证实用新型专利的授权率。</w:t>
      </w:r>
    </w:p>
    <w:p>
      <w:pPr>
        <w:ind w:firstLine="420"/>
        <w:rPr>
          <w:rFonts w:hint="eastAsia" w:ascii="楷体" w:hAnsi="楷体" w:eastAsia="楷体"/>
          <w:sz w:val="21"/>
          <w:szCs w:val="21"/>
        </w:rPr>
      </w:pPr>
      <w:r>
        <w:rPr>
          <w:rFonts w:hint="eastAsia" w:ascii="楷体" w:hAnsi="楷体" w:eastAsia="楷体"/>
          <w:color w:val="676767"/>
          <w:sz w:val="21"/>
          <w:szCs w:val="21"/>
        </w:rPr>
        <w:t>关键词：实用新型 专利 授权</w:t>
      </w:r>
    </w:p>
    <w:p>
      <w:pPr>
        <w:ind w:firstLine="420"/>
        <w:rPr>
          <w:rFonts w:asciiTheme="minorEastAsia" w:hAnsiTheme="minorEastAsia"/>
          <w:sz w:val="21"/>
          <w:szCs w:val="21"/>
        </w:rPr>
      </w:pPr>
      <w:r>
        <w:rPr>
          <w:rFonts w:hint="eastAsia" w:asciiTheme="minorEastAsia" w:hAnsiTheme="minorEastAsia"/>
          <w:sz w:val="21"/>
          <w:szCs w:val="21"/>
        </w:rPr>
        <w:t>2018年我国实用新型申请量为207余万件，我国正处于专利大国向专利强国转变的过程中，实用新型专利作为我国专利体系的重要组成部分，通常被称为“微创新”，目前对实用新型专利的审查主要集中在新颖性和实用性上，而对创造性的要求并不高，由于未经实审，导致了实用新型的高授权率，甚至有人怀疑其存在的价值</w:t>
      </w:r>
      <w:r>
        <w:rPr>
          <w:rFonts w:hint="eastAsia" w:asciiTheme="minorEastAsia" w:hAnsiTheme="minorEastAsia"/>
          <w:sz w:val="21"/>
          <w:szCs w:val="21"/>
          <w:vertAlign w:val="superscript"/>
          <w:lang w:eastAsia="zh-CN"/>
        </w:rPr>
        <w:t>【</w:t>
      </w:r>
      <w:r>
        <w:rPr>
          <w:rFonts w:hint="eastAsia" w:asciiTheme="minorEastAsia" w:hAnsiTheme="minorEastAsia"/>
          <w:sz w:val="21"/>
          <w:szCs w:val="21"/>
          <w:vertAlign w:val="superscript"/>
          <w:lang w:val="en-US" w:eastAsia="zh-CN"/>
        </w:rPr>
        <w:t>2</w:t>
      </w:r>
      <w:r>
        <w:rPr>
          <w:rFonts w:hint="eastAsia" w:asciiTheme="minorEastAsia" w:hAnsiTheme="minorEastAsia"/>
          <w:sz w:val="21"/>
          <w:szCs w:val="21"/>
          <w:vertAlign w:val="superscript"/>
          <w:lang w:eastAsia="zh-CN"/>
        </w:rPr>
        <w:t>】</w:t>
      </w:r>
      <w:r>
        <w:rPr>
          <w:rFonts w:hint="eastAsia" w:asciiTheme="minorEastAsia" w:hAnsiTheme="minorEastAsia"/>
          <w:sz w:val="21"/>
          <w:szCs w:val="21"/>
        </w:rPr>
        <w:t>，其实质运行制度本身国家是有战略考量的，但如今市场的发展已背离政策导向，并没有形成国家希望的那种实用新型价值，体现更多的是一些重组价值，出现很多低质量专利。</w:t>
      </w:r>
    </w:p>
    <w:p>
      <w:pPr>
        <w:ind w:firstLine="420"/>
        <w:rPr>
          <w:rFonts w:asciiTheme="minorEastAsia" w:hAnsiTheme="minorEastAsia"/>
          <w:sz w:val="21"/>
          <w:szCs w:val="21"/>
        </w:rPr>
      </w:pPr>
      <w:r>
        <w:rPr>
          <w:rFonts w:asciiTheme="minorEastAsia" w:hAnsiTheme="minorEastAsia"/>
          <w:sz w:val="21"/>
          <w:szCs w:val="21"/>
        </w:rPr>
        <w:drawing>
          <wp:inline distT="0" distB="0" distL="0" distR="0">
            <wp:extent cx="4548505" cy="2758440"/>
            <wp:effectExtent l="0" t="0" r="4445" b="38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jc w:val="center"/>
        <w:rPr>
          <w:rFonts w:asciiTheme="minorEastAsia" w:hAnsiTheme="minorEastAsia"/>
          <w:sz w:val="21"/>
          <w:szCs w:val="21"/>
        </w:rPr>
      </w:pPr>
      <w:r>
        <w:rPr>
          <w:rFonts w:hint="eastAsia" w:asciiTheme="minorEastAsia" w:hAnsiTheme="minorEastAsia"/>
          <w:sz w:val="21"/>
          <w:szCs w:val="21"/>
        </w:rPr>
        <w:t>图1  2015年~2018年我国实用新型专利申请及授权情况</w:t>
      </w:r>
    </w:p>
    <w:p>
      <w:pPr>
        <w:ind w:firstLine="420"/>
        <w:rPr>
          <w:rFonts w:asciiTheme="minorEastAsia" w:hAnsiTheme="minorEastAsia"/>
          <w:sz w:val="21"/>
          <w:szCs w:val="21"/>
        </w:rPr>
      </w:pPr>
      <w:r>
        <w:rPr>
          <w:rFonts w:hint="eastAsia" w:asciiTheme="minorEastAsia" w:hAnsiTheme="minorEastAsia"/>
          <w:sz w:val="21"/>
          <w:szCs w:val="21"/>
        </w:rPr>
        <w:t>以日本为例</w:t>
      </w:r>
      <w:r>
        <w:rPr>
          <w:rFonts w:hint="eastAsia" w:asciiTheme="minorEastAsia" w:hAnsiTheme="minorEastAsia"/>
          <w:sz w:val="21"/>
          <w:szCs w:val="21"/>
          <w:vertAlign w:val="superscript"/>
          <w:lang w:eastAsia="zh-CN"/>
        </w:rPr>
        <w:t>【</w:t>
      </w:r>
      <w:r>
        <w:rPr>
          <w:rFonts w:hint="eastAsia" w:asciiTheme="minorEastAsia" w:hAnsiTheme="minorEastAsia"/>
          <w:sz w:val="21"/>
          <w:szCs w:val="21"/>
          <w:vertAlign w:val="superscript"/>
          <w:lang w:val="en-US" w:eastAsia="zh-CN"/>
        </w:rPr>
        <w:t>3</w:t>
      </w:r>
      <w:r>
        <w:rPr>
          <w:rFonts w:hint="eastAsia" w:asciiTheme="minorEastAsia" w:hAnsiTheme="minorEastAsia"/>
          <w:sz w:val="21"/>
          <w:szCs w:val="21"/>
          <w:vertAlign w:val="superscript"/>
          <w:lang w:eastAsia="zh-CN"/>
        </w:rPr>
        <w:t>】</w:t>
      </w:r>
      <w:r>
        <w:rPr>
          <w:rFonts w:hint="eastAsia" w:asciiTheme="minorEastAsia" w:hAnsiTheme="minorEastAsia"/>
          <w:sz w:val="21"/>
          <w:szCs w:val="21"/>
        </w:rPr>
        <w:t>，上世纪70年代，日本在与美国的竞争中，美国都是基础发明、标准专利。日本可以说是跟随者或后来者，他发现在与美国竞争中争不过美国专利，这时引入了实用新型，去做一些外围专利包围：比如说美国人发明了一个杯子（以前没有杯子），所有卖杯子的都会被美国公司监控。你想卖必须获得美国的授权和许可，日本人想卖杯子时发现不行，而此时它在杯子上加上杯把，在杯子上加上杯套，把杯子形状改变，如此做一些外围专利，此时美国人若想卖一个带把儿的杯子，便会发现侵犯了日本公司专利权。这个时候日本就通过很小的投入换取了和美国公司谈判的机会。日本就通过这样一个逻辑，取得了和美国公司竞争的机会。</w:t>
      </w:r>
      <w:r>
        <w:rPr>
          <w:rFonts w:asciiTheme="minorEastAsia" w:hAnsiTheme="minorEastAsia"/>
          <w:sz w:val="21"/>
          <w:szCs w:val="21"/>
        </w:rPr>
        <w:drawing>
          <wp:inline distT="0" distB="0" distL="0" distR="0">
            <wp:extent cx="5274310" cy="3014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p>
      <w:pPr>
        <w:ind w:firstLine="420"/>
        <w:jc w:val="center"/>
        <w:rPr>
          <w:rFonts w:asciiTheme="minorEastAsia" w:hAnsiTheme="minorEastAsia"/>
          <w:sz w:val="21"/>
          <w:szCs w:val="21"/>
        </w:rPr>
      </w:pPr>
      <w:r>
        <w:rPr>
          <w:rFonts w:hint="eastAsia" w:asciiTheme="minorEastAsia" w:hAnsiTheme="minorEastAsia"/>
          <w:sz w:val="21"/>
          <w:szCs w:val="21"/>
        </w:rPr>
        <w:t>图2 日本游戏人物与欧美人物的对比</w:t>
      </w:r>
    </w:p>
    <w:p>
      <w:pPr>
        <w:ind w:firstLine="420"/>
        <w:rPr>
          <w:rFonts w:hint="eastAsia" w:asciiTheme="minorEastAsia" w:hAnsiTheme="minorEastAsia" w:eastAsiaTheme="minorEastAsia"/>
          <w:sz w:val="21"/>
          <w:szCs w:val="21"/>
          <w:lang w:val="en-US" w:eastAsia="zh-CN"/>
        </w:rPr>
      </w:pPr>
      <w:r>
        <w:rPr>
          <w:rFonts w:hint="eastAsia" w:asciiTheme="minorEastAsia" w:hAnsiTheme="minorEastAsia"/>
          <w:sz w:val="21"/>
          <w:szCs w:val="21"/>
        </w:rPr>
        <w:t>我国专利也可以围绕美国专利或日本专利做一些外围布局，换取一个交叉许可的机会。但实际上中国企业跑偏了，在一些代理机构的推动下，大量低质量专利</w:t>
      </w:r>
      <w:r>
        <w:rPr>
          <w:rFonts w:hint="eastAsia" w:asciiTheme="minorEastAsia" w:hAnsiTheme="minorEastAsia"/>
          <w:sz w:val="21"/>
          <w:szCs w:val="21"/>
          <w:lang w:eastAsia="zh-CN"/>
        </w:rPr>
        <w:t>被授权</w:t>
      </w:r>
      <w:r>
        <w:rPr>
          <w:rFonts w:hint="eastAsia" w:asciiTheme="minorEastAsia" w:hAnsiTheme="minorEastAsia"/>
          <w:sz w:val="21"/>
          <w:szCs w:val="21"/>
        </w:rPr>
        <w:t>。有以下特点的专利通常被认为是低质量专利</w:t>
      </w:r>
      <w:r>
        <w:rPr>
          <w:rFonts w:hint="eastAsia" w:asciiTheme="minorEastAsia" w:hAnsiTheme="minorEastAsia"/>
          <w:sz w:val="21"/>
          <w:szCs w:val="21"/>
          <w:vertAlign w:val="superscript"/>
          <w:lang w:eastAsia="zh-CN"/>
        </w:rPr>
        <w:t>【</w:t>
      </w:r>
      <w:r>
        <w:rPr>
          <w:rFonts w:hint="eastAsia" w:asciiTheme="minorEastAsia" w:hAnsiTheme="minorEastAsia"/>
          <w:sz w:val="21"/>
          <w:szCs w:val="21"/>
          <w:vertAlign w:val="superscript"/>
          <w:lang w:val="en-US" w:eastAsia="zh-CN"/>
        </w:rPr>
        <w:t>4</w:t>
      </w:r>
      <w:r>
        <w:rPr>
          <w:rFonts w:hint="eastAsia" w:asciiTheme="minorEastAsia" w:hAnsiTheme="minorEastAsia"/>
          <w:sz w:val="21"/>
          <w:szCs w:val="21"/>
          <w:vertAlign w:val="superscript"/>
          <w:lang w:eastAsia="zh-CN"/>
        </w:rPr>
        <w:t>】</w:t>
      </w:r>
      <w:r>
        <w:rPr>
          <w:rFonts w:hint="eastAsia" w:asciiTheme="minorEastAsia" w:hAnsiTheme="minorEastAsia"/>
          <w:sz w:val="21"/>
          <w:szCs w:val="21"/>
        </w:rPr>
        <w:t>：1、非正常申请的专利</w:t>
      </w:r>
      <w:r>
        <w:rPr>
          <w:rFonts w:hint="eastAsia" w:asciiTheme="minorEastAsia" w:hAnsiTheme="minorEastAsia"/>
          <w:sz w:val="21"/>
          <w:szCs w:val="21"/>
          <w:vertAlign w:val="superscript"/>
          <w:lang w:eastAsia="zh-CN"/>
        </w:rPr>
        <w:t>【</w:t>
      </w:r>
      <w:r>
        <w:rPr>
          <w:rFonts w:hint="eastAsia" w:asciiTheme="minorEastAsia" w:hAnsiTheme="minorEastAsia"/>
          <w:sz w:val="21"/>
          <w:szCs w:val="21"/>
          <w:vertAlign w:val="superscript"/>
          <w:lang w:val="en-US" w:eastAsia="zh-CN"/>
        </w:rPr>
        <w:t>5</w:t>
      </w:r>
      <w:r>
        <w:rPr>
          <w:rFonts w:hint="eastAsia" w:asciiTheme="minorEastAsia" w:hAnsiTheme="minorEastAsia"/>
          <w:sz w:val="21"/>
          <w:szCs w:val="21"/>
          <w:vertAlign w:val="superscript"/>
          <w:lang w:eastAsia="zh-CN"/>
        </w:rPr>
        <w:t>】</w:t>
      </w:r>
      <w:r>
        <w:rPr>
          <w:rFonts w:hint="eastAsia" w:asciiTheme="minorEastAsia" w:hAnsiTheme="minorEastAsia"/>
          <w:sz w:val="21"/>
          <w:szCs w:val="21"/>
        </w:rPr>
        <w:t>：在《关于规范专利申请行为的若干规定》中指出：同一单位或个人提交的内容明显相同的专利申请，同一单位或个人提交的内容明显抄袭现有技术或设计的申请，同一单位或个人提交的不同材料、组分、配比等简单替换或拼凑的专利申请，同一单位或个人提交的实验数据或效果明显编造的专利申请，同一单位或个人提交的利用计算机技术随机生成的图像或色彩的专利申请或帮助他人提交或专利代理机构提交上述专利的申请行为</w:t>
      </w:r>
      <w:r>
        <w:rPr>
          <w:rFonts w:hint="eastAsia" w:asciiTheme="minorEastAsia" w:hAnsiTheme="minorEastAsia"/>
          <w:sz w:val="21"/>
          <w:szCs w:val="21"/>
          <w:lang w:eastAsia="zh-CN"/>
        </w:rPr>
        <w:t>，其数据主要来源于审查部的低质量工作组。</w:t>
      </w:r>
      <w:r>
        <w:rPr>
          <w:rFonts w:hint="eastAsia" w:asciiTheme="minorEastAsia" w:hAnsiTheme="minorEastAsia"/>
          <w:sz w:val="21"/>
          <w:szCs w:val="21"/>
        </w:rPr>
        <w:t>2、申请主体名称为生活领域中常见的物品且无实质性改变</w:t>
      </w:r>
      <w:r>
        <w:rPr>
          <w:rFonts w:hint="eastAsia" w:asciiTheme="minorEastAsia" w:hAnsiTheme="minorEastAsia"/>
          <w:sz w:val="21"/>
          <w:szCs w:val="21"/>
          <w:lang w:eastAsia="zh-CN"/>
        </w:rPr>
        <w:t>：审查员对于生活领域一些常见物品通常会认为创新空间不高，所以对这生活领域的审查会更加严格。</w:t>
      </w:r>
      <w:r>
        <w:rPr>
          <w:rFonts w:hint="eastAsia" w:asciiTheme="minorEastAsia" w:hAnsiTheme="minorEastAsia"/>
          <w:sz w:val="21"/>
          <w:szCs w:val="21"/>
        </w:rPr>
        <w:t>3、权利要求所述的方案及其简单</w:t>
      </w:r>
      <w:r>
        <w:rPr>
          <w:rFonts w:hint="eastAsia" w:asciiTheme="minorEastAsia" w:hAnsiTheme="minorEastAsia"/>
          <w:sz w:val="21"/>
          <w:szCs w:val="21"/>
          <w:lang w:eastAsia="zh-CN"/>
        </w:rPr>
        <w:t>或保护范围过大，如独立权利要求</w:t>
      </w:r>
      <w:r>
        <w:rPr>
          <w:rFonts w:hint="eastAsia" w:asciiTheme="minorEastAsia" w:hAnsiTheme="minorEastAsia"/>
          <w:sz w:val="21"/>
          <w:szCs w:val="21"/>
          <w:lang w:val="en-US" w:eastAsia="zh-CN"/>
        </w:rPr>
        <w:t>3-5行的申请</w:t>
      </w:r>
      <w:r>
        <w:rPr>
          <w:rFonts w:hint="eastAsia" w:asciiTheme="minorEastAsia" w:hAnsiTheme="minorEastAsia"/>
          <w:sz w:val="21"/>
          <w:szCs w:val="21"/>
        </w:rPr>
        <w:t>。4、权利要求、发明内容、具体实施方式</w:t>
      </w:r>
      <w:r>
        <w:rPr>
          <w:rFonts w:hint="eastAsia" w:asciiTheme="minorEastAsia" w:hAnsiTheme="minorEastAsia"/>
          <w:sz w:val="21"/>
          <w:szCs w:val="21"/>
          <w:lang w:eastAsia="zh-CN"/>
        </w:rPr>
        <w:t>内容基本相同的——</w:t>
      </w:r>
      <w:r>
        <w:rPr>
          <w:rFonts w:hint="eastAsia" w:asciiTheme="minorEastAsia" w:hAnsiTheme="minorEastAsia"/>
          <w:sz w:val="21"/>
          <w:szCs w:val="21"/>
        </w:rPr>
        <w:t>三位一体。</w:t>
      </w:r>
      <w:r>
        <w:rPr>
          <w:rFonts w:hint="eastAsia" w:asciiTheme="minorEastAsia" w:hAnsiTheme="minorEastAsia"/>
          <w:sz w:val="21"/>
          <w:szCs w:val="21"/>
          <w:lang w:val="en-US" w:eastAsia="zh-CN"/>
        </w:rPr>
        <w:t>5</w:t>
      </w:r>
      <w:r>
        <w:rPr>
          <w:rFonts w:hint="eastAsia" w:asciiTheme="minorEastAsia" w:hAnsiTheme="minorEastAsia"/>
          <w:sz w:val="21"/>
          <w:szCs w:val="21"/>
        </w:rPr>
        <w:t>、</w:t>
      </w:r>
      <w:r>
        <w:rPr>
          <w:rFonts w:hint="eastAsia" w:asciiTheme="minorEastAsia" w:hAnsiTheme="minorEastAsia"/>
          <w:sz w:val="21"/>
          <w:szCs w:val="21"/>
          <w:lang w:eastAsia="zh-CN"/>
        </w:rPr>
        <w:t>说明书附图不符合制图规范的。</w:t>
      </w:r>
    </w:p>
    <w:p>
      <w:pPr>
        <w:ind w:firstLine="420"/>
        <w:rPr>
          <w:rFonts w:hint="eastAsia" w:asciiTheme="minorEastAsia" w:hAnsiTheme="minorEastAsia"/>
          <w:sz w:val="21"/>
          <w:szCs w:val="21"/>
        </w:rPr>
      </w:pPr>
      <w:r>
        <w:rPr>
          <w:rFonts w:hint="eastAsia" w:asciiTheme="minorEastAsia" w:hAnsiTheme="minorEastAsia"/>
          <w:sz w:val="21"/>
          <w:szCs w:val="21"/>
        </w:rPr>
        <w:t>综上所述，为了保证实用新型专利质量，我们申请</w:t>
      </w:r>
      <w:r>
        <w:rPr>
          <w:rFonts w:hint="eastAsia" w:asciiTheme="minorEastAsia" w:hAnsiTheme="minorEastAsia"/>
          <w:sz w:val="21"/>
          <w:szCs w:val="21"/>
          <w:lang w:eastAsia="zh-CN"/>
        </w:rPr>
        <w:t>实用新型</w:t>
      </w:r>
      <w:r>
        <w:rPr>
          <w:rFonts w:hint="eastAsia" w:asciiTheme="minorEastAsia" w:hAnsiTheme="minorEastAsia"/>
          <w:sz w:val="21"/>
          <w:szCs w:val="21"/>
        </w:rPr>
        <w:t>专利时需做到：1、</w:t>
      </w:r>
      <w:r>
        <w:rPr>
          <w:rFonts w:hint="eastAsia" w:asciiTheme="minorEastAsia" w:hAnsiTheme="minorEastAsia"/>
          <w:sz w:val="21"/>
          <w:szCs w:val="21"/>
          <w:lang w:eastAsia="zh-CN"/>
        </w:rPr>
        <w:t>实用新型是为了保护技术——只有杜绝了非正常申请，才能为我们的授权奠定基础。</w:t>
      </w:r>
      <w:r>
        <w:rPr>
          <w:rFonts w:hint="eastAsia" w:asciiTheme="minorEastAsia" w:hAnsiTheme="minorEastAsia"/>
          <w:sz w:val="21"/>
          <w:szCs w:val="21"/>
        </w:rPr>
        <w:t>2、充分</w:t>
      </w:r>
      <w:r>
        <w:rPr>
          <w:rFonts w:hint="eastAsia" w:asciiTheme="minorEastAsia" w:hAnsiTheme="minorEastAsia"/>
          <w:sz w:val="21"/>
          <w:szCs w:val="21"/>
          <w:lang w:eastAsia="zh-CN"/>
        </w:rPr>
        <w:t>的</w:t>
      </w:r>
      <w:r>
        <w:rPr>
          <w:rFonts w:hint="eastAsia" w:asciiTheme="minorEastAsia" w:hAnsiTheme="minorEastAsia"/>
          <w:sz w:val="21"/>
          <w:szCs w:val="21"/>
        </w:rPr>
        <w:t>检索</w:t>
      </w:r>
      <w:r>
        <w:rPr>
          <w:rFonts w:hint="eastAsia" w:asciiTheme="minorEastAsia" w:hAnsiTheme="minorEastAsia"/>
          <w:sz w:val="21"/>
          <w:szCs w:val="21"/>
          <w:lang w:eastAsia="zh-CN"/>
        </w:rPr>
        <w:t>——只有充分检索现有技术</w:t>
      </w:r>
      <w:r>
        <w:rPr>
          <w:rFonts w:hint="eastAsia" w:asciiTheme="minorEastAsia" w:hAnsiTheme="minorEastAsia"/>
          <w:sz w:val="21"/>
          <w:szCs w:val="21"/>
        </w:rPr>
        <w:t>，</w:t>
      </w:r>
      <w:r>
        <w:rPr>
          <w:rFonts w:hint="eastAsia" w:asciiTheme="minorEastAsia" w:hAnsiTheme="minorEastAsia"/>
          <w:sz w:val="21"/>
          <w:szCs w:val="21"/>
          <w:lang w:eastAsia="zh-CN"/>
        </w:rPr>
        <w:t>找出本实用新型作出的改进，基于改进来说明本</w:t>
      </w:r>
      <w:r>
        <w:rPr>
          <w:rFonts w:hint="eastAsia" w:asciiTheme="minorEastAsia" w:hAnsiTheme="minorEastAsia"/>
          <w:sz w:val="21"/>
          <w:szCs w:val="21"/>
        </w:rPr>
        <w:t>实用新型的原理与技术效果</w:t>
      </w:r>
      <w:r>
        <w:rPr>
          <w:rFonts w:hint="eastAsia" w:asciiTheme="minorEastAsia" w:hAnsiTheme="minorEastAsia"/>
          <w:sz w:val="21"/>
          <w:szCs w:val="21"/>
          <w:lang w:eastAsia="zh-CN"/>
        </w:rPr>
        <w:t>，才能让审查员找出授权的依据</w:t>
      </w:r>
      <w:r>
        <w:rPr>
          <w:rFonts w:hint="eastAsia" w:asciiTheme="minorEastAsia" w:hAnsiTheme="minorEastAsia"/>
          <w:sz w:val="21"/>
          <w:szCs w:val="21"/>
        </w:rPr>
        <w:t>。3、提高撰写质量</w:t>
      </w:r>
      <w:r>
        <w:rPr>
          <w:rFonts w:hint="eastAsia" w:asciiTheme="minorEastAsia" w:hAnsiTheme="minorEastAsia"/>
          <w:sz w:val="21"/>
          <w:szCs w:val="21"/>
          <w:lang w:eastAsia="zh-CN"/>
        </w:rPr>
        <w:t>——实用新型撰写要有层次感，发明内容应该是实施方式的上位概括，</w:t>
      </w:r>
      <w:r>
        <w:rPr>
          <w:rFonts w:hint="eastAsia" w:asciiTheme="minorEastAsia" w:hAnsiTheme="minorEastAsia"/>
          <w:sz w:val="21"/>
          <w:szCs w:val="21"/>
        </w:rPr>
        <w:t>说明书中尽量多地提供实施例，描述需要解决的技术问题</w:t>
      </w:r>
      <w:r>
        <w:rPr>
          <w:rFonts w:hint="eastAsia" w:asciiTheme="minorEastAsia" w:hAnsiTheme="minorEastAsia"/>
          <w:sz w:val="21"/>
          <w:szCs w:val="21"/>
          <w:lang w:eastAsia="zh-CN"/>
        </w:rPr>
        <w:t>等等</w:t>
      </w:r>
      <w:r>
        <w:rPr>
          <w:rFonts w:hint="eastAsia" w:asciiTheme="minorEastAsia" w:hAnsiTheme="minorEastAsia"/>
          <w:sz w:val="21"/>
          <w:szCs w:val="21"/>
        </w:rPr>
        <w:t>。</w:t>
      </w:r>
      <w:r>
        <w:rPr>
          <w:rFonts w:hint="eastAsia" w:asciiTheme="minorEastAsia" w:hAnsiTheme="minorEastAsia"/>
          <w:sz w:val="21"/>
          <w:szCs w:val="21"/>
          <w:lang w:eastAsia="zh-CN"/>
        </w:rPr>
        <w:t>另外，合理的专利布局也是提高实用新型专利质量的必然要求——一方面：研究本单位的核心技术来做专利包围可以形成稳定的专利丛，另一方面：研究目标对象的专利，可以用来做专利包围，这也为实用新型专利提供源源不断的资源</w:t>
      </w:r>
      <w:r>
        <w:rPr>
          <w:rFonts w:hint="eastAsia" w:asciiTheme="minorEastAsia" w:hAnsiTheme="minorEastAsia"/>
          <w:sz w:val="21"/>
          <w:szCs w:val="21"/>
        </w:rPr>
        <w:t>。</w:t>
      </w:r>
    </w:p>
    <w:p>
      <w:pPr>
        <w:ind w:firstLine="420"/>
        <w:rPr>
          <w:rFonts w:hint="eastAsia" w:asciiTheme="minorEastAsia" w:hAnsiTheme="minorEastAsia"/>
          <w:sz w:val="21"/>
          <w:szCs w:val="21"/>
        </w:rPr>
      </w:pPr>
    </w:p>
    <w:p>
      <w:pPr>
        <w:rPr>
          <w:rFonts w:hint="eastAsia" w:ascii="Arial" w:hAnsi="Arial" w:eastAsia="宋体" w:cs="Arial"/>
          <w:i w:val="0"/>
          <w:caps w:val="0"/>
          <w:color w:val="053597"/>
          <w:spacing w:val="0"/>
          <w:sz w:val="21"/>
          <w:szCs w:val="21"/>
          <w:u w:val="none"/>
          <w:shd w:val="clear" w:fill="FFFFFF"/>
        </w:rPr>
      </w:pPr>
      <w:r>
        <w:rPr>
          <w:rFonts w:hint="eastAsia" w:asciiTheme="minorEastAsia" w:hAnsiTheme="minorEastAsia"/>
          <w:sz w:val="21"/>
          <w:szCs w:val="21"/>
          <w:lang w:eastAsia="zh-CN"/>
        </w:rPr>
        <w:t>参考文献：</w:t>
      </w:r>
    </w:p>
    <w:p>
      <w:pPr>
        <w:numPr>
          <w:ilvl w:val="0"/>
          <w:numId w:val="0"/>
        </w:numPr>
        <w:rPr>
          <w:rFonts w:hint="eastAsia" w:ascii="Arial" w:hAnsi="Arial" w:eastAsia="宋体" w:cs="Arial"/>
          <w:i w:val="0"/>
          <w:caps w:val="0"/>
          <w:color w:val="053597"/>
          <w:spacing w:val="0"/>
          <w:sz w:val="21"/>
          <w:szCs w:val="21"/>
          <w:u w:val="none"/>
          <w:shd w:val="clear" w:fill="FFFFFF"/>
        </w:rPr>
      </w:pPr>
      <w:r>
        <w:rPr>
          <w:rFonts w:hint="eastAsia" w:ascii="Arial" w:hAnsi="Arial" w:eastAsia="宋体" w:cs="Arial"/>
          <w:i w:val="0"/>
          <w:caps w:val="0"/>
          <w:color w:val="053597"/>
          <w:spacing w:val="0"/>
          <w:sz w:val="21"/>
          <w:szCs w:val="21"/>
          <w:u w:val="none"/>
          <w:shd w:val="clear" w:fill="FFFFFF"/>
          <w:lang w:eastAsia="zh-CN"/>
        </w:rPr>
        <w:t>【</w:t>
      </w:r>
      <w:r>
        <w:rPr>
          <w:rFonts w:hint="eastAsia" w:ascii="Arial" w:hAnsi="Arial" w:eastAsia="宋体" w:cs="Arial"/>
          <w:i w:val="0"/>
          <w:caps w:val="0"/>
          <w:color w:val="053597"/>
          <w:spacing w:val="0"/>
          <w:sz w:val="21"/>
          <w:szCs w:val="21"/>
          <w:u w:val="none"/>
          <w:shd w:val="clear" w:fill="FFFFFF"/>
          <w:lang w:val="en-US" w:eastAsia="zh-CN"/>
        </w:rPr>
        <w:t>1</w:t>
      </w:r>
      <w:r>
        <w:rPr>
          <w:rFonts w:hint="eastAsia" w:ascii="Arial" w:hAnsi="Arial" w:eastAsia="宋体" w:cs="Arial"/>
          <w:i w:val="0"/>
          <w:caps w:val="0"/>
          <w:color w:val="053597"/>
          <w:spacing w:val="0"/>
          <w:sz w:val="21"/>
          <w:szCs w:val="21"/>
          <w:u w:val="none"/>
          <w:shd w:val="clear" w:fill="FFFFFF"/>
          <w:lang w:eastAsia="zh-CN"/>
        </w:rPr>
        <w:t>】</w:t>
      </w:r>
      <w:r>
        <w:rPr>
          <w:rFonts w:hint="default" w:ascii="Arial" w:hAnsi="Arial" w:eastAsia="宋体" w:cs="Arial"/>
          <w:i w:val="0"/>
          <w:caps w:val="0"/>
          <w:color w:val="053597"/>
          <w:spacing w:val="0"/>
          <w:sz w:val="21"/>
          <w:szCs w:val="21"/>
          <w:u w:val="none"/>
          <w:shd w:val="clear" w:fill="FFFFFF"/>
        </w:rPr>
        <w:fldChar w:fldCharType="begin"/>
      </w:r>
      <w:r>
        <w:rPr>
          <w:rFonts w:hint="default" w:ascii="Arial" w:hAnsi="Arial" w:eastAsia="宋体" w:cs="Arial"/>
          <w:i w:val="0"/>
          <w:caps w:val="0"/>
          <w:color w:val="053597"/>
          <w:spacing w:val="0"/>
          <w:sz w:val="21"/>
          <w:szCs w:val="21"/>
          <w:u w:val="none"/>
          <w:shd w:val="clear" w:fill="FFFFFF"/>
        </w:rPr>
        <w:instrText xml:space="preserve"> HYPERLINK "http://kns.cnki.net/kcms/detail/detail.aspx?filename=DSSS2012S2065&amp;dbcode=CJFQ&amp;dbname=CJFD2012&amp;v=" \t "http://kns.cnki.net/KCMS/detail/kcmstarget" </w:instrText>
      </w:r>
      <w:r>
        <w:rPr>
          <w:rFonts w:hint="default" w:ascii="Arial" w:hAnsi="Arial" w:eastAsia="宋体" w:cs="Arial"/>
          <w:i w:val="0"/>
          <w:caps w:val="0"/>
          <w:color w:val="053597"/>
          <w:spacing w:val="0"/>
          <w:sz w:val="21"/>
          <w:szCs w:val="21"/>
          <w:u w:val="none"/>
          <w:shd w:val="clear" w:fill="FFFFFF"/>
        </w:rPr>
        <w:fldChar w:fldCharType="separate"/>
      </w:r>
      <w:r>
        <w:rPr>
          <w:rStyle w:val="13"/>
          <w:rFonts w:hint="default" w:ascii="Arial" w:hAnsi="Arial" w:eastAsia="宋体" w:cs="Arial"/>
          <w:i w:val="0"/>
          <w:caps w:val="0"/>
          <w:color w:val="053597"/>
          <w:spacing w:val="0"/>
          <w:sz w:val="21"/>
          <w:szCs w:val="21"/>
          <w:u w:val="none"/>
          <w:shd w:val="clear" w:fill="FFFFFF"/>
        </w:rPr>
        <w:t>实用新型专利概述</w:t>
      </w:r>
      <w:r>
        <w:rPr>
          <w:rFonts w:hint="default" w:ascii="Arial" w:hAnsi="Arial" w:eastAsia="宋体" w:cs="Arial"/>
          <w:i w:val="0"/>
          <w:caps w:val="0"/>
          <w:color w:val="053597"/>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裴素英,白燕,刘琳琦,崔艳慧.  </w:t>
      </w:r>
      <w:r>
        <w:rPr>
          <w:rFonts w:hint="default" w:ascii="Arial" w:hAnsi="Arial" w:eastAsia="宋体" w:cs="Arial"/>
          <w:i w:val="0"/>
          <w:caps w:val="0"/>
          <w:color w:val="053597"/>
          <w:spacing w:val="0"/>
          <w:sz w:val="21"/>
          <w:szCs w:val="21"/>
          <w:u w:val="none"/>
          <w:shd w:val="clear" w:fill="FFFFFF"/>
        </w:rPr>
        <w:t>电视技术</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053597"/>
          <w:spacing w:val="0"/>
          <w:sz w:val="21"/>
          <w:szCs w:val="21"/>
          <w:u w:val="none"/>
          <w:shd w:val="clear" w:fill="FFFFFF"/>
        </w:rPr>
        <w:t>2012(S2)</w:t>
      </w:r>
    </w:p>
    <w:p>
      <w:pPr>
        <w:numPr>
          <w:ilvl w:val="0"/>
          <w:numId w:val="0"/>
        </w:numPr>
        <w:rPr>
          <w:rFonts w:hint="eastAsia" w:ascii="Arial" w:hAnsi="Arial" w:eastAsia="宋体" w:cs="Arial"/>
          <w:i w:val="0"/>
          <w:caps w:val="0"/>
          <w:color w:val="053597"/>
          <w:spacing w:val="0"/>
          <w:sz w:val="21"/>
          <w:szCs w:val="21"/>
          <w:u w:val="none"/>
          <w:shd w:val="clear" w:fill="FFFFFF"/>
        </w:rPr>
      </w:pPr>
      <w:r>
        <w:rPr>
          <w:rFonts w:hint="eastAsia" w:ascii="Arial" w:hAnsi="Arial" w:eastAsia="宋体" w:cs="Arial"/>
          <w:i w:val="0"/>
          <w:caps w:val="0"/>
          <w:color w:val="053597"/>
          <w:spacing w:val="0"/>
          <w:sz w:val="21"/>
          <w:szCs w:val="21"/>
          <w:u w:val="none"/>
          <w:shd w:val="clear" w:fill="FFFFFF"/>
          <w:lang w:eastAsia="zh-CN"/>
        </w:rPr>
        <w:t>【</w:t>
      </w:r>
      <w:r>
        <w:rPr>
          <w:rFonts w:hint="eastAsia" w:ascii="Arial" w:hAnsi="Arial" w:eastAsia="宋体" w:cs="Arial"/>
          <w:i w:val="0"/>
          <w:caps w:val="0"/>
          <w:color w:val="053597"/>
          <w:spacing w:val="0"/>
          <w:sz w:val="21"/>
          <w:szCs w:val="21"/>
          <w:u w:val="none"/>
          <w:shd w:val="clear" w:fill="FFFFFF"/>
          <w:lang w:val="en-US" w:eastAsia="zh-CN"/>
        </w:rPr>
        <w:t>2</w:t>
      </w:r>
      <w:r>
        <w:rPr>
          <w:rFonts w:hint="eastAsia" w:ascii="Arial" w:hAnsi="Arial" w:eastAsia="宋体" w:cs="Arial"/>
          <w:i w:val="0"/>
          <w:caps w:val="0"/>
          <w:color w:val="053597"/>
          <w:spacing w:val="0"/>
          <w:sz w:val="21"/>
          <w:szCs w:val="21"/>
          <w:u w:val="none"/>
          <w:shd w:val="clear" w:fill="FFFFFF"/>
          <w:lang w:eastAsia="zh-CN"/>
        </w:rPr>
        <w:t>】</w:t>
      </w:r>
      <w:r>
        <w:rPr>
          <w:rFonts w:hint="default" w:ascii="Arial" w:hAnsi="Arial" w:eastAsia="宋体" w:cs="Arial"/>
          <w:i w:val="0"/>
          <w:caps w:val="0"/>
          <w:color w:val="053597"/>
          <w:spacing w:val="0"/>
          <w:sz w:val="21"/>
          <w:szCs w:val="21"/>
          <w:u w:val="none"/>
          <w:shd w:val="clear" w:fill="FFFFFF"/>
        </w:rPr>
        <w:fldChar w:fldCharType="begin"/>
      </w:r>
      <w:r>
        <w:rPr>
          <w:rFonts w:hint="default" w:ascii="Arial" w:hAnsi="Arial" w:eastAsia="宋体" w:cs="Arial"/>
          <w:i w:val="0"/>
          <w:caps w:val="0"/>
          <w:color w:val="053597"/>
          <w:spacing w:val="0"/>
          <w:sz w:val="21"/>
          <w:szCs w:val="21"/>
          <w:u w:val="none"/>
          <w:shd w:val="clear" w:fill="FFFFFF"/>
        </w:rPr>
        <w:instrText xml:space="preserve"> HYPERLINK "http://kns.cnki.net/kcms/detail/detail.aspx?filename=TAIY200604021&amp;dbcode=CJFQ&amp;dbname=cjfd2006&amp;v=" \t "http://kns.cnki.net/KCMS/detail/kcmstarget" </w:instrText>
      </w:r>
      <w:r>
        <w:rPr>
          <w:rFonts w:hint="default" w:ascii="Arial" w:hAnsi="Arial" w:eastAsia="宋体" w:cs="Arial"/>
          <w:i w:val="0"/>
          <w:caps w:val="0"/>
          <w:color w:val="053597"/>
          <w:spacing w:val="0"/>
          <w:sz w:val="21"/>
          <w:szCs w:val="21"/>
          <w:u w:val="none"/>
          <w:shd w:val="clear" w:fill="FFFFFF"/>
        </w:rPr>
        <w:fldChar w:fldCharType="separate"/>
      </w:r>
      <w:r>
        <w:rPr>
          <w:rStyle w:val="13"/>
          <w:rFonts w:hint="default" w:ascii="Arial" w:hAnsi="Arial" w:eastAsia="宋体" w:cs="Arial"/>
          <w:i w:val="0"/>
          <w:caps w:val="0"/>
          <w:color w:val="053597"/>
          <w:spacing w:val="0"/>
          <w:sz w:val="21"/>
          <w:szCs w:val="21"/>
          <w:u w:val="none"/>
          <w:shd w:val="clear" w:fill="FFFFFF"/>
        </w:rPr>
        <w:t>浅谈我国实用新型专利制度的利与弊</w:t>
      </w:r>
      <w:r>
        <w:rPr>
          <w:rFonts w:hint="default" w:ascii="Arial" w:hAnsi="Arial" w:eastAsia="宋体" w:cs="Arial"/>
          <w:i w:val="0"/>
          <w:caps w:val="0"/>
          <w:color w:val="053597"/>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邢良选.  </w:t>
      </w:r>
      <w:r>
        <w:rPr>
          <w:rFonts w:hint="default" w:ascii="Arial" w:hAnsi="Arial" w:eastAsia="宋体" w:cs="Arial"/>
          <w:i w:val="0"/>
          <w:caps w:val="0"/>
          <w:color w:val="053597"/>
          <w:spacing w:val="0"/>
          <w:sz w:val="21"/>
          <w:szCs w:val="21"/>
          <w:u w:val="none"/>
          <w:shd w:val="clear" w:fill="FFFFFF"/>
        </w:rPr>
        <w:t>太原科技</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053597"/>
          <w:spacing w:val="0"/>
          <w:sz w:val="21"/>
          <w:szCs w:val="21"/>
          <w:u w:val="none"/>
          <w:shd w:val="clear" w:fill="FFFFFF"/>
        </w:rPr>
        <w:t>2006(04)</w:t>
      </w:r>
    </w:p>
    <w:p>
      <w:pPr>
        <w:numPr>
          <w:ilvl w:val="0"/>
          <w:numId w:val="0"/>
        </w:numPr>
        <w:rPr>
          <w:rFonts w:hint="eastAsia" w:ascii="Arial" w:hAnsi="Arial" w:eastAsia="宋体" w:cs="Arial"/>
          <w:i w:val="0"/>
          <w:caps w:val="0"/>
          <w:color w:val="053597"/>
          <w:spacing w:val="0"/>
          <w:sz w:val="21"/>
          <w:szCs w:val="21"/>
          <w:u w:val="none"/>
          <w:shd w:val="clear" w:fill="FFFFFF"/>
        </w:rPr>
      </w:pPr>
      <w:r>
        <w:rPr>
          <w:rFonts w:hint="eastAsia" w:ascii="Arial" w:hAnsi="Arial" w:eastAsia="宋体" w:cs="Arial"/>
          <w:i w:val="0"/>
          <w:caps w:val="0"/>
          <w:color w:val="053597"/>
          <w:spacing w:val="0"/>
          <w:sz w:val="21"/>
          <w:szCs w:val="21"/>
          <w:u w:val="none"/>
          <w:shd w:val="clear" w:fill="FFFFFF"/>
          <w:lang w:eastAsia="zh-CN"/>
        </w:rPr>
        <w:t>【</w:t>
      </w:r>
      <w:r>
        <w:rPr>
          <w:rFonts w:hint="eastAsia" w:ascii="Arial" w:hAnsi="Arial" w:eastAsia="宋体" w:cs="Arial"/>
          <w:i w:val="0"/>
          <w:caps w:val="0"/>
          <w:color w:val="053597"/>
          <w:spacing w:val="0"/>
          <w:sz w:val="21"/>
          <w:szCs w:val="21"/>
          <w:u w:val="none"/>
          <w:shd w:val="clear" w:fill="FFFFFF"/>
          <w:lang w:val="en-US" w:eastAsia="zh-CN"/>
        </w:rPr>
        <w:t>3</w:t>
      </w:r>
      <w:r>
        <w:rPr>
          <w:rFonts w:hint="eastAsia" w:ascii="Arial" w:hAnsi="Arial" w:eastAsia="宋体" w:cs="Arial"/>
          <w:i w:val="0"/>
          <w:caps w:val="0"/>
          <w:color w:val="053597"/>
          <w:spacing w:val="0"/>
          <w:sz w:val="21"/>
          <w:szCs w:val="21"/>
          <w:u w:val="none"/>
          <w:shd w:val="clear" w:fill="FFFFFF"/>
          <w:lang w:eastAsia="zh-CN"/>
        </w:rPr>
        <w:t>】</w:t>
      </w:r>
      <w:r>
        <w:rPr>
          <w:rStyle w:val="13"/>
          <w:rFonts w:hint="default" w:ascii="Arial" w:hAnsi="Arial" w:eastAsia="宋体" w:cs="Arial"/>
          <w:i w:val="0"/>
          <w:caps w:val="0"/>
          <w:color w:val="053597"/>
          <w:spacing w:val="0"/>
          <w:sz w:val="21"/>
          <w:szCs w:val="21"/>
          <w:u w:val="none"/>
          <w:shd w:val="clear" w:fill="FFFFFF"/>
        </w:rPr>
        <w:fldChar w:fldCharType="begin"/>
      </w:r>
      <w:r>
        <w:rPr>
          <w:rStyle w:val="13"/>
          <w:rFonts w:hint="default" w:ascii="Arial" w:hAnsi="Arial" w:eastAsia="宋体" w:cs="Arial"/>
          <w:i w:val="0"/>
          <w:caps w:val="0"/>
          <w:color w:val="053597"/>
          <w:spacing w:val="0"/>
          <w:sz w:val="21"/>
          <w:szCs w:val="21"/>
          <w:u w:val="none"/>
          <w:shd w:val="clear" w:fill="FFFFFF"/>
        </w:rPr>
        <w:instrText xml:space="preserve"> HYPERLINK "http://kns.cnki.net/kcms/detail/detail.aspx?filename=QBKX201211006&amp;dbcode=CJFQ&amp;dbname=CJFD2012&amp;v=" \t "http://kns.cnki.net/KCMS/detail/kcmstarget" </w:instrText>
      </w:r>
      <w:r>
        <w:rPr>
          <w:rStyle w:val="13"/>
          <w:rFonts w:hint="default" w:ascii="Arial" w:hAnsi="Arial" w:eastAsia="宋体" w:cs="Arial"/>
          <w:i w:val="0"/>
          <w:caps w:val="0"/>
          <w:color w:val="053597"/>
          <w:spacing w:val="0"/>
          <w:sz w:val="21"/>
          <w:szCs w:val="21"/>
          <w:u w:val="none"/>
          <w:shd w:val="clear" w:fill="FFFFFF"/>
        </w:rPr>
        <w:fldChar w:fldCharType="separate"/>
      </w:r>
      <w:r>
        <w:rPr>
          <w:rStyle w:val="13"/>
          <w:rFonts w:hint="default" w:ascii="Arial" w:hAnsi="Arial" w:eastAsia="宋体" w:cs="Arial"/>
          <w:i w:val="0"/>
          <w:caps w:val="0"/>
          <w:color w:val="053597"/>
          <w:spacing w:val="0"/>
          <w:sz w:val="21"/>
          <w:szCs w:val="21"/>
          <w:u w:val="none"/>
          <w:shd w:val="clear" w:fill="FFFFFF"/>
        </w:rPr>
        <w:t>中日《专利法》比较研究</w:t>
      </w:r>
      <w:r>
        <w:rPr>
          <w:rStyle w:val="13"/>
          <w:rFonts w:hint="default" w:ascii="Arial" w:hAnsi="Arial" w:eastAsia="宋体" w:cs="Arial"/>
          <w:i w:val="0"/>
          <w:caps w:val="0"/>
          <w:color w:val="053597"/>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孙振嘉,孙放,张晓辉.  </w:t>
      </w:r>
      <w:r>
        <w:rPr>
          <w:rFonts w:hint="default" w:ascii="Arial" w:hAnsi="Arial" w:eastAsia="宋体" w:cs="Arial"/>
          <w:i w:val="0"/>
          <w:caps w:val="0"/>
          <w:color w:val="053597"/>
          <w:spacing w:val="0"/>
          <w:sz w:val="21"/>
          <w:szCs w:val="21"/>
          <w:u w:val="none"/>
          <w:shd w:val="clear" w:fill="FFFFFF"/>
        </w:rPr>
        <w:t>情报科学</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053597"/>
          <w:spacing w:val="0"/>
          <w:sz w:val="21"/>
          <w:szCs w:val="21"/>
          <w:u w:val="none"/>
          <w:shd w:val="clear" w:fill="FFFFFF"/>
        </w:rPr>
        <w:t>2012(11)</w:t>
      </w:r>
    </w:p>
    <w:p>
      <w:pPr>
        <w:numPr>
          <w:ilvl w:val="0"/>
          <w:numId w:val="0"/>
        </w:numPr>
        <w:rPr>
          <w:rFonts w:hint="eastAsia" w:ascii="Arial" w:hAnsi="Arial" w:eastAsia="宋体" w:cs="Arial"/>
          <w:i w:val="0"/>
          <w:caps w:val="0"/>
          <w:color w:val="053597"/>
          <w:spacing w:val="0"/>
          <w:sz w:val="21"/>
          <w:szCs w:val="21"/>
          <w:u w:val="none"/>
          <w:shd w:val="clear" w:fill="FFFFFF"/>
        </w:rPr>
      </w:pPr>
      <w:r>
        <w:rPr>
          <w:rFonts w:hint="eastAsia" w:ascii="Arial" w:hAnsi="Arial" w:eastAsia="宋体" w:cs="Arial"/>
          <w:i w:val="0"/>
          <w:caps w:val="0"/>
          <w:color w:val="053597"/>
          <w:spacing w:val="0"/>
          <w:sz w:val="21"/>
          <w:szCs w:val="21"/>
          <w:u w:val="none"/>
          <w:shd w:val="clear" w:fill="FFFFFF"/>
          <w:lang w:eastAsia="zh-CN"/>
        </w:rPr>
        <w:t>【</w:t>
      </w:r>
      <w:r>
        <w:rPr>
          <w:rFonts w:hint="eastAsia" w:ascii="Arial" w:hAnsi="Arial" w:eastAsia="宋体" w:cs="Arial"/>
          <w:i w:val="0"/>
          <w:caps w:val="0"/>
          <w:color w:val="053597"/>
          <w:spacing w:val="0"/>
          <w:sz w:val="21"/>
          <w:szCs w:val="21"/>
          <w:u w:val="none"/>
          <w:shd w:val="clear" w:fill="FFFFFF"/>
          <w:lang w:val="en-US" w:eastAsia="zh-CN"/>
        </w:rPr>
        <w:t>4</w:t>
      </w:r>
      <w:r>
        <w:rPr>
          <w:rFonts w:hint="eastAsia" w:ascii="Arial" w:hAnsi="Arial" w:eastAsia="宋体" w:cs="Arial"/>
          <w:i w:val="0"/>
          <w:caps w:val="0"/>
          <w:color w:val="053597"/>
          <w:spacing w:val="0"/>
          <w:sz w:val="21"/>
          <w:szCs w:val="21"/>
          <w:u w:val="none"/>
          <w:shd w:val="clear" w:fill="FFFFFF"/>
          <w:lang w:eastAsia="zh-CN"/>
        </w:rPr>
        <w:t>】</w:t>
      </w:r>
      <w:r>
        <w:rPr>
          <w:rFonts w:hint="default" w:ascii="Arial" w:hAnsi="Arial" w:eastAsia="宋体" w:cs="Arial"/>
          <w:i w:val="0"/>
          <w:caps w:val="0"/>
          <w:color w:val="053597"/>
          <w:spacing w:val="0"/>
          <w:sz w:val="21"/>
          <w:szCs w:val="21"/>
          <w:u w:val="none"/>
          <w:shd w:val="clear" w:fill="FFFFFF"/>
        </w:rPr>
        <w:fldChar w:fldCharType="begin"/>
      </w:r>
      <w:r>
        <w:rPr>
          <w:rFonts w:hint="default" w:ascii="Arial" w:hAnsi="Arial" w:eastAsia="宋体" w:cs="Arial"/>
          <w:i w:val="0"/>
          <w:caps w:val="0"/>
          <w:color w:val="053597"/>
          <w:spacing w:val="0"/>
          <w:sz w:val="21"/>
          <w:szCs w:val="21"/>
          <w:u w:val="none"/>
          <w:shd w:val="clear" w:fill="FFFFFF"/>
        </w:rPr>
        <w:instrText xml:space="preserve"> HYPERLINK "http://kns.cnki.net/kcms/detail/detail.aspx?filename=KJDS201808007&amp;dbcode=CJFR&amp;dbname=CJFR1218&amp;v=" \t "http://kns.cnki.net/KCMS/detail/kcmstarget" </w:instrText>
      </w:r>
      <w:r>
        <w:rPr>
          <w:rFonts w:hint="default" w:ascii="Arial" w:hAnsi="Arial" w:eastAsia="宋体" w:cs="Arial"/>
          <w:i w:val="0"/>
          <w:caps w:val="0"/>
          <w:color w:val="053597"/>
          <w:spacing w:val="0"/>
          <w:sz w:val="21"/>
          <w:szCs w:val="21"/>
          <w:u w:val="none"/>
          <w:shd w:val="clear" w:fill="FFFFFF"/>
        </w:rPr>
        <w:fldChar w:fldCharType="separate"/>
      </w:r>
      <w:r>
        <w:rPr>
          <w:rStyle w:val="13"/>
          <w:rFonts w:hint="default" w:ascii="Arial" w:hAnsi="Arial" w:eastAsia="宋体" w:cs="Arial"/>
          <w:i w:val="0"/>
          <w:caps w:val="0"/>
          <w:color w:val="053597"/>
          <w:spacing w:val="0"/>
          <w:sz w:val="21"/>
          <w:szCs w:val="21"/>
          <w:u w:val="none"/>
          <w:shd w:val="clear" w:fill="FFFFFF"/>
        </w:rPr>
        <w:t>专利权利申报及管理工作概说</w:t>
      </w:r>
      <w:r>
        <w:rPr>
          <w:rFonts w:hint="default" w:ascii="Arial" w:hAnsi="Arial" w:eastAsia="宋体" w:cs="Arial"/>
          <w:i w:val="0"/>
          <w:caps w:val="0"/>
          <w:color w:val="053597"/>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胡菁,刘宏涛.  科教导刊(上旬刊) 2018年08期</w:t>
      </w:r>
    </w:p>
    <w:p>
      <w:pPr>
        <w:numPr>
          <w:ilvl w:val="0"/>
          <w:numId w:val="0"/>
        </w:numPr>
        <w:rPr>
          <w:rFonts w:hint="default" w:ascii="Arial" w:hAnsi="Arial" w:eastAsia="宋体" w:cs="Arial"/>
          <w:i w:val="0"/>
          <w:caps w:val="0"/>
          <w:color w:val="053597"/>
          <w:spacing w:val="0"/>
          <w:sz w:val="21"/>
          <w:szCs w:val="21"/>
          <w:u w:val="none"/>
          <w:shd w:val="clear" w:fill="FFFFFF"/>
        </w:rPr>
      </w:pPr>
      <w:r>
        <w:rPr>
          <w:rFonts w:hint="eastAsia" w:ascii="Arial" w:hAnsi="Arial" w:eastAsia="宋体" w:cs="Arial"/>
          <w:i w:val="0"/>
          <w:caps w:val="0"/>
          <w:color w:val="053597"/>
          <w:spacing w:val="0"/>
          <w:sz w:val="21"/>
          <w:szCs w:val="21"/>
          <w:u w:val="none"/>
          <w:shd w:val="clear" w:fill="FFFFFF"/>
          <w:lang w:eastAsia="zh-CN"/>
        </w:rPr>
        <w:t>【</w:t>
      </w:r>
      <w:r>
        <w:rPr>
          <w:rFonts w:hint="eastAsia" w:ascii="Arial" w:hAnsi="Arial" w:eastAsia="宋体" w:cs="Arial"/>
          <w:i w:val="0"/>
          <w:caps w:val="0"/>
          <w:color w:val="053597"/>
          <w:spacing w:val="0"/>
          <w:sz w:val="21"/>
          <w:szCs w:val="21"/>
          <w:u w:val="none"/>
          <w:shd w:val="clear" w:fill="FFFFFF"/>
          <w:lang w:val="en-US" w:eastAsia="zh-CN"/>
        </w:rPr>
        <w:t>5</w:t>
      </w:r>
      <w:r>
        <w:rPr>
          <w:rFonts w:hint="eastAsia" w:ascii="Arial" w:hAnsi="Arial" w:eastAsia="宋体" w:cs="Arial"/>
          <w:i w:val="0"/>
          <w:caps w:val="0"/>
          <w:color w:val="053597"/>
          <w:spacing w:val="0"/>
          <w:sz w:val="21"/>
          <w:szCs w:val="21"/>
          <w:u w:val="none"/>
          <w:shd w:val="clear" w:fill="FFFFFF"/>
          <w:lang w:eastAsia="zh-CN"/>
        </w:rPr>
        <w:t>】</w:t>
      </w:r>
      <w:r>
        <w:rPr>
          <w:rFonts w:hint="default" w:ascii="Arial" w:hAnsi="Arial" w:eastAsia="宋体" w:cs="Arial"/>
          <w:i w:val="0"/>
          <w:caps w:val="0"/>
          <w:color w:val="053597"/>
          <w:spacing w:val="0"/>
          <w:sz w:val="21"/>
          <w:szCs w:val="21"/>
          <w:u w:val="none"/>
          <w:shd w:val="clear" w:fill="FFFFFF"/>
        </w:rPr>
        <w:fldChar w:fldCharType="begin"/>
      </w:r>
      <w:r>
        <w:rPr>
          <w:rFonts w:hint="default" w:ascii="Arial" w:hAnsi="Arial" w:eastAsia="宋体" w:cs="Arial"/>
          <w:i w:val="0"/>
          <w:caps w:val="0"/>
          <w:color w:val="053597"/>
          <w:spacing w:val="0"/>
          <w:sz w:val="21"/>
          <w:szCs w:val="21"/>
          <w:u w:val="none"/>
          <w:shd w:val="clear" w:fill="FFFFFF"/>
        </w:rPr>
        <w:instrText xml:space="preserve"> HYPERLINK "http://kns.cnki.net/kcms/detail/detail.aspx?filename=XXJK201508066&amp;dbcode=CJFQ&amp;dbname=CJFD2015&amp;v=" \t "http://kns.cnki.net/KCMS/detail/kcmstarget" </w:instrText>
      </w:r>
      <w:r>
        <w:rPr>
          <w:rFonts w:hint="default" w:ascii="Arial" w:hAnsi="Arial" w:eastAsia="宋体" w:cs="Arial"/>
          <w:i w:val="0"/>
          <w:caps w:val="0"/>
          <w:color w:val="053597"/>
          <w:spacing w:val="0"/>
          <w:sz w:val="21"/>
          <w:szCs w:val="21"/>
          <w:u w:val="none"/>
          <w:shd w:val="clear" w:fill="FFFFFF"/>
        </w:rPr>
        <w:fldChar w:fldCharType="separate"/>
      </w:r>
      <w:r>
        <w:rPr>
          <w:rStyle w:val="13"/>
          <w:rFonts w:hint="default" w:ascii="Arial" w:hAnsi="Arial" w:eastAsia="宋体" w:cs="Arial"/>
          <w:i w:val="0"/>
          <w:caps w:val="0"/>
          <w:color w:val="053597"/>
          <w:spacing w:val="0"/>
          <w:sz w:val="21"/>
          <w:szCs w:val="21"/>
          <w:u w:val="none"/>
          <w:shd w:val="clear" w:fill="FFFFFF"/>
        </w:rPr>
        <w:t>从审查实践反思实用新型专利申请</w:t>
      </w:r>
      <w:r>
        <w:rPr>
          <w:rFonts w:hint="default" w:ascii="Arial" w:hAnsi="Arial" w:eastAsia="宋体" w:cs="Arial"/>
          <w:i w:val="0"/>
          <w:caps w:val="0"/>
          <w:color w:val="053597"/>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田飞飞,罗晓雅.  </w:t>
      </w:r>
      <w:r>
        <w:rPr>
          <w:rFonts w:hint="default" w:ascii="Arial" w:hAnsi="Arial" w:eastAsia="宋体" w:cs="Arial"/>
          <w:i w:val="0"/>
          <w:caps w:val="0"/>
          <w:color w:val="053597"/>
          <w:spacing w:val="0"/>
          <w:sz w:val="21"/>
          <w:szCs w:val="21"/>
          <w:u w:val="none"/>
          <w:shd w:val="clear" w:fill="FFFFFF"/>
        </w:rPr>
        <w:t>中国科技信息</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053597"/>
          <w:spacing w:val="0"/>
          <w:sz w:val="21"/>
          <w:szCs w:val="21"/>
          <w:u w:val="none"/>
          <w:shd w:val="clear" w:fill="FFFFFF"/>
        </w:rPr>
        <w:t>2015(08)</w:t>
      </w:r>
    </w:p>
    <w:p>
      <w:pPr>
        <w:numPr>
          <w:ilvl w:val="0"/>
          <w:numId w:val="0"/>
        </w:numPr>
        <w:rPr>
          <w:rFonts w:hint="default" w:ascii="Arial" w:hAnsi="Arial" w:eastAsia="宋体" w:cs="Arial"/>
          <w:i w:val="0"/>
          <w:caps w:val="0"/>
          <w:color w:val="053597"/>
          <w:spacing w:val="0"/>
          <w:sz w:val="21"/>
          <w:szCs w:val="21"/>
          <w:u w:val="none"/>
          <w:shd w:val="clear" w:fill="FFFFFF"/>
        </w:rPr>
      </w:pPr>
    </w:p>
    <w:p>
      <w:pPr>
        <w:numPr>
          <w:ilvl w:val="0"/>
          <w:numId w:val="0"/>
        </w:numPr>
        <w:rPr>
          <w:rFonts w:hint="default" w:ascii="Arial" w:hAnsi="Arial" w:eastAsia="宋体" w:cs="Arial"/>
          <w:i w:val="0"/>
          <w:caps w:val="0"/>
          <w:color w:val="053597"/>
          <w:spacing w:val="0"/>
          <w:sz w:val="21"/>
          <w:szCs w:val="21"/>
          <w:u w:val="none"/>
          <w:shd w:val="clear" w:fill="FFFFFF"/>
        </w:rPr>
      </w:pPr>
    </w:p>
    <w:p>
      <w:pPr>
        <w:numPr>
          <w:ilvl w:val="0"/>
          <w:numId w:val="0"/>
        </w:numPr>
        <w:rPr>
          <w:rFonts w:hint="default" w:ascii="Arial" w:hAnsi="Arial" w:eastAsia="宋体" w:cs="Arial"/>
          <w:i w:val="0"/>
          <w:caps w:val="0"/>
          <w:color w:val="053597"/>
          <w:spacing w:val="0"/>
          <w:sz w:val="21"/>
          <w:szCs w:val="21"/>
          <w:u w:val="none"/>
          <w:shd w:val="clear" w:fill="FFFFFF"/>
        </w:rPr>
      </w:pPr>
      <w:bookmarkStart w:id="0" w:name="_GoBack"/>
      <w:bookmarkEnd w:id="0"/>
    </w:p>
    <w:p>
      <w:pPr>
        <w:ind w:firstLine="420"/>
        <w:rPr>
          <w:rFonts w:hint="eastAsia" w:asciiTheme="minorEastAsia" w:hAnsiTheme="minorEastAsia"/>
          <w:sz w:val="21"/>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7029"/>
    <w:rsid w:val="00041F8A"/>
    <w:rsid w:val="0007127F"/>
    <w:rsid w:val="001F0B9E"/>
    <w:rsid w:val="00215EC5"/>
    <w:rsid w:val="0022726D"/>
    <w:rsid w:val="00237DFF"/>
    <w:rsid w:val="00282A52"/>
    <w:rsid w:val="00395BCB"/>
    <w:rsid w:val="004531F5"/>
    <w:rsid w:val="004608CD"/>
    <w:rsid w:val="004B5708"/>
    <w:rsid w:val="004F1126"/>
    <w:rsid w:val="005676F6"/>
    <w:rsid w:val="005B7029"/>
    <w:rsid w:val="005D56A0"/>
    <w:rsid w:val="006037E7"/>
    <w:rsid w:val="00654406"/>
    <w:rsid w:val="0066769D"/>
    <w:rsid w:val="007632B6"/>
    <w:rsid w:val="00764ADE"/>
    <w:rsid w:val="007A4281"/>
    <w:rsid w:val="007B2B45"/>
    <w:rsid w:val="007F65E2"/>
    <w:rsid w:val="00802370"/>
    <w:rsid w:val="008A2C69"/>
    <w:rsid w:val="008E2CDD"/>
    <w:rsid w:val="00907343"/>
    <w:rsid w:val="009143D6"/>
    <w:rsid w:val="0095185F"/>
    <w:rsid w:val="009A2A02"/>
    <w:rsid w:val="009C688B"/>
    <w:rsid w:val="009F1C1E"/>
    <w:rsid w:val="00A113A1"/>
    <w:rsid w:val="00A30AB8"/>
    <w:rsid w:val="00AD17F1"/>
    <w:rsid w:val="00B13A5C"/>
    <w:rsid w:val="00B40327"/>
    <w:rsid w:val="00BC58FF"/>
    <w:rsid w:val="00BD6D07"/>
    <w:rsid w:val="00C34C20"/>
    <w:rsid w:val="00CC02D6"/>
    <w:rsid w:val="00D31423"/>
    <w:rsid w:val="00D510E0"/>
    <w:rsid w:val="00D8448B"/>
    <w:rsid w:val="00D90FA4"/>
    <w:rsid w:val="00DA77D3"/>
    <w:rsid w:val="00DD7A1D"/>
    <w:rsid w:val="00DF37AC"/>
    <w:rsid w:val="00EC2288"/>
    <w:rsid w:val="00ED31ED"/>
    <w:rsid w:val="00F063BA"/>
    <w:rsid w:val="00F14D1C"/>
    <w:rsid w:val="00F9455D"/>
    <w:rsid w:val="00FD6AF2"/>
    <w:rsid w:val="01287125"/>
    <w:rsid w:val="02B809EB"/>
    <w:rsid w:val="03D94124"/>
    <w:rsid w:val="05573443"/>
    <w:rsid w:val="087B1ADF"/>
    <w:rsid w:val="0F572489"/>
    <w:rsid w:val="10AA1E34"/>
    <w:rsid w:val="1FE31885"/>
    <w:rsid w:val="23D17720"/>
    <w:rsid w:val="259D1675"/>
    <w:rsid w:val="27546247"/>
    <w:rsid w:val="298517FC"/>
    <w:rsid w:val="2AFB543D"/>
    <w:rsid w:val="2F1D4D15"/>
    <w:rsid w:val="305F6183"/>
    <w:rsid w:val="32181BE8"/>
    <w:rsid w:val="37454696"/>
    <w:rsid w:val="379F65DE"/>
    <w:rsid w:val="3BC27106"/>
    <w:rsid w:val="40C65679"/>
    <w:rsid w:val="41F21FD4"/>
    <w:rsid w:val="45532288"/>
    <w:rsid w:val="476B604A"/>
    <w:rsid w:val="4D084E61"/>
    <w:rsid w:val="5113147C"/>
    <w:rsid w:val="5B7F7B19"/>
    <w:rsid w:val="654A6DE4"/>
    <w:rsid w:val="66FC4960"/>
    <w:rsid w:val="6D7D2144"/>
    <w:rsid w:val="6D8715A7"/>
    <w:rsid w:val="75DF1FD9"/>
    <w:rsid w:val="7688173D"/>
    <w:rsid w:val="79D42651"/>
    <w:rsid w:val="7FBB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120" w:line="360" w:lineRule="auto"/>
      <w:ind w:firstLine="200" w:firstLineChars="200"/>
    </w:pPr>
    <w:rPr>
      <w:rFonts w:ascii="Times New Roman" w:hAnsi="Times New Roman" w:eastAsiaTheme="minorEastAsia" w:cstheme="minorBidi"/>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widowControl w:val="0"/>
      <w:adjustRightInd/>
      <w:snapToGrid/>
      <w:spacing w:after="0"/>
      <w:ind w:left="840" w:leftChars="400"/>
      <w:jc w:val="both"/>
    </w:pPr>
    <w:rPr>
      <w:rFonts w:asciiTheme="minorHAnsi" w:hAnsiTheme="minorHAnsi"/>
      <w:kern w:val="2"/>
      <w:sz w:val="21"/>
      <w:szCs w:val="24"/>
    </w:rPr>
  </w:style>
  <w:style w:type="paragraph" w:styleId="6">
    <w:name w:val="Balloon Text"/>
    <w:basedOn w:val="1"/>
    <w:link w:val="18"/>
    <w:semiHidden/>
    <w:unhideWhenUsed/>
    <w:qFormat/>
    <w:uiPriority w:val="99"/>
    <w:pPr>
      <w:spacing w:after="0" w:line="240" w:lineRule="auto"/>
    </w:pPr>
    <w:rPr>
      <w:sz w:val="18"/>
      <w:szCs w:val="18"/>
    </w:rPr>
  </w:style>
  <w:style w:type="paragraph" w:styleId="7">
    <w:name w:val="footer"/>
    <w:basedOn w:val="1"/>
    <w:link w:val="20"/>
    <w:semiHidden/>
    <w:unhideWhenUsed/>
    <w:qFormat/>
    <w:uiPriority w:val="99"/>
    <w:pPr>
      <w:tabs>
        <w:tab w:val="center" w:pos="4153"/>
        <w:tab w:val="right" w:pos="8306"/>
      </w:tabs>
      <w:spacing w:line="240" w:lineRule="auto"/>
    </w:pPr>
    <w:rPr>
      <w:sz w:val="18"/>
      <w:szCs w:val="18"/>
    </w:rPr>
  </w:style>
  <w:style w:type="paragraph" w:styleId="8">
    <w:name w:val="header"/>
    <w:basedOn w:val="1"/>
    <w:link w:val="19"/>
    <w:semiHidden/>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widowControl w:val="0"/>
      <w:adjustRightInd/>
      <w:snapToGrid/>
      <w:spacing w:after="0"/>
      <w:jc w:val="both"/>
    </w:pPr>
    <w:rPr>
      <w:rFonts w:asciiTheme="minorHAnsi" w:hAnsiTheme="minorHAnsi"/>
      <w:kern w:val="2"/>
      <w:sz w:val="21"/>
      <w:szCs w:val="24"/>
    </w:rPr>
  </w:style>
  <w:style w:type="character" w:styleId="12">
    <w:name w:val="Emphasis"/>
    <w:basedOn w:val="11"/>
    <w:qFormat/>
    <w:uiPriority w:val="20"/>
    <w:rPr>
      <w:i/>
    </w:rPr>
  </w:style>
  <w:style w:type="character" w:styleId="13">
    <w:name w:val="Hyperlink"/>
    <w:basedOn w:val="11"/>
    <w:semiHidden/>
    <w:unhideWhenUsed/>
    <w:qFormat/>
    <w:uiPriority w:val="99"/>
    <w:rPr>
      <w:color w:val="0000FF"/>
      <w:u w:val="single"/>
    </w:rPr>
  </w:style>
  <w:style w:type="paragraph" w:styleId="14">
    <w:name w:val="List Paragraph"/>
    <w:basedOn w:val="1"/>
    <w:qFormat/>
    <w:uiPriority w:val="34"/>
    <w:pPr>
      <w:ind w:firstLine="420"/>
    </w:pPr>
  </w:style>
  <w:style w:type="character" w:customStyle="1" w:styleId="15">
    <w:name w:val="标题 1 Char"/>
    <w:basedOn w:val="11"/>
    <w:link w:val="2"/>
    <w:qFormat/>
    <w:uiPriority w:val="9"/>
    <w:rPr>
      <w:rFonts w:ascii="Tahoma" w:hAnsi="Tahoma"/>
      <w:b/>
      <w:bCs/>
      <w:kern w:val="44"/>
      <w:sz w:val="32"/>
      <w:szCs w:val="44"/>
    </w:rPr>
  </w:style>
  <w:style w:type="character" w:customStyle="1" w:styleId="16">
    <w:name w:val="标题 2 Char"/>
    <w:basedOn w:val="11"/>
    <w:link w:val="3"/>
    <w:semiHidden/>
    <w:qFormat/>
    <w:uiPriority w:val="9"/>
    <w:rPr>
      <w:rFonts w:asciiTheme="majorHAnsi" w:hAnsiTheme="majorHAnsi" w:eastAsiaTheme="majorEastAsia" w:cstheme="majorBidi"/>
      <w:b/>
      <w:bCs/>
      <w:sz w:val="32"/>
      <w:szCs w:val="32"/>
    </w:rPr>
  </w:style>
  <w:style w:type="character" w:customStyle="1" w:styleId="17">
    <w:name w:val="标题 3 Char"/>
    <w:basedOn w:val="11"/>
    <w:link w:val="4"/>
    <w:semiHidden/>
    <w:qFormat/>
    <w:uiPriority w:val="9"/>
    <w:rPr>
      <w:rFonts w:ascii="Tahoma" w:hAnsi="Tahoma"/>
      <w:b/>
      <w:bCs/>
      <w:sz w:val="32"/>
      <w:szCs w:val="32"/>
    </w:rPr>
  </w:style>
  <w:style w:type="character" w:customStyle="1" w:styleId="18">
    <w:name w:val="批注框文本 Char"/>
    <w:basedOn w:val="11"/>
    <w:link w:val="6"/>
    <w:semiHidden/>
    <w:qFormat/>
    <w:uiPriority w:val="99"/>
    <w:rPr>
      <w:rFonts w:ascii="Times New Roman" w:hAnsi="Times New Roman" w:eastAsiaTheme="minorEastAsia"/>
      <w:sz w:val="18"/>
      <w:szCs w:val="18"/>
    </w:rPr>
  </w:style>
  <w:style w:type="character" w:customStyle="1" w:styleId="19">
    <w:name w:val="页眉 Char"/>
    <w:basedOn w:val="11"/>
    <w:link w:val="8"/>
    <w:semiHidden/>
    <w:qFormat/>
    <w:uiPriority w:val="99"/>
    <w:rPr>
      <w:rFonts w:ascii="Times New Roman" w:hAnsi="Times New Roman" w:eastAsiaTheme="minorEastAsia"/>
      <w:sz w:val="18"/>
      <w:szCs w:val="18"/>
    </w:rPr>
  </w:style>
  <w:style w:type="character" w:customStyle="1" w:styleId="20">
    <w:name w:val="页脚 Char"/>
    <w:basedOn w:val="11"/>
    <w:link w:val="7"/>
    <w:semiHidden/>
    <w:qFormat/>
    <w:uiPriority w:val="99"/>
    <w:rPr>
      <w:rFonts w:ascii="Times New Roman" w:hAnsi="Times New Roman"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3141447209333"/>
          <c:y val="0.115583157638311"/>
          <c:w val="0.826162884253678"/>
          <c:h val="0.788112483867693"/>
        </c:manualLayout>
      </c:layout>
      <c:barChart>
        <c:barDir val="col"/>
        <c:grouping val="clustered"/>
        <c:varyColors val="0"/>
        <c:ser>
          <c:idx val="0"/>
          <c:order val="0"/>
          <c:tx>
            <c:strRef>
              <c:f>'2015-2018实用新型申请及授权其情况'!$B$1:$B$2</c:f>
              <c:strCache>
                <c:ptCount val="1"/>
                <c:pt idx="0">
                  <c:v>申请量</c:v>
                </c:pt>
              </c:strCache>
            </c:strRef>
          </c:tx>
          <c:invertIfNegative val="0"/>
          <c:dLbls>
            <c:delete val="1"/>
          </c:dLbls>
          <c:cat>
            <c:strRef>
              <c:f>'2015-2018实用新型申请及授权其情况'!$A$3:$A$7</c:f>
              <c:strCache>
                <c:ptCount val="4"/>
                <c:pt idx="0">
                  <c:v>2015年</c:v>
                </c:pt>
                <c:pt idx="1">
                  <c:v>2016年</c:v>
                </c:pt>
                <c:pt idx="2">
                  <c:v>2017年</c:v>
                </c:pt>
                <c:pt idx="3">
                  <c:v>2018年</c:v>
                </c:pt>
              </c:strCache>
            </c:strRef>
          </c:cat>
          <c:val>
            <c:numRef>
              <c:f>'2015-2018实用新型申请及授权其情况'!$B$3:$B$7</c:f>
              <c:numCache>
                <c:formatCode>General</c:formatCode>
                <c:ptCount val="5"/>
                <c:pt idx="0">
                  <c:v>1127577</c:v>
                </c:pt>
                <c:pt idx="1">
                  <c:v>1475977</c:v>
                </c:pt>
                <c:pt idx="2">
                  <c:v>1679807</c:v>
                </c:pt>
                <c:pt idx="3">
                  <c:v>2063860</c:v>
                </c:pt>
              </c:numCache>
            </c:numRef>
          </c:val>
        </c:ser>
        <c:ser>
          <c:idx val="1"/>
          <c:order val="1"/>
          <c:tx>
            <c:strRef>
              <c:f>'2015-2018实用新型申请及授权其情况'!$C$1:$C$2</c:f>
              <c:strCache>
                <c:ptCount val="1"/>
                <c:pt idx="0">
                  <c:v>授权量</c:v>
                </c:pt>
              </c:strCache>
            </c:strRef>
          </c:tx>
          <c:invertIfNegative val="0"/>
          <c:dLbls>
            <c:delete val="1"/>
          </c:dLbls>
          <c:cat>
            <c:strRef>
              <c:f>'2015-2018实用新型申请及授权其情况'!$A$3:$A$7</c:f>
              <c:strCache>
                <c:ptCount val="4"/>
                <c:pt idx="0">
                  <c:v>2015年</c:v>
                </c:pt>
                <c:pt idx="1">
                  <c:v>2016年</c:v>
                </c:pt>
                <c:pt idx="2">
                  <c:v>2017年</c:v>
                </c:pt>
                <c:pt idx="3">
                  <c:v>2018年</c:v>
                </c:pt>
              </c:strCache>
            </c:strRef>
          </c:cat>
          <c:val>
            <c:numRef>
              <c:f>'2015-2018实用新型申请及授权其情况'!$C$3:$C$7</c:f>
              <c:numCache>
                <c:formatCode>General</c:formatCode>
                <c:ptCount val="5"/>
                <c:pt idx="0">
                  <c:v>876217</c:v>
                </c:pt>
                <c:pt idx="1">
                  <c:v>903420</c:v>
                </c:pt>
                <c:pt idx="2">
                  <c:v>967416</c:v>
                </c:pt>
                <c:pt idx="3">
                  <c:v>1471759</c:v>
                </c:pt>
              </c:numCache>
            </c:numRef>
          </c:val>
        </c:ser>
        <c:dLbls>
          <c:showLegendKey val="0"/>
          <c:showVal val="0"/>
          <c:showCatName val="0"/>
          <c:showSerName val="0"/>
          <c:showPercent val="0"/>
          <c:showBubbleSize val="0"/>
        </c:dLbls>
        <c:gapWidth val="75"/>
        <c:overlap val="-25"/>
        <c:axId val="68647552"/>
        <c:axId val="149539072"/>
      </c:barChart>
      <c:catAx>
        <c:axId val="68647552"/>
        <c:scaling>
          <c:orientation val="minMax"/>
        </c:scaling>
        <c:delete val="0"/>
        <c:axPos val="b"/>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49539072"/>
        <c:crosses val="autoZero"/>
        <c:auto val="1"/>
        <c:lblAlgn val="ctr"/>
        <c:lblOffset val="100"/>
        <c:noMultiLvlLbl val="0"/>
      </c:catAx>
      <c:valAx>
        <c:axId val="14953907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8647552"/>
        <c:crosses val="autoZero"/>
        <c:crossBetween val="between"/>
      </c:valAx>
    </c:plotArea>
    <c:legend>
      <c:legendPos val="b"/>
      <c:layout>
        <c:manualLayout>
          <c:xMode val="edge"/>
          <c:yMode val="edge"/>
          <c:x val="0.697715164033531"/>
          <c:y val="0.134113121909485"/>
          <c:w val="0.274614482293489"/>
          <c:h val="0.0832508025903296"/>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201</Words>
  <Characters>1151</Characters>
  <Lines>9</Lines>
  <Paragraphs>2</Paragraphs>
  <TotalTime>0</TotalTime>
  <ScaleCrop>false</ScaleCrop>
  <LinksUpToDate>false</LinksUpToDate>
  <CharactersWithSpaces>1350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2019-05-27T14:11:00Z</dcterms:created>
  <dc:creator>Administrator</dc:creator>
  <cp:lastModifiedBy>Administrator</cp:lastModifiedBy>
  <dcterms:modified xsi:type="dcterms:W3CDTF">2019-06-01T11:02:09Z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