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ind w:firstLine="964" w:firstLineChars="400"/>
        <w:rPr>
          <w:rFonts w:hint="eastAsia"/>
          <w:b/>
          <w:bCs/>
          <w:sz w:val="24"/>
          <w:szCs w:val="24"/>
          <w:lang w:val="en-US" w:eastAsia="zh-CN"/>
        </w:rPr>
      </w:pPr>
      <w:r>
        <w:rPr>
          <w:rFonts w:hint="eastAsia"/>
          <w:b/>
          <w:bCs/>
          <w:sz w:val="24"/>
          <w:szCs w:val="24"/>
          <w:lang w:val="en-US" w:eastAsia="zh-CN"/>
        </w:rPr>
        <w:t>论陶渊明文化地位演变——从后世文本阐释角度出发</w:t>
      </w:r>
      <w:bookmarkStart w:id="5" w:name="_GoBack"/>
      <w:bookmarkEnd w:id="5"/>
    </w:p>
    <w:p>
      <w:pPr>
        <w:pStyle w:val="20"/>
        <w:ind w:firstLine="960" w:firstLineChars="400"/>
        <w:rPr>
          <w:rFonts w:hint="default"/>
          <w:sz w:val="24"/>
          <w:szCs w:val="24"/>
          <w:lang w:val="en-US" w:eastAsia="zh-CN"/>
        </w:rPr>
      </w:pPr>
    </w:p>
    <w:p>
      <w:pPr>
        <w:pStyle w:val="20"/>
        <w:spacing w:line="360" w:lineRule="auto"/>
        <w:ind w:left="0" w:leftChars="0" w:firstLine="482" w:firstLineChars="200"/>
        <w:rPr>
          <w:rFonts w:hint="eastAsia" w:asciiTheme="minorEastAsia" w:hAnsiTheme="minorEastAsia"/>
          <w:sz w:val="24"/>
          <w:szCs w:val="24"/>
        </w:rPr>
      </w:pPr>
      <w:r>
        <w:rPr>
          <w:rFonts w:hint="eastAsia" w:asciiTheme="minorEastAsia" w:hAnsiTheme="minorEastAsia"/>
          <w:b/>
          <w:bCs/>
          <w:sz w:val="24"/>
          <w:szCs w:val="24"/>
          <w:lang w:val="en-US" w:eastAsia="zh-CN"/>
        </w:rPr>
        <w:t>摘要：</w:t>
      </w:r>
      <w:r>
        <w:rPr>
          <w:rFonts w:hint="eastAsia" w:asciiTheme="minorEastAsia" w:hAnsiTheme="minorEastAsia"/>
          <w:sz w:val="24"/>
          <w:szCs w:val="24"/>
        </w:rPr>
        <w:t>王国维在《人间词话》中说：“</w:t>
      </w:r>
      <w:bookmarkStart w:id="0" w:name="OLE_LINK2"/>
      <w:bookmarkStart w:id="1" w:name="OLE_LINK1"/>
      <w:r>
        <w:rPr>
          <w:rFonts w:hint="eastAsia" w:asciiTheme="minorEastAsia" w:hAnsiTheme="minorEastAsia"/>
          <w:sz w:val="24"/>
          <w:szCs w:val="24"/>
        </w:rPr>
        <w:t>社会上之习惯，杀许多善人；文学上之习惯，杀许多天才</w:t>
      </w:r>
      <w:bookmarkEnd w:id="0"/>
      <w:bookmarkEnd w:id="1"/>
      <w:r>
        <w:rPr>
          <w:rFonts w:hint="eastAsia" w:asciiTheme="minorEastAsia" w:hAnsiTheme="minorEastAsia"/>
          <w:sz w:val="24"/>
          <w:szCs w:val="24"/>
        </w:rPr>
        <w:t>”。历史总是如出一辙，却也有特例。陶渊明就是这少数特例中的一个。作为被历史挑选出的一个幸运儿， 陶潜的诗文作品虽然生前不得伯乐赏识，身后却经受住了时光的淘洗并走进人们的视线。在后世乐此不疲的文本阐释和修订中，陶渊明演变成一位文学巨人，甚至成为华夏文明极具代表性的文化偶像。这不仅仅是陶渊明本人的幸运，更是整个东亚文化界的幸事。</w:t>
      </w:r>
    </w:p>
    <w:p>
      <w:pPr>
        <w:pStyle w:val="20"/>
        <w:spacing w:line="360" w:lineRule="auto"/>
        <w:ind w:left="0" w:leftChars="0" w:firstLine="482" w:firstLineChars="200"/>
        <w:rPr>
          <w:rFonts w:hint="default" w:asciiTheme="minorEastAsia" w:hAnsiTheme="minorEastAsia" w:eastAsiaTheme="minorEastAsia"/>
          <w:sz w:val="24"/>
          <w:szCs w:val="24"/>
          <w:lang w:val="en-US" w:eastAsia="zh-CN"/>
        </w:rPr>
      </w:pPr>
      <w:r>
        <w:rPr>
          <w:rFonts w:hint="eastAsia" w:asciiTheme="minorEastAsia" w:hAnsiTheme="minorEastAsia"/>
          <w:b/>
          <w:bCs/>
          <w:sz w:val="24"/>
          <w:szCs w:val="24"/>
          <w:lang w:val="en-US" w:eastAsia="zh-CN"/>
        </w:rPr>
        <w:t>关键词：陶渊明；文本阐释与修订；文化偶像</w:t>
      </w:r>
    </w:p>
    <w:p>
      <w:pPr>
        <w:pStyle w:val="20"/>
        <w:spacing w:line="360" w:lineRule="auto"/>
        <w:ind w:left="359" w:leftChars="171" w:firstLine="480" w:firstLineChars="200"/>
        <w:rPr>
          <w:rFonts w:asciiTheme="minorEastAsia" w:hAnsiTheme="minorEastAsia"/>
          <w:sz w:val="24"/>
          <w:szCs w:val="24"/>
        </w:rPr>
      </w:pPr>
      <w:r>
        <w:rPr>
          <w:rFonts w:hint="eastAsia" w:asciiTheme="minorEastAsia" w:hAnsiTheme="minorEastAsia"/>
          <w:sz w:val="24"/>
          <w:szCs w:val="24"/>
        </w:rPr>
        <w:t xml:space="preserve"> </w:t>
      </w:r>
    </w:p>
    <w:p>
      <w:pPr>
        <w:pStyle w:val="20"/>
        <w:numPr>
          <w:ilvl w:val="0"/>
          <w:numId w:val="1"/>
        </w:numPr>
        <w:spacing w:line="360" w:lineRule="auto"/>
        <w:rPr>
          <w:rFonts w:asciiTheme="minorEastAsia" w:hAnsiTheme="minorEastAsia"/>
          <w:b/>
          <w:sz w:val="24"/>
          <w:szCs w:val="24"/>
        </w:rPr>
      </w:pPr>
      <w:r>
        <w:rPr>
          <w:rFonts w:hint="eastAsia" w:asciiTheme="minorEastAsia" w:hAnsiTheme="minorEastAsia"/>
          <w:b/>
          <w:sz w:val="24"/>
          <w:szCs w:val="24"/>
        </w:rPr>
        <w:t>陶渊明的符号性演变</w:t>
      </w:r>
    </w:p>
    <w:p>
      <w:pPr>
        <w:spacing w:line="360" w:lineRule="auto"/>
        <w:ind w:left="359" w:leftChars="171" w:firstLine="480" w:firstLineChars="200"/>
        <w:rPr>
          <w:rFonts w:asciiTheme="minorEastAsia" w:hAnsiTheme="minorEastAsia"/>
          <w:sz w:val="24"/>
          <w:szCs w:val="24"/>
        </w:rPr>
      </w:pPr>
      <w:r>
        <w:rPr>
          <w:rFonts w:hint="eastAsia" w:asciiTheme="minorEastAsia" w:hAnsiTheme="minorEastAsia"/>
          <w:sz w:val="24"/>
          <w:szCs w:val="24"/>
        </w:rPr>
        <w:t>陶渊明文化身份的演绎是复杂而漫长的，可大致分为在世时，刚逝世到隋唐前期，以及隋唐至今漫长的千年光阴。他本人在世时，做过的都是芝麻小官，比如州祭酒、彭泽令之类，官场上可以说是很不得意。其内隐的刚直忤世之个性又不容许他像前代名士嵇康、阮籍那样如此愤世嫉俗，无奈只能解甲归田。因此陶渊明在世时，如果作为一个符号化的存在，估计是可有可无的，在当时世人眼里，或许就是一个失败的避世者形象，其诗文寡淡到以至于连个诗人都称不上，已然沦为众人。</w:t>
      </w:r>
    </w:p>
    <w:p>
      <w:pPr>
        <w:spacing w:line="360" w:lineRule="auto"/>
        <w:ind w:left="359" w:leftChars="171" w:firstLine="480" w:firstLineChars="200"/>
        <w:rPr>
          <w:rFonts w:asciiTheme="minorEastAsia" w:hAnsiTheme="minorEastAsia"/>
          <w:sz w:val="24"/>
          <w:szCs w:val="24"/>
        </w:rPr>
      </w:pPr>
      <w:r>
        <w:rPr>
          <w:rFonts w:hint="eastAsia" w:asciiTheme="minorEastAsia" w:hAnsiTheme="minorEastAsia"/>
          <w:sz w:val="24"/>
          <w:szCs w:val="24"/>
        </w:rPr>
        <w:t>在他逝世后不久，颜廷之、沈约等人的评论大都强调其志节，而忽视其文采，使陶渊明的文化符号固定在一个忠义孝廉的局促范围内。而后不久，梁著名诗论家锺嵘在《宋征君陶潜诗》中赞誉陶渊明为“古今隐逸诗人之宗也”，</w:t>
      </w:r>
      <w:r>
        <w:rPr>
          <w:rStyle w:val="16"/>
          <w:rFonts w:asciiTheme="minorEastAsia" w:hAnsiTheme="minorEastAsia"/>
          <w:sz w:val="24"/>
          <w:szCs w:val="24"/>
        </w:rPr>
        <w:footnoteReference w:id="0"/>
      </w:r>
      <w:r>
        <w:rPr>
          <w:rFonts w:hint="eastAsia" w:asciiTheme="minorEastAsia" w:hAnsiTheme="minorEastAsia"/>
          <w:sz w:val="24"/>
          <w:szCs w:val="24"/>
        </w:rPr>
        <w:t>陶渊明似乎首次明确以隐逸诗人的身份出现在他人的论述中。虽然锺嵘对陶潜诗文文学价值的认识拘囿于当时“事出于沉思，义归乎翰藻”</w:t>
      </w:r>
      <w:r>
        <w:rPr>
          <w:rStyle w:val="16"/>
          <w:rFonts w:asciiTheme="minorEastAsia" w:hAnsiTheme="minorEastAsia"/>
          <w:sz w:val="24"/>
          <w:szCs w:val="24"/>
        </w:rPr>
        <w:footnoteReference w:id="1"/>
      </w:r>
      <w:r>
        <w:rPr>
          <w:rFonts w:hint="eastAsia" w:asciiTheme="minorEastAsia" w:hAnsiTheme="minorEastAsia"/>
          <w:sz w:val="24"/>
          <w:szCs w:val="24"/>
        </w:rPr>
        <w:t>的审美取向，将陶诗列为“中品”而颇受后世诗人、评论家诟病，但相比于之前而言，后世对陶渊明的认识已经开始逐渐趋于客观，陶作品的艺术价值逐渐得到以萧统为代表的诗论家的认可。</w:t>
      </w:r>
    </w:p>
    <w:p>
      <w:pPr>
        <w:spacing w:line="360" w:lineRule="auto"/>
        <w:ind w:left="359" w:leftChars="171" w:firstLine="480" w:firstLineChars="200"/>
        <w:rPr>
          <w:rFonts w:asciiTheme="minorEastAsia" w:hAnsiTheme="minorEastAsia"/>
          <w:sz w:val="24"/>
          <w:szCs w:val="24"/>
        </w:rPr>
      </w:pPr>
      <w:r>
        <w:rPr>
          <w:rFonts w:hint="eastAsia" w:asciiTheme="minorEastAsia" w:hAnsiTheme="minorEastAsia"/>
          <w:sz w:val="24"/>
          <w:szCs w:val="24"/>
        </w:rPr>
        <w:t>进入隋唐时期，陶渊明作为一个文化符号，愈发地活色生香、丰富多彩起来。有人从封建制度入手，将陶渊明对于晋代的念念不忘、忠心耿耿不断放大，以满足封建社会巩固现有王朝统治的需要；有人从社会角度入手，论陶者竭力把陶说成是“人民的肖子”</w:t>
      </w:r>
      <w:r>
        <w:rPr>
          <w:rStyle w:val="16"/>
          <w:rFonts w:asciiTheme="minorEastAsia" w:hAnsiTheme="minorEastAsia"/>
          <w:sz w:val="24"/>
          <w:szCs w:val="24"/>
        </w:rPr>
        <w:footnoteReference w:id="2"/>
      </w:r>
      <w:r>
        <w:rPr>
          <w:rFonts w:hint="eastAsia" w:asciiTheme="minorEastAsia" w:hAnsiTheme="minorEastAsia"/>
          <w:sz w:val="24"/>
          <w:szCs w:val="24"/>
        </w:rPr>
        <w:t>，力求将陶诗中与广大劳动人民的惺惺相惜和深刻同情剖解出来，塑造一个有深刻忧世忧民情怀的陶的形象；有人从伦理道德入手，盛赞其“不为五斗米折腰”的气节，从而为后世知识分子不与世俗同流合污树立榜样；也有人从审美价值的角度立论，“或称道他那质而实绮、枯而实腴的诗风，或激赏他所创造的那种和谐静穆的诗境，或沉醉于他诗文那平淡自然而又韵味浓厚的艺术魅力”</w:t>
      </w:r>
      <w:r>
        <w:rPr>
          <w:rStyle w:val="16"/>
          <w:rFonts w:asciiTheme="minorEastAsia" w:hAnsiTheme="minorEastAsia"/>
          <w:sz w:val="24"/>
          <w:szCs w:val="24"/>
        </w:rPr>
        <w:footnoteReference w:id="3"/>
      </w:r>
      <w:r>
        <w:rPr>
          <w:rFonts w:hint="eastAsia" w:asciiTheme="minorEastAsia" w:hAnsiTheme="minorEastAsia"/>
          <w:sz w:val="24"/>
          <w:szCs w:val="24"/>
        </w:rPr>
        <w:t>。总之，陶渊明在其身后被贴上了无数标签，被寄予了太多的揣测和评判，随便哪个不得志的诗人在感慨自己怀才不遇、向往归隐田园的时候都要拉出一个五柳先生以衬己志。然而正是这些后人的墨水勾勒了陶渊明的基本形象，为陶成为后世文化偶像奠定了极深厚的文本基础。陶潜本人只留下一百多篇作品，而后人对其人其文所做的分析评述却早已浩如烟海。不知不觉中，陶渊明已经不可避免地被符号化，“隐逸诗人之宗”“田园”“饮酒”“无弦琴”“菊花”等脍炙人口的作品中的意象也随陶渊明一起被抽象成某种象征性的符号，并永远与陶捆绑在了一起，这或许是对陶渊明一厢情愿的刻板印象，但却也实在是成全了他在中国文化乃至整个东亚文化中独一无二、极具个性的文化偶像地位。</w:t>
      </w:r>
    </w:p>
    <w:p>
      <w:pPr>
        <w:spacing w:line="360" w:lineRule="auto"/>
        <w:ind w:left="359" w:leftChars="171" w:firstLine="480" w:firstLineChars="200"/>
        <w:rPr>
          <w:rFonts w:asciiTheme="minorEastAsia" w:hAnsiTheme="minorEastAsia"/>
          <w:sz w:val="24"/>
          <w:szCs w:val="24"/>
        </w:rPr>
      </w:pPr>
    </w:p>
    <w:p>
      <w:pPr>
        <w:pStyle w:val="20"/>
        <w:numPr>
          <w:ilvl w:val="0"/>
          <w:numId w:val="1"/>
        </w:numPr>
        <w:spacing w:line="360" w:lineRule="auto"/>
        <w:rPr>
          <w:rFonts w:asciiTheme="minorEastAsia" w:hAnsiTheme="minorEastAsia"/>
          <w:b/>
          <w:sz w:val="24"/>
          <w:szCs w:val="24"/>
        </w:rPr>
      </w:pPr>
      <w:r>
        <w:rPr>
          <w:rFonts w:hint="eastAsia" w:asciiTheme="minorEastAsia" w:hAnsiTheme="minorEastAsia"/>
          <w:b/>
          <w:sz w:val="24"/>
          <w:szCs w:val="24"/>
        </w:rPr>
        <w:t>陶渊明作品的延展性和代表性</w:t>
      </w:r>
    </w:p>
    <w:p>
      <w:pPr>
        <w:spacing w:line="360" w:lineRule="auto"/>
        <w:ind w:left="359" w:leftChars="171" w:firstLine="480" w:firstLineChars="200"/>
        <w:rPr>
          <w:rFonts w:asciiTheme="minorEastAsia" w:hAnsiTheme="minorEastAsia"/>
          <w:sz w:val="24"/>
          <w:szCs w:val="24"/>
        </w:rPr>
      </w:pPr>
      <w:r>
        <w:rPr>
          <w:rFonts w:hint="eastAsia" w:asciiTheme="minorEastAsia" w:hAnsiTheme="minorEastAsia"/>
          <w:sz w:val="24"/>
          <w:szCs w:val="24"/>
        </w:rPr>
        <w:t>后代诗人对陶渊明的追捧和喜爱可谓愈演愈烈。那么问得通俗点，陶渊明究竟为什么能火起来？为什么后人心甘情愿一口气给陶渊明打了近两千年广告？其实这就跟现在导演、制片人想要捧红某个演员、做大某个娱乐节目的道理是一样的，最重要的是要和受众群体有共通性，利用同情心和同理效应逐渐达到关注沸点。这一点陶本人可能并未发觉，然而他本人的浓烈文人气质，那出身名门的身世，丧妻、退官、隐居的人生经历，矛盾于入世出世之间等等这些特质，都实在太符合后世知识分子对理想诗人的人物设定，并且陶渊明作品本身富有的弹性为后代不断的挖掘外延提供空间。我们只要泛泛翻阅后世诗文，就会发现李白最爱和他喝酒畅谈，王维最乐伴他闲居田园，苏轼最喜与他论琴修道。还有无数的二三流小诗人循着他的足迹， 在其作品中热情歌咏他的桃花源，赞颂五柳先生之随性，感怀归去来兮的潇洒，这股尊崇之风甚至刮到了王国维、鲁迅等人的笔端，刮到当今中小学生的课本里。文人普遍习惯凡事映射自己，像陶这样一位喜欢喝喝小酒、弹弹小曲，躬耕田园、蔑视权贵且“不为五斗米折腰”的田园诗人，简直是历来文人心中最符合他们理想形象的人设，自然不能错过这样绝佳的人物素材来大肆浸染。</w:t>
      </w:r>
    </w:p>
    <w:p>
      <w:pPr>
        <w:pStyle w:val="20"/>
        <w:spacing w:line="360" w:lineRule="auto"/>
        <w:ind w:left="359" w:leftChars="171" w:firstLine="480" w:firstLineChars="200"/>
        <w:rPr>
          <w:rFonts w:asciiTheme="minorEastAsia" w:hAnsiTheme="minorEastAsia"/>
          <w:sz w:val="24"/>
          <w:szCs w:val="24"/>
        </w:rPr>
      </w:pPr>
      <w:r>
        <w:rPr>
          <w:rFonts w:hint="eastAsia" w:asciiTheme="minorEastAsia" w:hAnsiTheme="minorEastAsia"/>
          <w:sz w:val="24"/>
          <w:szCs w:val="24"/>
        </w:rPr>
        <w:t>除了陶渊明浓烈的文人性，其对于宇宙、人生、社会的思考也是不可忽略的一点。陈寅恪先生认为陶渊明是不仅“文学品节居古今之第一流”，而且“实为吾国中国时代之大思想家”。形成陶独特人生态度和生命境界的文化底蕴丰富而复杂，他早年熟读儒家经典，又受外祖父孟嘉的冲淡平和处事风格的影响，这种成长背景使他终其一生都徘徊在儒、释、道之间左右踟蹰。</w:t>
      </w:r>
      <w:r>
        <w:rPr>
          <w:rStyle w:val="16"/>
          <w:rFonts w:asciiTheme="minorEastAsia" w:hAnsiTheme="minorEastAsia"/>
          <w:sz w:val="24"/>
          <w:szCs w:val="24"/>
        </w:rPr>
        <w:footnoteReference w:id="4"/>
      </w:r>
      <w:r>
        <w:rPr>
          <w:rFonts w:hint="eastAsia" w:asciiTheme="minorEastAsia" w:hAnsiTheme="minorEastAsia"/>
          <w:sz w:val="24"/>
          <w:szCs w:val="24"/>
        </w:rPr>
        <w:t>后世对于陶的思想体系一直争论不休，他到底是归儒还是归道，思想家和文学史家一直在打笔墨官司。这不经意间流露的精幽微深的哲学思考，引起了后代知识分子的热情讨论。有人认为“渊明所说者庄、老”，“陶公所以不得与于传道之统者，堕庄、老也”，“陶诗里主要思想实在还是道家”</w:t>
      </w:r>
      <w:r>
        <w:rPr>
          <w:rStyle w:val="16"/>
          <w:rFonts w:asciiTheme="minorEastAsia" w:hAnsiTheme="minorEastAsia"/>
          <w:sz w:val="24"/>
          <w:szCs w:val="24"/>
        </w:rPr>
        <w:footnoteReference w:id="5"/>
      </w:r>
      <w:r>
        <w:rPr>
          <w:rFonts w:hint="eastAsia" w:asciiTheme="minorEastAsia" w:hAnsiTheme="minorEastAsia"/>
          <w:sz w:val="24"/>
          <w:szCs w:val="24"/>
        </w:rPr>
        <w:t>；有人则认为“渊明之学正自经术中来”“汉人以下，宋儒之前，可推圣门弟子者，渊明也”</w:t>
      </w:r>
      <w:r>
        <w:rPr>
          <w:rStyle w:val="16"/>
          <w:rFonts w:asciiTheme="minorEastAsia" w:hAnsiTheme="minorEastAsia"/>
          <w:sz w:val="24"/>
          <w:szCs w:val="24"/>
        </w:rPr>
        <w:footnoteReference w:id="6"/>
      </w:r>
      <w:r>
        <w:rPr>
          <w:rFonts w:hint="eastAsia" w:asciiTheme="minorEastAsia" w:hAnsiTheme="minorEastAsia"/>
          <w:sz w:val="24"/>
          <w:szCs w:val="24"/>
        </w:rPr>
        <w:t>；有人说他“实外儒而内道”，又有人说他“实内儒而外道”</w:t>
      </w:r>
      <w:r>
        <w:rPr>
          <w:rFonts w:asciiTheme="minorEastAsia" w:hAnsiTheme="minorEastAsia"/>
          <w:sz w:val="24"/>
          <w:szCs w:val="24"/>
        </w:rPr>
        <w:t>……</w:t>
      </w:r>
      <w:r>
        <w:rPr>
          <w:rFonts w:hint="eastAsia" w:asciiTheme="minorEastAsia" w:hAnsiTheme="minorEastAsia"/>
          <w:sz w:val="24"/>
          <w:szCs w:val="24"/>
        </w:rPr>
        <w:t>诸如此类的辩论数不胜数，而就是在这样的抗辩中，陶渊明儒道兼具的一面被剖析出来，使之承载了厚重磅礴的中华文化，成长为经久不衰、魅力不减的文化偶像。</w:t>
      </w:r>
    </w:p>
    <w:p>
      <w:pPr>
        <w:pStyle w:val="20"/>
        <w:spacing w:line="360" w:lineRule="auto"/>
        <w:ind w:left="360"/>
        <w:rPr>
          <w:rFonts w:asciiTheme="minorEastAsia" w:hAnsiTheme="minorEastAsia"/>
          <w:sz w:val="24"/>
          <w:szCs w:val="24"/>
        </w:rPr>
      </w:pPr>
    </w:p>
    <w:p>
      <w:pPr>
        <w:pStyle w:val="20"/>
        <w:spacing w:line="360" w:lineRule="auto"/>
        <w:ind w:left="360"/>
        <w:rPr>
          <w:rFonts w:asciiTheme="minorEastAsia" w:hAnsiTheme="minorEastAsia"/>
          <w:b/>
          <w:sz w:val="24"/>
          <w:szCs w:val="24"/>
        </w:rPr>
      </w:pPr>
      <w:r>
        <w:rPr>
          <w:rFonts w:hint="eastAsia" w:asciiTheme="minorEastAsia" w:hAnsiTheme="minorEastAsia"/>
          <w:b/>
          <w:sz w:val="24"/>
          <w:szCs w:val="24"/>
        </w:rPr>
        <w:t>三．“好事者”的“添油加醋”</w:t>
      </w:r>
    </w:p>
    <w:p>
      <w:pPr>
        <w:spacing w:line="360" w:lineRule="auto"/>
        <w:ind w:left="239" w:leftChars="114" w:firstLine="480" w:firstLineChars="200"/>
        <w:rPr>
          <w:rFonts w:hint="eastAsia" w:asciiTheme="minorEastAsia" w:hAnsiTheme="minorEastAsia"/>
          <w:sz w:val="24"/>
          <w:szCs w:val="24"/>
        </w:rPr>
      </w:pPr>
      <w:r>
        <w:rPr>
          <w:rFonts w:hint="eastAsia" w:asciiTheme="minorEastAsia" w:hAnsiTheme="minorEastAsia"/>
          <w:sz w:val="24"/>
          <w:szCs w:val="24"/>
        </w:rPr>
        <w:t>陶渊明之所以能成为文化偶像，除了陶同志本人争气（其作品丰富的内涵、外延性、代表性）之外，还很重要的一个因素就是那些热衷于捧红他的人。古代文人一旦执意要做一件事那就可以说是一门心思地对待，更何况是当在诗歌世界里遇到了认为在现实生活中难以相遇的知己时，那就更是得掏心窝子地借助自己的诗文和影响力为偶像正名了。</w:t>
      </w:r>
      <w:r>
        <w:rPr>
          <w:rFonts w:asciiTheme="minorEastAsia" w:hAnsiTheme="minorEastAsia"/>
          <w:sz w:val="24"/>
          <w:szCs w:val="24"/>
        </w:rPr>
        <w:t>陶渊明能成为文化偶像和后人不断的宣传评述</w:t>
      </w:r>
      <w:r>
        <w:rPr>
          <w:rFonts w:hint="eastAsia" w:asciiTheme="minorEastAsia" w:hAnsiTheme="minorEastAsia"/>
          <w:sz w:val="24"/>
          <w:szCs w:val="24"/>
        </w:rPr>
        <w:t>，以及</w:t>
      </w:r>
      <w:r>
        <w:rPr>
          <w:rFonts w:asciiTheme="minorEastAsia" w:hAnsiTheme="minorEastAsia"/>
          <w:sz w:val="24"/>
          <w:szCs w:val="24"/>
        </w:rPr>
        <w:t>对其诗文的整理</w:t>
      </w:r>
      <w:r>
        <w:rPr>
          <w:rFonts w:hint="eastAsia" w:asciiTheme="minorEastAsia" w:hAnsiTheme="minorEastAsia"/>
          <w:sz w:val="24"/>
          <w:szCs w:val="24"/>
        </w:rPr>
        <w:t>、</w:t>
      </w:r>
      <w:r>
        <w:rPr>
          <w:rFonts w:asciiTheme="minorEastAsia" w:hAnsiTheme="minorEastAsia"/>
          <w:sz w:val="24"/>
          <w:szCs w:val="24"/>
        </w:rPr>
        <w:t>编纂是密不可分的</w:t>
      </w:r>
      <w:r>
        <w:rPr>
          <w:rFonts w:hint="eastAsia" w:asciiTheme="minorEastAsia" w:hAnsiTheme="minorEastAsia"/>
          <w:sz w:val="24"/>
          <w:szCs w:val="24"/>
        </w:rPr>
        <w:t>。</w:t>
      </w:r>
      <w:r>
        <w:rPr>
          <w:rFonts w:asciiTheme="minorEastAsia" w:hAnsiTheme="minorEastAsia"/>
          <w:sz w:val="24"/>
          <w:szCs w:val="24"/>
        </w:rPr>
        <w:t>文人</w:t>
      </w:r>
      <w:r>
        <w:rPr>
          <w:rFonts w:hint="eastAsia" w:asciiTheme="minorEastAsia" w:hAnsiTheme="minorEastAsia"/>
          <w:sz w:val="24"/>
          <w:szCs w:val="24"/>
        </w:rPr>
        <w:t>们把陶渊明的诗文作品逐字逐句地剖析并进行考证，给予其作品极高的评价。</w:t>
      </w:r>
      <w:r>
        <w:rPr>
          <w:rFonts w:asciiTheme="minorEastAsia" w:hAnsiTheme="minorEastAsia"/>
          <w:sz w:val="24"/>
          <w:szCs w:val="24"/>
        </w:rPr>
        <w:t>尤其是苏轼</w:t>
      </w:r>
      <w:r>
        <w:rPr>
          <w:rFonts w:hint="eastAsia" w:asciiTheme="minorEastAsia" w:hAnsiTheme="minorEastAsia"/>
          <w:sz w:val="24"/>
          <w:szCs w:val="24"/>
        </w:rPr>
        <w:t>，“</w:t>
      </w:r>
      <w:r>
        <w:rPr>
          <w:rFonts w:asciiTheme="minorEastAsia" w:hAnsiTheme="minorEastAsia"/>
          <w:sz w:val="24"/>
          <w:szCs w:val="24"/>
        </w:rPr>
        <w:t>他对陶渊明其人其诗有精微体悟并做出了深刻阐释</w:t>
      </w:r>
      <w:r>
        <w:rPr>
          <w:rFonts w:hint="eastAsia" w:asciiTheme="minorEastAsia" w:hAnsiTheme="minorEastAsia"/>
          <w:sz w:val="24"/>
          <w:szCs w:val="24"/>
        </w:rPr>
        <w:t>，</w:t>
      </w:r>
      <w:r>
        <w:rPr>
          <w:rFonts w:asciiTheme="minorEastAsia" w:hAnsiTheme="minorEastAsia"/>
          <w:sz w:val="24"/>
          <w:szCs w:val="24"/>
        </w:rPr>
        <w:t>不仅把陶的诗文视为艺术的极致</w:t>
      </w:r>
      <w:r>
        <w:rPr>
          <w:rFonts w:hint="eastAsia" w:asciiTheme="minorEastAsia" w:hAnsiTheme="minorEastAsia"/>
          <w:sz w:val="24"/>
          <w:szCs w:val="24"/>
        </w:rPr>
        <w:t>，</w:t>
      </w:r>
      <w:r>
        <w:rPr>
          <w:rFonts w:asciiTheme="minorEastAsia" w:hAnsiTheme="minorEastAsia"/>
          <w:sz w:val="24"/>
          <w:szCs w:val="24"/>
        </w:rPr>
        <w:t>也将陶的为人作为自己人生的楷模</w:t>
      </w:r>
      <w:r>
        <w:rPr>
          <w:rFonts w:hint="eastAsia" w:asciiTheme="minorEastAsia" w:hAnsiTheme="minorEastAsia"/>
          <w:sz w:val="24"/>
          <w:szCs w:val="24"/>
        </w:rPr>
        <w:t>；</w:t>
      </w:r>
      <w:r>
        <w:rPr>
          <w:rFonts w:asciiTheme="minorEastAsia" w:hAnsiTheme="minorEastAsia"/>
          <w:sz w:val="24"/>
          <w:szCs w:val="24"/>
        </w:rPr>
        <w:t>对其诗心追手效</w:t>
      </w:r>
      <w:r>
        <w:rPr>
          <w:rFonts w:hint="eastAsia" w:asciiTheme="minorEastAsia" w:hAnsiTheme="minorEastAsia"/>
          <w:sz w:val="24"/>
          <w:szCs w:val="24"/>
        </w:rPr>
        <w:t>，</w:t>
      </w:r>
      <w:r>
        <w:rPr>
          <w:rFonts w:asciiTheme="minorEastAsia" w:hAnsiTheme="minorEastAsia"/>
          <w:sz w:val="24"/>
          <w:szCs w:val="24"/>
        </w:rPr>
        <w:t>首首依韵而和</w:t>
      </w:r>
      <w:r>
        <w:rPr>
          <w:rFonts w:hint="eastAsia" w:asciiTheme="minorEastAsia" w:hAnsiTheme="minorEastAsia"/>
          <w:sz w:val="24"/>
          <w:szCs w:val="24"/>
        </w:rPr>
        <w:t>，</w:t>
      </w:r>
      <w:r>
        <w:rPr>
          <w:rFonts w:asciiTheme="minorEastAsia" w:hAnsiTheme="minorEastAsia"/>
          <w:sz w:val="24"/>
          <w:szCs w:val="24"/>
        </w:rPr>
        <w:t>对其人更是高山仰止</w:t>
      </w:r>
      <w:r>
        <w:rPr>
          <w:rFonts w:hint="eastAsia" w:asciiTheme="minorEastAsia" w:hAnsiTheme="minorEastAsia"/>
          <w:sz w:val="24"/>
          <w:szCs w:val="24"/>
        </w:rPr>
        <w:t>”</w:t>
      </w:r>
      <w:r>
        <w:rPr>
          <w:rStyle w:val="16"/>
          <w:rFonts w:asciiTheme="minorEastAsia" w:hAnsiTheme="minorEastAsia"/>
          <w:sz w:val="24"/>
          <w:szCs w:val="24"/>
        </w:rPr>
        <w:footnoteReference w:id="7"/>
      </w:r>
      <w:r>
        <w:rPr>
          <w:rFonts w:hint="eastAsia" w:asciiTheme="minorEastAsia" w:hAnsiTheme="minorEastAsia"/>
          <w:sz w:val="24"/>
          <w:szCs w:val="24"/>
        </w:rPr>
        <w:t>，喟叹道“我不如陶生”。文学大家对陶渊明的崇拜使世人对其的看法也更加带有崇敬色彩。自称“爱嗜其文，不能释手，尚想其德，恨不同时”的萧统，早对他“脱颖不群，任真自得”的为人钦仰不已。苏轼认为他在诗史上的地位“曹、刘、鲍、谢、李、杜诸人皆莫及”</w:t>
      </w:r>
      <w:r>
        <w:rPr>
          <w:rStyle w:val="16"/>
          <w:rFonts w:asciiTheme="minorEastAsia" w:hAnsiTheme="minorEastAsia"/>
          <w:sz w:val="24"/>
          <w:szCs w:val="24"/>
        </w:rPr>
        <w:footnoteReference w:id="8"/>
      </w:r>
      <w:r>
        <w:rPr>
          <w:rFonts w:hint="eastAsia" w:asciiTheme="minorEastAsia" w:hAnsiTheme="minorEastAsia"/>
          <w:sz w:val="24"/>
          <w:szCs w:val="24"/>
        </w:rPr>
        <w:t>。理学大师朱熹也极口称赞他不“局促尘埃”的存在方式：“作诗须从陶、柳门中来乃佳耳。盖不如是，不足以发萧散冲淡之趣，不免局促尘埃，无由到古人佳处也。”</w:t>
      </w:r>
      <w:r>
        <w:rPr>
          <w:rStyle w:val="16"/>
          <w:rFonts w:asciiTheme="minorEastAsia" w:hAnsiTheme="minorEastAsia"/>
          <w:sz w:val="24"/>
          <w:szCs w:val="24"/>
        </w:rPr>
        <w:footnoteReference w:id="9"/>
      </w:r>
      <w:r>
        <w:rPr>
          <w:rFonts w:hint="eastAsia" w:asciiTheme="minorEastAsia" w:hAnsiTheme="minorEastAsia"/>
          <w:sz w:val="24"/>
          <w:szCs w:val="24"/>
        </w:rPr>
        <w:t>王国维也说“屈子之后，文学上雄者，渊明其尤也”</w:t>
      </w:r>
      <w:r>
        <w:rPr>
          <w:rStyle w:val="16"/>
          <w:rFonts w:asciiTheme="minorEastAsia" w:hAnsiTheme="minorEastAsia"/>
          <w:sz w:val="24"/>
          <w:szCs w:val="24"/>
        </w:rPr>
        <w:footnoteReference w:id="10"/>
      </w:r>
      <w:r>
        <w:rPr>
          <w:rFonts w:hint="eastAsia" w:asciiTheme="minorEastAsia" w:hAnsiTheme="minorEastAsia"/>
          <w:sz w:val="24"/>
          <w:szCs w:val="24"/>
        </w:rPr>
        <w:t>。到现代的一批作家，例如朱光潜先生仍然认为：“渊明在中国诗人中的地位是很崇高的。可以和他比拟的，前只有屈原，后只有杜甫”</w:t>
      </w:r>
      <w:r>
        <w:rPr>
          <w:rStyle w:val="16"/>
          <w:rFonts w:asciiTheme="minorEastAsia" w:hAnsiTheme="minorEastAsia"/>
          <w:sz w:val="24"/>
          <w:szCs w:val="24"/>
        </w:rPr>
        <w:footnoteReference w:id="11"/>
      </w:r>
      <w:r>
        <w:rPr>
          <w:rFonts w:hint="eastAsia" w:asciiTheme="minorEastAsia" w:hAnsiTheme="minorEastAsia"/>
          <w:sz w:val="24"/>
          <w:szCs w:val="24"/>
        </w:rPr>
        <w:t>历朝历代评论家和大诗人对陶诗的肯定和推崇，将陶渊明的文化地位逐步推向了可以屈原、杜甫比肩的高度。</w:t>
      </w:r>
    </w:p>
    <w:p>
      <w:pPr>
        <w:spacing w:line="360" w:lineRule="auto"/>
        <w:rPr>
          <w:rFonts w:hint="default" w:asciiTheme="minorEastAsia" w:hAnsiTheme="minorEastAsia" w:eastAsiaTheme="minorEastAsia"/>
          <w:b/>
          <w:bCs/>
          <w:sz w:val="24"/>
          <w:szCs w:val="24"/>
          <w:lang w:val="en-US" w:eastAsia="zh-CN"/>
        </w:rPr>
      </w:pPr>
      <w:r>
        <w:rPr>
          <w:rFonts w:hint="eastAsia" w:asciiTheme="minorEastAsia" w:hAnsiTheme="minorEastAsia"/>
          <w:sz w:val="24"/>
          <w:szCs w:val="24"/>
          <w:lang w:val="en-US" w:eastAsia="zh-CN"/>
        </w:rPr>
        <w:t xml:space="preserve"> </w:t>
      </w:r>
      <w:r>
        <w:rPr>
          <w:rFonts w:hint="eastAsia" w:asciiTheme="minorEastAsia" w:hAnsiTheme="minorEastAsia"/>
          <w:b/>
          <w:bCs/>
          <w:sz w:val="24"/>
          <w:szCs w:val="24"/>
          <w:lang w:val="en-US" w:eastAsia="zh-CN"/>
        </w:rPr>
        <w:t xml:space="preserve"> 四、结语</w:t>
      </w:r>
    </w:p>
    <w:p>
      <w:pPr>
        <w:spacing w:line="360" w:lineRule="auto"/>
        <w:ind w:left="239" w:leftChars="114" w:firstLine="480" w:firstLineChars="200"/>
        <w:rPr>
          <w:rFonts w:asciiTheme="minorEastAsia" w:hAnsiTheme="minorEastAsia"/>
          <w:sz w:val="24"/>
          <w:szCs w:val="24"/>
        </w:rPr>
      </w:pPr>
      <w:r>
        <w:rPr>
          <w:rFonts w:hint="eastAsia" w:asciiTheme="minorEastAsia" w:hAnsiTheme="minorEastAsia"/>
          <w:sz w:val="24"/>
          <w:szCs w:val="24"/>
        </w:rPr>
        <w:t>我们不得不承认，论陶者们很多时候加入了自己的主观意志，对陶渊明也有过分曲解的嫌疑。例如，欧阳修和苏东坡越到自己的人生后期，越是把陶渊明这个人的意义提炼为“闲适”</w:t>
      </w:r>
      <w:r>
        <w:rPr>
          <w:rStyle w:val="16"/>
          <w:rFonts w:asciiTheme="minorEastAsia" w:hAnsiTheme="minorEastAsia"/>
          <w:sz w:val="24"/>
          <w:szCs w:val="24"/>
        </w:rPr>
        <w:footnoteReference w:id="12"/>
      </w:r>
      <w:r>
        <w:rPr>
          <w:rFonts w:hint="eastAsia" w:asciiTheme="minorEastAsia" w:hAnsiTheme="minorEastAsia"/>
          <w:sz w:val="24"/>
          <w:szCs w:val="24"/>
        </w:rPr>
        <w:t>。但实际情况是，陶渊明在世时经济拮据，遇到灾荒歉收没有稳定的收入来源，还要拖家带口养育五子。可以说他一生的绝大部分时间是劳碌和困顿的，他那份难得的闲情被自己一股脑地倾泻在了诗文中，而又一味地被无数的知识分子和读书人放大了。这种放大并不难理解。文学之于文人大概也有点自欺欺人的作用。陶渊明将向往中的田园生活发于笔端，对他本人而言是一种莫大的欣慰和难得的解脱；在后世不得意者眼中，更是有文字可循的、文学世界里的大榜样，将陶潜看成了一种“补偿性和指标性的人物”</w:t>
      </w:r>
      <w:r>
        <w:rPr>
          <w:rStyle w:val="16"/>
          <w:rFonts w:asciiTheme="minorEastAsia" w:hAnsiTheme="minorEastAsia"/>
          <w:sz w:val="24"/>
          <w:szCs w:val="24"/>
        </w:rPr>
        <w:footnoteReference w:id="13"/>
      </w:r>
    </w:p>
    <w:p>
      <w:pPr>
        <w:pStyle w:val="5"/>
        <w:tabs>
          <w:tab w:val="left" w:pos="360"/>
        </w:tabs>
        <w:ind w:left="239" w:leftChars="114" w:firstLine="480" w:firstLineChars="200"/>
        <w:rPr>
          <w:rFonts w:asciiTheme="minorEastAsia" w:hAnsiTheme="minorEastAsia"/>
          <w:b/>
          <w:bCs/>
          <w:szCs w:val="24"/>
        </w:rPr>
      </w:pPr>
      <w:r>
        <w:rPr>
          <w:rFonts w:hint="eastAsia" w:asciiTheme="minorEastAsia" w:hAnsiTheme="minorEastAsia"/>
          <w:szCs w:val="24"/>
        </w:rPr>
        <w:t>陶渊明文化地位的演变实在是一起很有趣的文学现象。历史用漫长岁月为陶渊明“翻了冤案”，其身前官场的落魄和文化圈子的不得意，终于以逝后的“千秋万古名”得到了补偿。五柳先生若身后有灵，也该感欣慰。</w:t>
      </w:r>
    </w:p>
    <w:p>
      <w:pPr>
        <w:spacing w:line="360" w:lineRule="auto"/>
        <w:rPr>
          <w:rFonts w:asciiTheme="minorEastAsia" w:hAnsiTheme="minorEastAsia"/>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pPr>
      <w:r>
        <w:rPr>
          <w:rStyle w:val="16"/>
        </w:rPr>
        <w:footnoteRef/>
      </w:r>
      <w:r>
        <w:t xml:space="preserve"> </w:t>
      </w:r>
      <w:r>
        <w:rPr>
          <w:rFonts w:hint="eastAsia"/>
        </w:rPr>
        <w:t>锺嵘：《诗品》卷中，曹旭《诗品集注》，上海古籍出版社1994年版，第360页。</w:t>
      </w:r>
    </w:p>
  </w:footnote>
  <w:footnote w:id="1">
    <w:p>
      <w:pPr>
        <w:pStyle w:val="10"/>
      </w:pPr>
      <w:r>
        <w:rPr>
          <w:rStyle w:val="16"/>
        </w:rPr>
        <w:footnoteRef/>
      </w:r>
      <w:r>
        <w:t xml:space="preserve"> </w:t>
      </w:r>
      <w:r>
        <w:rPr>
          <w:rFonts w:hint="eastAsia"/>
        </w:rPr>
        <w:t>萧统：《文选序》，《文选》，中华书局1977年影印本，第2页</w:t>
      </w:r>
    </w:p>
  </w:footnote>
  <w:footnote w:id="2">
    <w:p>
      <w:pPr>
        <w:pStyle w:val="10"/>
      </w:pPr>
      <w:r>
        <w:rPr>
          <w:rStyle w:val="16"/>
        </w:rPr>
        <w:footnoteRef/>
      </w:r>
      <w:r>
        <w:t xml:space="preserve"> </w:t>
      </w:r>
      <w:r>
        <w:rPr>
          <w:rFonts w:hint="eastAsia"/>
        </w:rPr>
        <w:t>《澄明之境 陶渊明新论》 戴建业著 上海古籍出版社2012年版，</w:t>
      </w:r>
      <w:bookmarkStart w:id="2" w:name="OLE_LINK3"/>
      <w:r>
        <w:rPr>
          <w:rFonts w:hint="eastAsia"/>
        </w:rPr>
        <w:t>第2页</w:t>
      </w:r>
      <w:bookmarkEnd w:id="2"/>
    </w:p>
  </w:footnote>
  <w:footnote w:id="3">
    <w:p>
      <w:pPr>
        <w:pStyle w:val="10"/>
      </w:pPr>
      <w:r>
        <w:rPr>
          <w:rStyle w:val="16"/>
        </w:rPr>
        <w:footnoteRef/>
      </w:r>
      <w:r>
        <w:t xml:space="preserve"> </w:t>
      </w:r>
      <w:r>
        <w:rPr>
          <w:rFonts w:hint="eastAsia"/>
        </w:rPr>
        <w:t>《澄明之境 陶渊明新论》第2页</w:t>
      </w:r>
    </w:p>
  </w:footnote>
  <w:footnote w:id="4">
    <w:p>
      <w:pPr>
        <w:pStyle w:val="10"/>
      </w:pPr>
      <w:r>
        <w:rPr>
          <w:rStyle w:val="16"/>
        </w:rPr>
        <w:footnoteRef/>
      </w:r>
      <w:r>
        <w:t xml:space="preserve"> </w:t>
      </w:r>
      <w:r>
        <w:rPr>
          <w:rFonts w:hint="eastAsia"/>
        </w:rPr>
        <w:t>陈寅恪：《陶渊明之思想与清谈之关系》，《金明馆丛稿初编》，上海古籍出版社1980年版，第205页</w:t>
      </w:r>
    </w:p>
  </w:footnote>
  <w:footnote w:id="5">
    <w:p>
      <w:pPr>
        <w:pStyle w:val="10"/>
      </w:pPr>
      <w:r>
        <w:rPr>
          <w:rStyle w:val="16"/>
        </w:rPr>
        <w:footnoteRef/>
      </w:r>
      <w:r>
        <w:t xml:space="preserve"> </w:t>
      </w:r>
      <w:r>
        <w:rPr>
          <w:rFonts w:hint="eastAsia"/>
        </w:rPr>
        <w:t>朱自清：《陶诗的深度》，《朱自清古典文学论文集》下册，上海古籍出版社1981年版，第569页</w:t>
      </w:r>
    </w:p>
  </w:footnote>
  <w:footnote w:id="6">
    <w:p>
      <w:pPr>
        <w:pStyle w:val="10"/>
      </w:pPr>
      <w:r>
        <w:rPr>
          <w:rStyle w:val="16"/>
        </w:rPr>
        <w:footnoteRef/>
      </w:r>
      <w:r>
        <w:t xml:space="preserve"> </w:t>
      </w:r>
      <w:r>
        <w:rPr>
          <w:rFonts w:hint="eastAsia"/>
        </w:rPr>
        <w:t>沈德潜：《古诗源》卷九，中华书局1963年版，第204页</w:t>
      </w:r>
    </w:p>
  </w:footnote>
  <w:footnote w:id="7">
    <w:p>
      <w:pPr>
        <w:pStyle w:val="10"/>
      </w:pPr>
      <w:r>
        <w:rPr>
          <w:rStyle w:val="16"/>
        </w:rPr>
        <w:footnoteRef/>
      </w:r>
      <w:r>
        <w:rPr>
          <w:rFonts w:hint="eastAsia"/>
        </w:rPr>
        <w:t>戴建业，《澄明之境 陶渊明新论》 上海古籍出版社2012年版，第5页</w:t>
      </w:r>
    </w:p>
  </w:footnote>
  <w:footnote w:id="8">
    <w:p>
      <w:pPr>
        <w:pStyle w:val="10"/>
      </w:pPr>
      <w:r>
        <w:rPr>
          <w:rStyle w:val="16"/>
        </w:rPr>
        <w:footnoteRef/>
      </w:r>
      <w:r>
        <w:t xml:space="preserve"> </w:t>
      </w:r>
      <w:r>
        <w:rPr>
          <w:rFonts w:hint="eastAsia"/>
        </w:rPr>
        <w:t>苏轼：《与子由书》，《苏轼文集》第六册，中华书局1986年版，第2515页</w:t>
      </w:r>
    </w:p>
  </w:footnote>
  <w:footnote w:id="9">
    <w:p>
      <w:pPr>
        <w:pStyle w:val="10"/>
      </w:pPr>
      <w:r>
        <w:rPr>
          <w:rStyle w:val="16"/>
        </w:rPr>
        <w:footnoteRef/>
      </w:r>
      <w:r>
        <w:t xml:space="preserve"> </w:t>
      </w:r>
      <w:r>
        <w:rPr>
          <w:rFonts w:hint="eastAsia"/>
        </w:rPr>
        <w:t>朱熹语，引自陶澎集注《靖节先生集 诸本评陶汇集》，《四部备要本》</w:t>
      </w:r>
    </w:p>
  </w:footnote>
  <w:footnote w:id="10">
    <w:p>
      <w:pPr>
        <w:pStyle w:val="10"/>
      </w:pPr>
      <w:r>
        <w:rPr>
          <w:rStyle w:val="16"/>
        </w:rPr>
        <w:footnoteRef/>
      </w:r>
      <w:r>
        <w:t xml:space="preserve"> </w:t>
      </w:r>
      <w:r>
        <w:rPr>
          <w:rFonts w:hint="eastAsia"/>
        </w:rPr>
        <w:t>王国维：《文学小言》，《人间词话》，中国人民大学出版社2004年版，第127页</w:t>
      </w:r>
    </w:p>
  </w:footnote>
  <w:footnote w:id="11">
    <w:p>
      <w:pPr>
        <w:pStyle w:val="10"/>
      </w:pPr>
      <w:r>
        <w:rPr>
          <w:rStyle w:val="16"/>
        </w:rPr>
        <w:footnoteRef/>
      </w:r>
      <w:r>
        <w:t xml:space="preserve"> </w:t>
      </w:r>
      <w:r>
        <w:rPr>
          <w:rFonts w:hint="eastAsia"/>
        </w:rPr>
        <w:t>朱光潜：《诗论》，三联书店1984年版，第277页</w:t>
      </w:r>
    </w:p>
  </w:footnote>
  <w:footnote w:id="12">
    <w:p>
      <w:pPr>
        <w:pStyle w:val="10"/>
      </w:pPr>
      <w:r>
        <w:rPr>
          <w:rStyle w:val="16"/>
        </w:rPr>
        <w:footnoteRef/>
      </w:r>
      <w:r>
        <w:t xml:space="preserve"> </w:t>
      </w:r>
      <w:bookmarkStart w:id="3" w:name="OLE_LINK5"/>
      <w:bookmarkStart w:id="4" w:name="OLE_LINK6"/>
      <w:r>
        <w:t>张祎</w:t>
      </w:r>
      <w:r>
        <w:rPr>
          <w:rFonts w:hint="eastAsia"/>
        </w:rPr>
        <w:t>，《陶渊明的遗产》</w:t>
      </w:r>
      <w:bookmarkEnd w:id="3"/>
      <w:bookmarkEnd w:id="4"/>
      <w:r>
        <w:rPr>
          <w:rFonts w:hint="eastAsia"/>
        </w:rPr>
        <w:t>，中华书局2016年版，第389页</w:t>
      </w:r>
    </w:p>
  </w:footnote>
  <w:footnote w:id="13">
    <w:p>
      <w:pPr>
        <w:pStyle w:val="10"/>
      </w:pPr>
      <w:r>
        <w:rPr>
          <w:rStyle w:val="16"/>
        </w:rPr>
        <w:footnoteRef/>
      </w:r>
      <w:r>
        <w:rPr>
          <w:rFonts w:hint="eastAsia"/>
        </w:rPr>
        <w:t>张祎，《陶渊明的遗产》，第391页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E4FF1"/>
    <w:multiLevelType w:val="multilevel"/>
    <w:tmpl w:val="6E5E4FF1"/>
    <w:lvl w:ilvl="0" w:tentative="0">
      <w:start w:val="1"/>
      <w:numFmt w:val="japaneseCounting"/>
      <w:lvlText w:val="%1．"/>
      <w:lvlJc w:val="left"/>
      <w:pPr>
        <w:ind w:left="982" w:hanging="50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2D"/>
    <w:rsid w:val="000028A4"/>
    <w:rsid w:val="00045501"/>
    <w:rsid w:val="00066702"/>
    <w:rsid w:val="0007631A"/>
    <w:rsid w:val="000C6E9B"/>
    <w:rsid w:val="000E628B"/>
    <w:rsid w:val="001659F1"/>
    <w:rsid w:val="00165EAB"/>
    <w:rsid w:val="00183827"/>
    <w:rsid w:val="00184D5F"/>
    <w:rsid w:val="0020392D"/>
    <w:rsid w:val="002076DB"/>
    <w:rsid w:val="002744B7"/>
    <w:rsid w:val="002B7103"/>
    <w:rsid w:val="00354D80"/>
    <w:rsid w:val="003566D2"/>
    <w:rsid w:val="00360C02"/>
    <w:rsid w:val="00383873"/>
    <w:rsid w:val="003951B7"/>
    <w:rsid w:val="003D447C"/>
    <w:rsid w:val="003E104A"/>
    <w:rsid w:val="00421A17"/>
    <w:rsid w:val="00421C1A"/>
    <w:rsid w:val="00432438"/>
    <w:rsid w:val="00444543"/>
    <w:rsid w:val="00492520"/>
    <w:rsid w:val="004943A8"/>
    <w:rsid w:val="004A2FF1"/>
    <w:rsid w:val="004B6071"/>
    <w:rsid w:val="004D2D78"/>
    <w:rsid w:val="004E74EF"/>
    <w:rsid w:val="005020DD"/>
    <w:rsid w:val="00576B73"/>
    <w:rsid w:val="005961CF"/>
    <w:rsid w:val="005C1B01"/>
    <w:rsid w:val="0060119A"/>
    <w:rsid w:val="006207AD"/>
    <w:rsid w:val="00625D46"/>
    <w:rsid w:val="006779FD"/>
    <w:rsid w:val="006D349A"/>
    <w:rsid w:val="006F19C4"/>
    <w:rsid w:val="00734F46"/>
    <w:rsid w:val="007465B7"/>
    <w:rsid w:val="00774419"/>
    <w:rsid w:val="007B11F0"/>
    <w:rsid w:val="007B234F"/>
    <w:rsid w:val="007C17E2"/>
    <w:rsid w:val="007C49F7"/>
    <w:rsid w:val="007E5384"/>
    <w:rsid w:val="00805698"/>
    <w:rsid w:val="00875CD9"/>
    <w:rsid w:val="00881398"/>
    <w:rsid w:val="008966D5"/>
    <w:rsid w:val="008C3B18"/>
    <w:rsid w:val="008F487F"/>
    <w:rsid w:val="009146E1"/>
    <w:rsid w:val="00931D87"/>
    <w:rsid w:val="00946413"/>
    <w:rsid w:val="00984D84"/>
    <w:rsid w:val="009872F1"/>
    <w:rsid w:val="009A4D22"/>
    <w:rsid w:val="009B5682"/>
    <w:rsid w:val="009E621E"/>
    <w:rsid w:val="00A5021E"/>
    <w:rsid w:val="00A6188B"/>
    <w:rsid w:val="00A83128"/>
    <w:rsid w:val="00A84F3F"/>
    <w:rsid w:val="00AB5DBD"/>
    <w:rsid w:val="00B276BF"/>
    <w:rsid w:val="00B57689"/>
    <w:rsid w:val="00BA3268"/>
    <w:rsid w:val="00BD4C93"/>
    <w:rsid w:val="00BF6716"/>
    <w:rsid w:val="00C359EE"/>
    <w:rsid w:val="00C5457E"/>
    <w:rsid w:val="00C5473E"/>
    <w:rsid w:val="00C57174"/>
    <w:rsid w:val="00C644B9"/>
    <w:rsid w:val="00C878BF"/>
    <w:rsid w:val="00CC19EF"/>
    <w:rsid w:val="00CC29CE"/>
    <w:rsid w:val="00CC2F03"/>
    <w:rsid w:val="00CC43FD"/>
    <w:rsid w:val="00D05F61"/>
    <w:rsid w:val="00D4019E"/>
    <w:rsid w:val="00D45595"/>
    <w:rsid w:val="00D45ED7"/>
    <w:rsid w:val="00D50BEC"/>
    <w:rsid w:val="00DC30F1"/>
    <w:rsid w:val="00DC6833"/>
    <w:rsid w:val="00DD6D58"/>
    <w:rsid w:val="00E1493C"/>
    <w:rsid w:val="00E602F0"/>
    <w:rsid w:val="00E618D0"/>
    <w:rsid w:val="00F00EDD"/>
    <w:rsid w:val="00F33139"/>
    <w:rsid w:val="00F702A6"/>
    <w:rsid w:val="00F82F54"/>
    <w:rsid w:val="00FA5D67"/>
    <w:rsid w:val="04FE05FD"/>
    <w:rsid w:val="06821773"/>
    <w:rsid w:val="0E037719"/>
    <w:rsid w:val="35EF054A"/>
    <w:rsid w:val="43A26B93"/>
    <w:rsid w:val="52BB0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1"/>
      <w:lang w:val="en-US" w:eastAsia="zh-CN" w:bidi="ar-SA"/>
    </w:rPr>
  </w:style>
  <w:style w:type="paragraph" w:styleId="2">
    <w:name w:val="heading 1"/>
    <w:basedOn w:val="1"/>
    <w:next w:val="1"/>
    <w:link w:val="17"/>
    <w:qFormat/>
    <w:uiPriority w:val="0"/>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8"/>
    <w:semiHidden/>
    <w:unhideWhenUsed/>
    <w:qFormat/>
    <w:uiPriority w:val="0"/>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19"/>
    <w:semiHidden/>
    <w:unhideWhenUsed/>
    <w:qFormat/>
    <w:uiPriority w:val="0"/>
    <w:pPr>
      <w:keepNext/>
      <w:spacing w:before="240" w:after="60"/>
      <w:outlineLvl w:val="2"/>
    </w:pPr>
    <w:rPr>
      <w:rFonts w:asciiTheme="majorHAnsi" w:hAnsiTheme="majorHAnsi" w:eastAsiaTheme="majorEastAsia" w:cstheme="majorBidi"/>
      <w:b/>
      <w:bCs/>
      <w:sz w:val="26"/>
      <w:szCs w:val="26"/>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link w:val="22"/>
    <w:qFormat/>
    <w:uiPriority w:val="0"/>
    <w:pPr>
      <w:spacing w:line="360" w:lineRule="auto"/>
    </w:pPr>
    <w:rPr>
      <w:sz w:val="24"/>
    </w:rPr>
  </w:style>
  <w:style w:type="paragraph" w:styleId="6">
    <w:name w:val="toc 3"/>
    <w:basedOn w:val="1"/>
    <w:next w:val="1"/>
    <w:unhideWhenUsed/>
    <w:qFormat/>
    <w:uiPriority w:val="39"/>
    <w:pPr>
      <w:widowControl/>
      <w:spacing w:after="100" w:line="276" w:lineRule="auto"/>
      <w:ind w:left="440"/>
      <w:jc w:val="left"/>
    </w:pPr>
    <w:rPr>
      <w:rFonts w:asciiTheme="minorHAnsi" w:hAnsiTheme="minorHAnsi" w:cstheme="minorBidi"/>
      <w:kern w:val="0"/>
      <w:sz w:val="22"/>
      <w:szCs w:val="22"/>
      <w:lang w:eastAsia="en-US"/>
    </w:rPr>
  </w:style>
  <w:style w:type="paragraph" w:styleId="7">
    <w:name w:val="footer"/>
    <w:basedOn w:val="1"/>
    <w:link w:val="24"/>
    <w:unhideWhenUsed/>
    <w:qFormat/>
    <w:uiPriority w:val="99"/>
    <w:pPr>
      <w:tabs>
        <w:tab w:val="center" w:pos="4153"/>
        <w:tab w:val="right" w:pos="8306"/>
      </w:tabs>
      <w:snapToGrid w:val="0"/>
      <w:jc w:val="left"/>
    </w:pPr>
    <w:rPr>
      <w:sz w:val="18"/>
      <w:szCs w:val="18"/>
    </w:rPr>
  </w:style>
  <w:style w:type="paragraph" w:styleId="8">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rFonts w:asciiTheme="minorHAnsi" w:hAnsiTheme="minorHAnsi" w:cstheme="minorBidi"/>
      <w:kern w:val="0"/>
      <w:sz w:val="22"/>
      <w:szCs w:val="22"/>
      <w:lang w:eastAsia="en-US"/>
    </w:rPr>
  </w:style>
  <w:style w:type="paragraph" w:styleId="10">
    <w:name w:val="footnote text"/>
    <w:basedOn w:val="1"/>
    <w:link w:val="25"/>
    <w:semiHidden/>
    <w:unhideWhenUsed/>
    <w:qFormat/>
    <w:uiPriority w:val="99"/>
    <w:pPr>
      <w:snapToGrid w:val="0"/>
      <w:jc w:val="left"/>
    </w:pPr>
    <w:rPr>
      <w:sz w:val="18"/>
      <w:szCs w:val="18"/>
    </w:rPr>
  </w:style>
  <w:style w:type="paragraph" w:styleId="11">
    <w:name w:val="toc 2"/>
    <w:basedOn w:val="1"/>
    <w:next w:val="1"/>
    <w:unhideWhenUsed/>
    <w:qFormat/>
    <w:uiPriority w:val="39"/>
    <w:pPr>
      <w:widowControl/>
      <w:spacing w:after="100" w:line="276" w:lineRule="auto"/>
      <w:ind w:left="220"/>
      <w:jc w:val="left"/>
    </w:pPr>
    <w:rPr>
      <w:rFonts w:asciiTheme="minorHAnsi" w:hAnsiTheme="minorHAnsi" w:cstheme="minorBidi"/>
      <w:kern w:val="0"/>
      <w:sz w:val="22"/>
      <w:szCs w:val="22"/>
      <w:lang w:eastAsia="en-US"/>
    </w:rPr>
  </w:style>
  <w:style w:type="character" w:styleId="14">
    <w:name w:val="Strong"/>
    <w:basedOn w:val="13"/>
    <w:qFormat/>
    <w:uiPriority w:val="0"/>
    <w:rPr>
      <w:b/>
      <w:bCs/>
    </w:rPr>
  </w:style>
  <w:style w:type="character" w:styleId="15">
    <w:name w:val="Emphasis"/>
    <w:basedOn w:val="13"/>
    <w:qFormat/>
    <w:uiPriority w:val="20"/>
    <w:rPr>
      <w:i/>
      <w:iCs/>
    </w:rPr>
  </w:style>
  <w:style w:type="character" w:styleId="16">
    <w:name w:val="footnote reference"/>
    <w:basedOn w:val="13"/>
    <w:semiHidden/>
    <w:unhideWhenUsed/>
    <w:qFormat/>
    <w:uiPriority w:val="99"/>
    <w:rPr>
      <w:vertAlign w:val="superscript"/>
    </w:rPr>
  </w:style>
  <w:style w:type="character" w:customStyle="1" w:styleId="17">
    <w:name w:val="标题 1 Char"/>
    <w:basedOn w:val="13"/>
    <w:link w:val="2"/>
    <w:qFormat/>
    <w:uiPriority w:val="0"/>
    <w:rPr>
      <w:rFonts w:asciiTheme="majorHAnsi" w:hAnsiTheme="majorHAnsi" w:eastAsiaTheme="majorEastAsia" w:cstheme="majorBidi"/>
      <w:b/>
      <w:bCs/>
      <w:kern w:val="32"/>
      <w:sz w:val="32"/>
      <w:szCs w:val="32"/>
    </w:rPr>
  </w:style>
  <w:style w:type="character" w:customStyle="1" w:styleId="18">
    <w:name w:val="标题 2 Char"/>
    <w:basedOn w:val="13"/>
    <w:link w:val="3"/>
    <w:semiHidden/>
    <w:qFormat/>
    <w:uiPriority w:val="0"/>
    <w:rPr>
      <w:rFonts w:asciiTheme="majorHAnsi" w:hAnsiTheme="majorHAnsi" w:eastAsiaTheme="majorEastAsia" w:cstheme="majorBidi"/>
      <w:b/>
      <w:bCs/>
      <w:i/>
      <w:iCs/>
      <w:kern w:val="2"/>
      <w:sz w:val="28"/>
      <w:szCs w:val="28"/>
    </w:rPr>
  </w:style>
  <w:style w:type="character" w:customStyle="1" w:styleId="19">
    <w:name w:val="标题 3 Char"/>
    <w:basedOn w:val="13"/>
    <w:link w:val="4"/>
    <w:semiHidden/>
    <w:qFormat/>
    <w:uiPriority w:val="0"/>
    <w:rPr>
      <w:rFonts w:asciiTheme="majorHAnsi" w:hAnsiTheme="majorHAnsi" w:eastAsiaTheme="majorEastAsia" w:cstheme="majorBidi"/>
      <w:b/>
      <w:bCs/>
      <w:kern w:val="2"/>
      <w:sz w:val="26"/>
      <w:szCs w:val="26"/>
    </w:rPr>
  </w:style>
  <w:style w:type="paragraph" w:styleId="20">
    <w:name w:val="List Paragraph"/>
    <w:basedOn w:val="1"/>
    <w:qFormat/>
    <w:uiPriority w:val="99"/>
    <w:pPr>
      <w:ind w:left="720"/>
      <w:contextualSpacing/>
    </w:pPr>
  </w:style>
  <w:style w:type="paragraph" w:customStyle="1" w:styleId="21">
    <w:name w:val="TOC 标题1"/>
    <w:basedOn w:val="2"/>
    <w:next w:val="1"/>
    <w:semiHidden/>
    <w:unhideWhenUsed/>
    <w:qFormat/>
    <w:uiPriority w:val="39"/>
    <w:pPr>
      <w:keepLines/>
      <w:widowControl/>
      <w:spacing w:before="480" w:after="0" w:line="276" w:lineRule="auto"/>
      <w:jc w:val="left"/>
      <w:outlineLvl w:val="9"/>
    </w:pPr>
    <w:rPr>
      <w:color w:val="376092" w:themeColor="accent1" w:themeShade="BF"/>
      <w:kern w:val="0"/>
      <w:sz w:val="28"/>
      <w:szCs w:val="28"/>
      <w:lang w:eastAsia="en-US"/>
    </w:rPr>
  </w:style>
  <w:style w:type="character" w:customStyle="1" w:styleId="22">
    <w:name w:val="正文文本 Char"/>
    <w:basedOn w:val="13"/>
    <w:link w:val="5"/>
    <w:qFormat/>
    <w:uiPriority w:val="0"/>
    <w:rPr>
      <w:rFonts w:ascii="Times New Roman" w:hAnsi="Times New Roman"/>
      <w:kern w:val="2"/>
      <w:sz w:val="24"/>
      <w:lang w:val="en-US"/>
    </w:rPr>
  </w:style>
  <w:style w:type="character" w:customStyle="1" w:styleId="23">
    <w:name w:val="页眉 Char"/>
    <w:basedOn w:val="13"/>
    <w:link w:val="8"/>
    <w:qFormat/>
    <w:uiPriority w:val="99"/>
    <w:rPr>
      <w:rFonts w:ascii="Times New Roman" w:hAnsi="Times New Roman"/>
      <w:kern w:val="2"/>
      <w:sz w:val="18"/>
      <w:szCs w:val="18"/>
      <w:lang w:val="en-US"/>
    </w:rPr>
  </w:style>
  <w:style w:type="character" w:customStyle="1" w:styleId="24">
    <w:name w:val="页脚 Char"/>
    <w:basedOn w:val="13"/>
    <w:link w:val="7"/>
    <w:qFormat/>
    <w:uiPriority w:val="99"/>
    <w:rPr>
      <w:rFonts w:ascii="Times New Roman" w:hAnsi="Times New Roman"/>
      <w:kern w:val="2"/>
      <w:sz w:val="18"/>
      <w:szCs w:val="18"/>
      <w:lang w:val="en-US"/>
    </w:rPr>
  </w:style>
  <w:style w:type="character" w:customStyle="1" w:styleId="25">
    <w:name w:val="脚注文本 Char"/>
    <w:basedOn w:val="13"/>
    <w:link w:val="10"/>
    <w:semiHidden/>
    <w:qFormat/>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1CD73B-FFF8-44F9-B989-47B1CD40FEE1}">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4</Pages>
  <Words>499</Words>
  <Characters>2849</Characters>
  <Lines>23</Lines>
  <Paragraphs>6</Paragraphs>
  <TotalTime>580</TotalTime>
  <ScaleCrop>false</ScaleCrop>
  <LinksUpToDate>false</LinksUpToDate>
  <CharactersWithSpaces>3342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2014-05-26T06:19:00Z</dcterms:created>
  <dc:creator>User</dc:creator>
  <cp:lastModifiedBy>向程琳</cp:lastModifiedBy>
  <dcterms:modified xsi:type="dcterms:W3CDTF">2019-06-08T12:17:48Z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