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13.xml" ContentType="application/vnd.ms-office.chartcolorstyle+xml"/>
  <Override PartName="/word/charts/colors14.xml" ContentType="application/vnd.ms-office.chartcolorstyle+xml"/>
  <Override PartName="/word/charts/colors15.xml" ContentType="application/vnd.ms-office.chartcolorstyle+xml"/>
  <Override PartName="/word/charts/colors16.xml" ContentType="application/vnd.ms-office.chartcolorstyle+xml"/>
  <Override PartName="/word/charts/colors17.xml" ContentType="application/vnd.ms-office.chartcolorstyle+xml"/>
  <Override PartName="/word/charts/colors18.xml" ContentType="application/vnd.ms-office.chartcolorstyle+xml"/>
  <Override PartName="/word/charts/colors19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13.xml" ContentType="application/vnd.ms-office.chartstyle+xml"/>
  <Override PartName="/word/charts/style14.xml" ContentType="application/vnd.ms-office.chartstyle+xml"/>
  <Override PartName="/word/charts/style15.xml" ContentType="application/vnd.ms-office.chartstyle+xml"/>
  <Override PartName="/word/charts/style16.xml" ContentType="application/vnd.ms-office.chartstyle+xml"/>
  <Override PartName="/word/charts/style17.xml" ContentType="application/vnd.ms-office.chartstyle+xml"/>
  <Override PartName="/word/charts/style18.xml" ContentType="application/vnd.ms-office.chartstyle+xml"/>
  <Override PartName="/word/charts/style19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1470" w:firstLineChars="7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 两组性别分布图</w:t>
      </w:r>
    </w:p>
    <w:p>
      <w:r>
        <w:drawing>
          <wp:inline distT="0" distB="0" distL="114300" distR="114300">
            <wp:extent cx="1628775" cy="1687830"/>
            <wp:effectExtent l="4445" t="4445" r="5080" b="22225"/>
            <wp:docPr id="25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drawing>
          <wp:inline distT="0" distB="0" distL="114300" distR="114300">
            <wp:extent cx="1610360" cy="1689735"/>
            <wp:effectExtent l="4445" t="4445" r="23495" b="20320"/>
            <wp:docPr id="26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/>
    <w:p/>
    <w:p/>
    <w:p>
      <w:pPr>
        <w:ind w:firstLine="1470" w:firstLineChars="700"/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 两组年龄、身高、体重比较图</w:t>
      </w:r>
    </w:p>
    <w:p>
      <w:r>
        <w:drawing>
          <wp:inline distT="0" distB="0" distL="114300" distR="114300">
            <wp:extent cx="1153160" cy="2284095"/>
            <wp:effectExtent l="0" t="0" r="0" b="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drawing>
          <wp:inline distT="0" distB="0" distL="114300" distR="114300">
            <wp:extent cx="1229995" cy="2326005"/>
            <wp:effectExtent l="0" t="0" r="0" b="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drawing>
          <wp:inline distT="0" distB="0" distL="114300" distR="114300">
            <wp:extent cx="1180465" cy="2329815"/>
            <wp:effectExtent l="0" t="0" r="0" b="0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1050" w:firstLineChars="500"/>
        <w:rPr>
          <w:rFonts w:hint="eastAsia"/>
          <w:lang w:eastAsia="zh-CN"/>
        </w:rPr>
      </w:pPr>
    </w:p>
    <w:p>
      <w:pPr>
        <w:ind w:firstLine="630" w:firstLineChars="300"/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 两组吸烟史比较图</w:t>
      </w:r>
    </w:p>
    <w:p>
      <w:r>
        <w:drawing>
          <wp:inline distT="0" distB="0" distL="114300" distR="114300">
            <wp:extent cx="2021205" cy="2280920"/>
            <wp:effectExtent l="0" t="0" r="0" b="0"/>
            <wp:docPr id="27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/>
    <w:p>
      <w:pPr>
        <w:ind w:firstLine="1470" w:firstLineChars="700"/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 两组效比较图治疗后疗</w:t>
      </w:r>
    </w:p>
    <w:p>
      <w:r>
        <w:drawing>
          <wp:inline distT="0" distB="0" distL="114300" distR="114300">
            <wp:extent cx="3308985" cy="1819275"/>
            <wp:effectExtent l="5080" t="4445" r="19685" b="5080"/>
            <wp:docPr id="1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ind w:firstLine="2310" w:firstLineChars="11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 治疗前后两组细胞免疫功能比较图</w:t>
      </w:r>
    </w:p>
    <w:p>
      <w:pPr>
        <w:ind w:left="0"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779270" cy="2261870"/>
            <wp:effectExtent l="0" t="0" r="0" b="0"/>
            <wp:docPr id="10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drawing>
          <wp:inline distT="0" distB="0" distL="114300" distR="114300">
            <wp:extent cx="1739265" cy="2219325"/>
            <wp:effectExtent l="0" t="0" r="0" b="0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drawing>
          <wp:inline distT="0" distB="0" distL="114300" distR="114300">
            <wp:extent cx="1751330" cy="2250440"/>
            <wp:effectExtent l="0" t="0" r="0" b="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ind w:left="0" w:leftChars="0" w:firstLine="2520" w:firstLineChars="1200"/>
        <w:jc w:val="left"/>
        <w:rPr>
          <w:rFonts w:hint="eastAsia"/>
          <w:lang w:eastAsia="zh-CN"/>
        </w:rPr>
      </w:pPr>
    </w:p>
    <w:p>
      <w:pPr>
        <w:ind w:left="0" w:leftChars="0" w:firstLine="2520" w:firstLineChars="1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 治疗前后两组体液免疫功能比较图</w:t>
      </w:r>
    </w:p>
    <w:p>
      <w:pPr>
        <w:ind w:left="0" w:leftChars="0"/>
        <w:jc w:val="center"/>
      </w:pPr>
      <w:r>
        <w:drawing>
          <wp:inline distT="0" distB="0" distL="114300" distR="114300">
            <wp:extent cx="1811020" cy="2171700"/>
            <wp:effectExtent l="0" t="0" r="0" b="0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drawing>
          <wp:inline distT="0" distB="0" distL="114300" distR="114300">
            <wp:extent cx="1634490" cy="1977390"/>
            <wp:effectExtent l="0" t="0" r="0" b="0"/>
            <wp:docPr id="13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drawing>
          <wp:inline distT="0" distB="0" distL="114300" distR="114300">
            <wp:extent cx="1813560" cy="2177415"/>
            <wp:effectExtent l="0" t="0" r="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ind w:left="0" w:leftChars="0"/>
        <w:jc w:val="left"/>
      </w:pPr>
    </w:p>
    <w:p>
      <w:pPr>
        <w:ind w:left="0" w:leftChars="0"/>
        <w:jc w:val="left"/>
      </w:pPr>
    </w:p>
    <w:p>
      <w:pPr>
        <w:ind w:left="0" w:leftChars="0"/>
        <w:jc w:val="left"/>
      </w:pPr>
      <w:r>
        <w:fldChar w:fldCharType="begin"/>
      </w:r>
      <w:r>
        <w:rPr>
          <w:rFonts w:hint="eastAsia"/>
          <w:lang w:eastAsia="zh-CN"/>
        </w:rPr>
        <w:instrText xml:space="preserve"> ADDIN NE.Ref.{2FC3A5BE-9302-44AD-A68E-A0E20E7F4964}</w:instrText>
      </w:r>
      <w:r>
        <w:fldChar w:fldCharType="separate"/>
      </w:r>
      <w:r>
        <w:rPr>
          <w:rFonts w:hint="eastAsia" w:ascii="宋体" w:hAnsi="宋体"/>
          <w:color w:val="080000"/>
          <w:sz w:val="21"/>
          <w:vertAlign w:val="superscript"/>
        </w:rPr>
        <w:t>[1, 2]</w:t>
      </w:r>
      <w:r>
        <w:fldChar w:fldCharType="end"/>
      </w:r>
    </w:p>
    <w:p>
      <w:pPr>
        <w:ind w:firstLine="2940" w:firstLineChars="1400"/>
        <w:jc w:val="left"/>
        <w:rPr>
          <w:rFonts w:hint="eastAsia"/>
          <w:lang w:eastAsia="zh-CN"/>
        </w:rPr>
      </w:pPr>
    </w:p>
    <w:p>
      <w:pPr>
        <w:ind w:firstLine="2940" w:firstLineChars="1400"/>
        <w:jc w:val="left"/>
        <w:rPr>
          <w:rFonts w:hint="eastAsia"/>
          <w:lang w:eastAsia="zh-CN"/>
        </w:rPr>
      </w:pPr>
    </w:p>
    <w:p>
      <w:pPr>
        <w:ind w:firstLine="2940" w:firstLineChars="1400"/>
        <w:jc w:val="left"/>
        <w:rPr>
          <w:rFonts w:hint="eastAsia"/>
          <w:lang w:eastAsia="zh-CN"/>
        </w:rPr>
      </w:pPr>
    </w:p>
    <w:p>
      <w:pPr>
        <w:ind w:firstLine="2940" w:firstLineChars="1400"/>
        <w:jc w:val="left"/>
        <w:rPr>
          <w:rFonts w:hint="eastAsia"/>
          <w:lang w:eastAsia="zh-CN"/>
        </w:rPr>
      </w:pPr>
    </w:p>
    <w:p>
      <w:pPr>
        <w:ind w:firstLine="2940" w:firstLineChars="1400"/>
        <w:jc w:val="left"/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6 治疗前后两组肺功能比较图</w:t>
      </w:r>
    </w:p>
    <w:p>
      <w:pPr>
        <w:ind w:left="0" w:leftChars="0"/>
        <w:jc w:val="center"/>
      </w:pPr>
      <w:r>
        <w:drawing>
          <wp:inline distT="0" distB="0" distL="114300" distR="114300">
            <wp:extent cx="1976755" cy="2291080"/>
            <wp:effectExtent l="0" t="0" r="0" b="0"/>
            <wp:docPr id="22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drawing>
          <wp:inline distT="0" distB="0" distL="114300" distR="114300">
            <wp:extent cx="1971675" cy="2287270"/>
            <wp:effectExtent l="0" t="0" r="0" b="0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ind w:left="0" w:leftChars="0"/>
        <w:jc w:val="center"/>
      </w:pPr>
    </w:p>
    <w:p>
      <w:pPr>
        <w:ind w:left="0" w:leftChars="0"/>
        <w:jc w:val="both"/>
        <w:rPr>
          <w:rFonts w:hint="eastAsia"/>
          <w:lang w:eastAsia="zh-CN"/>
        </w:rPr>
      </w:pPr>
    </w:p>
    <w:p>
      <w:pPr>
        <w:ind w:left="0" w:leftChars="0"/>
        <w:jc w:val="center"/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7 治疗前后两组动脉血气分析比较图</w:t>
      </w:r>
    </w:p>
    <w:p>
      <w:pPr>
        <w:ind w:left="0" w:leftChars="0"/>
        <w:jc w:val="center"/>
      </w:pPr>
      <w:r>
        <w:drawing>
          <wp:inline distT="0" distB="0" distL="114300" distR="114300">
            <wp:extent cx="2058035" cy="224028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drawing>
          <wp:inline distT="0" distB="0" distL="114300" distR="114300">
            <wp:extent cx="2019935" cy="2259330"/>
            <wp:effectExtent l="0" t="0" r="0" b="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ind w:left="0" w:leftChars="0"/>
        <w:jc w:val="center"/>
      </w:pPr>
    </w:p>
    <w:p>
      <w:pPr>
        <w:ind w:left="0" w:leftChars="0"/>
        <w:jc w:val="center"/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8 治疗前后两组动脉血气分析比较图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drawing>
          <wp:inline distT="0" distB="0" distL="114300" distR="114300">
            <wp:extent cx="2120900" cy="2311400"/>
            <wp:effectExtent l="0" t="0" r="0" b="0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drawing>
          <wp:inline distT="0" distB="0" distL="114300" distR="114300">
            <wp:extent cx="2143760" cy="2309495"/>
            <wp:effectExtent l="0" t="0" r="0" b="0"/>
            <wp:docPr id="21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fldChar w:fldCharType="begin"/>
      </w:r>
      <w:r>
        <w:rPr>
          <w:rFonts w:hint="eastAsia"/>
          <w:lang w:eastAsia="zh-CN"/>
        </w:rPr>
        <w:instrText xml:space="preserve"> ADDIN NE.Bib</w:instrText>
      </w:r>
      <w:r>
        <w:fldChar w:fldCharType="separate"/>
      </w:r>
    </w:p>
    <w:p>
      <w:pPr>
        <w:ind w:left="0" w:leftChars="0"/>
        <w:jc w:val="center"/>
      </w:pP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altName w:val="宋体"/>
    <w:panose1 w:val="02010509060101010101"/>
    <w:charset w:val="86"/>
    <w:family w:val="roman"/>
    <w:pitch w:val="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2FC3A5BE-9302-44AD-A68E-A0E20E7F4964}" w:val=" ADDIN NE.Ref.{2FC3A5BE-9302-44AD-A68E-A0E20E7F4964}&lt;Citation&gt;&lt;Group&gt;&lt;References&gt;&lt;Item&gt;&lt;ID&gt;2&lt;/ID&gt;&lt;UID&gt;{FBF85F59-CD72-4F5B-ABEF-1A551878813F}&lt;/UID&gt;&lt;Title&gt;芪黄益肺合剂治疗慢性阻塞性肺疾病急性加重期的临床分析&lt;/Title&gt;&lt;Template&gt;Journal Article&lt;/Template&gt;&lt;Star&gt;0&lt;/Star&gt;&lt;Tag&gt;0&lt;/Tag&gt;&lt;Author&gt;顾力华,刘明,付义,魏丹霞,庞永诚,余晓玲,梁富庭&lt;/Author&gt;&lt;Year&gt;2013&lt;/Year&gt;&lt;Details&gt;&lt;_journal&gt;辽宁中医杂志&lt;/_journal&gt;&lt;_created&gt;62808111&lt;/_created&gt;&lt;_modified&gt;62808111&lt;/_modified&gt;&lt;_db_provider&gt;CNKI&lt;/_db_provider&gt;&lt;_collection_scope&gt;PKU&lt;/_collection_scope&gt;&lt;_translated_author&gt;Gu Li Hua, Liuming&lt;/_translated_author&gt;&lt;/Details&gt;&lt;Extra&gt;&lt;DBUID&gt;{B3D93CB6-325A-455A-987E-EFDA6B51495E}&lt;/DBUID&gt;&lt;/Extra&gt;&lt;/Item&gt;&lt;/References&gt;&lt;/Group&gt;&lt;Group&gt;&lt;References&gt;&lt;Item&gt;&lt;ID&gt;1&lt;/ID&gt;&lt;UID&gt;{EDE64186-3508-48E6-9AF4-8C0A286B19D8}&lt;/UID&gt;&lt;Title&gt;芪黄益肺合剂治疗慢性肺源性心脏病87例临床观察&lt;/Title&gt;&lt;Template&gt;Journal Article&lt;/Template&gt;&lt;Star&gt;0&lt;/Star&gt;&lt;Tag&gt;0&lt;/Tag&gt;&lt;Author&gt;刘明,魏丹霞,庞永诚,付义,余晓玲,顾力华&lt;/Author&gt;&lt;Year&gt;2014&lt;/Year&gt;&lt;Details&gt;&lt;_journal&gt;云南中医中药杂志&lt;/_journal&gt;&lt;_created&gt;62808111&lt;/_created&gt;&lt;_modified&gt;62808111&lt;/_modified&gt;&lt;_db_provider&gt;CNKI&lt;/_db_provider&gt;&lt;_translated_author&gt;Liuming, Weidanxia&lt;/_translated_author&gt;&lt;/Details&gt;&lt;Extra&gt;&lt;DBUID&gt;{B3D93CB6-325A-455A-987E-EFDA6B51495E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05"/>
  </w:docVars>
  <w:rsids>
    <w:rsidRoot w:val="00172A27"/>
    <w:rsid w:val="5C9F4953"/>
    <w:rsid w:val="72C8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chart" Target="charts/chart19.xml"/><Relationship Id="rId21" Type="http://schemas.openxmlformats.org/officeDocument/2006/relationships/chart" Target="charts/chart18.xml"/><Relationship Id="rId20" Type="http://schemas.openxmlformats.org/officeDocument/2006/relationships/chart" Target="charts/chart17.xml"/><Relationship Id="rId2" Type="http://schemas.openxmlformats.org/officeDocument/2006/relationships/settings" Target="settings.xml"/><Relationship Id="rId19" Type="http://schemas.openxmlformats.org/officeDocument/2006/relationships/chart" Target="charts/chart16.xml"/><Relationship Id="rId18" Type="http://schemas.openxmlformats.org/officeDocument/2006/relationships/chart" Target="charts/chart15.xml"/><Relationship Id="rId17" Type="http://schemas.openxmlformats.org/officeDocument/2006/relationships/chart" Target="charts/chart14.xml"/><Relationship Id="rId16" Type="http://schemas.openxmlformats.org/officeDocument/2006/relationships/chart" Target="charts/chart13.xml"/><Relationship Id="rId15" Type="http://schemas.openxmlformats.org/officeDocument/2006/relationships/chart" Target="charts/chart12.xml"/><Relationship Id="rId14" Type="http://schemas.openxmlformats.org/officeDocument/2006/relationships/chart" Target="charts/chart1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19.xml"/><Relationship Id="rId2" Type="http://schemas.microsoft.com/office/2011/relationships/chartStyle" Target="style19.xml"/><Relationship Id="rId1" Type="http://schemas.openxmlformats.org/officeDocument/2006/relationships/oleObject" Target="Book1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Book1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Book1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Book1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Book1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Book1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Book1" TargetMode="External"/></Relationships>
</file>

<file path=word/charts/_rels/chart18.xml.rels><?xml version="1.0" encoding="UTF-8" standalone="yes"?>
<Relationships xmlns="http://schemas.openxmlformats.org/package/2006/relationships"><Relationship Id="rId3" Type="http://schemas.microsoft.com/office/2011/relationships/chartColorStyle" Target="colors17.xml"/><Relationship Id="rId2" Type="http://schemas.microsoft.com/office/2011/relationships/chartStyle" Target="style17.xml"/><Relationship Id="rId1" Type="http://schemas.openxmlformats.org/officeDocument/2006/relationships/oleObject" Target="Book1" TargetMode="External"/></Relationships>
</file>

<file path=word/charts/_rels/chart19.xml.rels><?xml version="1.0" encoding="UTF-8" standalone="yes"?>
<Relationships xmlns="http://schemas.openxmlformats.org/package/2006/relationships"><Relationship Id="rId3" Type="http://schemas.microsoft.com/office/2011/relationships/chartColorStyle" Target="colors18.xml"/><Relationship Id="rId2" Type="http://schemas.microsoft.com/office/2011/relationships/chartStyle" Target="style18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C:\Users\Administrator\Desktop\&#26032;&#24314;%20XLSX%20&#24037;&#20316;&#34920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Book1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200" b="0">
                <a:solidFill>
                  <a:schemeClr val="tx1"/>
                </a:solidFill>
              </a:rPr>
              <a:t>治疗组（</a:t>
            </a:r>
            <a:r>
              <a:rPr lang="en-US" altLang="zh-CN" sz="1200" b="0">
                <a:solidFill>
                  <a:schemeClr val="tx1"/>
                </a:solidFill>
              </a:rPr>
              <a:t>n=31</a:t>
            </a:r>
            <a:r>
              <a:rPr sz="1200" b="0">
                <a:solidFill>
                  <a:schemeClr val="tx1"/>
                </a:solidFill>
              </a:rPr>
              <a:t>）</a:t>
            </a:r>
            <a:endParaRPr lang="en-US" altLang="zh-CN" sz="1200" b="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61770775657573"/>
          <c:y val="0.11053287320821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[Book1]Sheet1!$A$43</c:f>
              <c:strCache>
                <c:ptCount val="1"/>
                <c:pt idx="0">
                  <c:v>治疗组</c:v>
                </c:pt>
              </c:strCache>
            </c:strRef>
          </c:tx>
          <c:spPr>
            <a:solidFill>
              <a:schemeClr val="accent6"/>
            </a:solidFill>
          </c:spPr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0.149437653785517"/>
                  <c:y val="-0.211544688962897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男
24例</a:t>
                    </a:r>
                  </a:p>
                </c:rich>
              </c:tx>
              <c:dLblPos val="bestFit"/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55683305250274"/>
                  <c:y val="0.190048082975359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女
7例</a:t>
                    </a:r>
                  </a:p>
                </c:rich>
              </c:tx>
              <c:dLblPos val="bestFit"/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1"/>
            <c:showVal val="1"/>
            <c:showCatName val="1"/>
            <c:showSerName val="1"/>
            <c:showPercent val="1"/>
            <c:showBubbleSize val="1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[Book1]Sheet1!$B$43:$C$43</c:f>
              <c:numCache>
                <c:formatCode>General</c:formatCode>
                <c:ptCount val="2"/>
                <c:pt idx="0">
                  <c:v>24</c:v>
                </c:pt>
                <c:pt idx="1">
                  <c:v>7</c:v>
                </c:pt>
              </c:numCache>
            </c:numRef>
          </c:val>
        </c:ser>
        <c:dLbls>
          <c:showLegendKey val="1"/>
          <c:showVal val="1"/>
          <c:showCatName val="1"/>
          <c:showSerName val="1"/>
          <c:showPercent val="1"/>
          <c:showBubbleSize val="1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solidFill>
                  <a:schemeClr val="tx1"/>
                </a:solidFill>
              </a:rPr>
              <a:t>Ts</a:t>
            </a:r>
            <a:endParaRPr lang="en-US" altLang="zh-CN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536802030456853"/>
          <c:y val="0.042325056433408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[Book1]Sheet1!$B$14:$B$15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[Book1]Sheet1!$C$14:$C$15</c:f>
              <c:numCache>
                <c:formatCode>General</c:formatCode>
                <c:ptCount val="2"/>
                <c:pt idx="0">
                  <c:v>25.4</c:v>
                </c:pt>
                <c:pt idx="1">
                  <c:v>24.47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[Book1]Sheet1!$B$14:$B$15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[Book1]Sheet1!$D$14:$D$15</c:f>
              <c:numCache>
                <c:formatCode>General</c:formatCode>
                <c:ptCount val="2"/>
                <c:pt idx="0">
                  <c:v>20.55</c:v>
                </c:pt>
                <c:pt idx="1">
                  <c:v>20.91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50975616"/>
        <c:axId val="150977536"/>
      </c:barChart>
      <c:catAx>
        <c:axId val="150975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0977536"/>
        <c:crosses val="autoZero"/>
        <c:auto val="1"/>
        <c:lblAlgn val="ctr"/>
        <c:lblOffset val="100"/>
        <c:noMultiLvlLbl val="0"/>
      </c:catAx>
      <c:valAx>
        <c:axId val="1509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solidFill>
                      <a:schemeClr val="tx1"/>
                    </a:solidFill>
                  </a:rPr>
                  <a:t>%</a:t>
                </a:r>
                <a:endParaRPr lang="en-US" altLang="zh-CN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109435588108574"/>
              <c:y val="0.05471734892787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097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22516316171139"/>
          <c:y val="0.88710043074132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>
                <a:solidFill>
                  <a:schemeClr val="tx1"/>
                </a:solidFill>
              </a:rPr>
              <a:t>IgM</a:t>
            </a:r>
            <a:endParaRPr lang="en-US" altLang="zh-CN" sz="12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514025245441795"/>
          <c:y val="0.10087719298245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[Book1]Sheet1!$B$19:$B$20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[Book1]Sheet1!$C$19:$C$20</c:f>
              <c:numCache>
                <c:formatCode>General</c:formatCode>
                <c:ptCount val="2"/>
                <c:pt idx="0">
                  <c:v>10.178</c:v>
                </c:pt>
                <c:pt idx="1">
                  <c:v>10.587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[Book1]Sheet1!$B$19:$B$20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[Book1]Sheet1!$D$19:$D$20</c:f>
              <c:numCache>
                <c:formatCode>General</c:formatCode>
                <c:ptCount val="2"/>
                <c:pt idx="0">
                  <c:v>12.804</c:v>
                </c:pt>
                <c:pt idx="1">
                  <c:v>11.607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51091840"/>
        <c:axId val="91410432"/>
      </c:barChart>
      <c:catAx>
        <c:axId val="151091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1410432"/>
        <c:crosses val="autoZero"/>
        <c:auto val="1"/>
        <c:lblAlgn val="ctr"/>
        <c:lblOffset val="100"/>
        <c:noMultiLvlLbl val="0"/>
      </c:catAx>
      <c:valAx>
        <c:axId val="9141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>
                    <a:solidFill>
                      <a:schemeClr val="tx1"/>
                    </a:solidFill>
                  </a:rPr>
                  <a:t>单位：</a:t>
                </a:r>
                <a:r>
                  <a:rPr lang="en-US" altLang="zh-CN">
                    <a:solidFill>
                      <a:schemeClr val="tx1"/>
                    </a:solidFill>
                  </a:rPr>
                  <a:t>g/L</a:t>
                </a:r>
                <a:endParaRPr lang="en-US" altLang="zh-CN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0876577840112202"/>
              <c:y val="0.3156850187180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109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14381806534273"/>
          <c:y val="0.86339297224326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>
                <a:solidFill>
                  <a:schemeClr val="tx1"/>
                </a:solidFill>
              </a:rPr>
              <a:t>IgG</a:t>
            </a:r>
            <a:endParaRPr lang="en-US" altLang="zh-CN" sz="12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514374514374514"/>
          <c:y val="0.0096339113680154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46501729183293"/>
          <c:y val="0.16278056221399"/>
          <c:w val="0.69976057462091"/>
          <c:h val="0.5389845282196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[Book1]Sheet1!$B$21:$B$22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[Book1]Sheet1!$C$21:$C$22</c:f>
              <c:numCache>
                <c:formatCode>General</c:formatCode>
                <c:ptCount val="2"/>
                <c:pt idx="0">
                  <c:v>1.3</c:v>
                </c:pt>
                <c:pt idx="1">
                  <c:v>1.248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[Book1]Sheet1!$B$21:$B$22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[Book1]Sheet1!$D$21:$D$22</c:f>
              <c:numCache>
                <c:formatCode>General</c:formatCode>
                <c:ptCount val="2"/>
                <c:pt idx="0">
                  <c:v>1.627</c:v>
                </c:pt>
                <c:pt idx="1">
                  <c:v>1.433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52586112"/>
        <c:axId val="146957056"/>
      </c:barChart>
      <c:catAx>
        <c:axId val="152586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6957056"/>
        <c:crosses val="autoZero"/>
        <c:auto val="1"/>
        <c:lblAlgn val="ctr"/>
        <c:lblOffset val="100"/>
        <c:noMultiLvlLbl val="0"/>
      </c:catAx>
      <c:valAx>
        <c:axId val="14695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>
                    <a:solidFill>
                      <a:schemeClr val="tx1"/>
                    </a:solidFill>
                  </a:rPr>
                  <a:t>单位：</a:t>
                </a:r>
                <a:r>
                  <a:rPr lang="en-US" altLang="zh-CN">
                    <a:solidFill>
                      <a:schemeClr val="tx1"/>
                    </a:solidFill>
                  </a:rPr>
                  <a:t>g/L</a:t>
                </a:r>
                <a:endParaRPr lang="en-US" altLang="zh-CN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258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27577811376891"/>
          <c:y val="0.851639716896811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>
                <a:solidFill>
                  <a:schemeClr val="tx1"/>
                </a:solidFill>
              </a:rPr>
              <a:t>IgA</a:t>
            </a:r>
            <a:endParaRPr lang="en-US" altLang="zh-CN" sz="12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536064425770308"/>
          <c:y val="0.083114610673665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[Book1]Sheet1!$B$17:$B$18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[Book1]Sheet1!$C$17:$C$18</c:f>
              <c:numCache>
                <c:formatCode>General</c:formatCode>
                <c:ptCount val="2"/>
                <c:pt idx="0">
                  <c:v>2.149</c:v>
                </c:pt>
                <c:pt idx="1">
                  <c:v>2.197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[Book1]Sheet1!$B$17:$B$18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[Book1]Sheet1!$D$17:$D$18</c:f>
              <c:numCache>
                <c:formatCode>General</c:formatCode>
                <c:ptCount val="2"/>
                <c:pt idx="0">
                  <c:v>2.177</c:v>
                </c:pt>
                <c:pt idx="1">
                  <c:v>2.212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44442112"/>
        <c:axId val="145680640"/>
      </c:barChart>
      <c:catAx>
        <c:axId val="144442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5680640"/>
        <c:crosses val="autoZero"/>
        <c:auto val="1"/>
        <c:lblAlgn val="ctr"/>
        <c:lblOffset val="100"/>
        <c:noMultiLvlLbl val="0"/>
      </c:catAx>
      <c:valAx>
        <c:axId val="1456806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>
                    <a:solidFill>
                      <a:schemeClr val="tx1"/>
                    </a:solidFill>
                  </a:rPr>
                  <a:t>单位：</a:t>
                </a:r>
                <a:r>
                  <a:rPr lang="en-US" altLang="zh-CN">
                    <a:solidFill>
                      <a:schemeClr val="tx1"/>
                    </a:solidFill>
                  </a:rPr>
                  <a:t>g/L</a:t>
                </a:r>
                <a:endParaRPr lang="en-US" altLang="zh-CN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444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39110644257703"/>
          <c:y val="0.867764997332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>
                <a:solidFill>
                  <a:schemeClr val="tx1"/>
                </a:solidFill>
              </a:rPr>
              <a:t>FEV1/FVC</a:t>
            </a:r>
            <a:endParaRPr lang="en-US" altLang="zh-CN" sz="12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441519546027743"/>
          <c:y val="0.033259423503325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[Book1]Sheet1!$B$24:$B$25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[Book1]Sheet1!$C$24:$C$25</c:f>
              <c:numCache>
                <c:formatCode>General</c:formatCode>
                <c:ptCount val="2"/>
                <c:pt idx="0">
                  <c:v>52.64</c:v>
                </c:pt>
                <c:pt idx="1">
                  <c:v>52.58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[Book1]Sheet1!$B$24:$B$25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[Book1]Sheet1!$D$24:$D$25</c:f>
              <c:numCache>
                <c:formatCode>General</c:formatCode>
                <c:ptCount val="2"/>
                <c:pt idx="0">
                  <c:v>63.24</c:v>
                </c:pt>
                <c:pt idx="1">
                  <c:v>58.81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52611456"/>
        <c:axId val="158538368"/>
      </c:barChart>
      <c:catAx>
        <c:axId val="152611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8538368"/>
        <c:crosses val="autoZero"/>
        <c:auto val="1"/>
        <c:lblAlgn val="ctr"/>
        <c:lblOffset val="100"/>
        <c:noMultiLvlLbl val="0"/>
      </c:catAx>
      <c:valAx>
        <c:axId val="15853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solidFill>
                      <a:schemeClr val="tx1"/>
                    </a:solidFill>
                  </a:rPr>
                  <a:t>%</a:t>
                </a:r>
                <a:endParaRPr lang="en-US" altLang="zh-CN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095059880239521"/>
              <c:y val="0.053272727272727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261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36093222937749"/>
          <c:y val="0.88746145940390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>
                <a:solidFill>
                  <a:schemeClr val="tx1"/>
                </a:solidFill>
              </a:rPr>
              <a:t>FEV1/FEV1</a:t>
            </a:r>
            <a:r>
              <a:rPr altLang="en-US" sz="1200">
                <a:solidFill>
                  <a:schemeClr val="tx1"/>
                </a:solidFill>
              </a:rPr>
              <a:t>预计值</a:t>
            </a:r>
            <a:endParaRPr altLang="en-US" sz="12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27751572327044"/>
          <c:y val="0.033879164313946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[Book1]Sheet1!$B$26:$B$27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[Book1]Sheet1!$C$26:$C$27</c:f>
              <c:numCache>
                <c:formatCode>General</c:formatCode>
                <c:ptCount val="2"/>
                <c:pt idx="0">
                  <c:v>46</c:v>
                </c:pt>
                <c:pt idx="1">
                  <c:v>47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[Book1]Sheet1!$B$26:$B$27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[Book1]Sheet1!$D$26:$D$27</c:f>
              <c:numCache>
                <c:formatCode>General</c:formatCode>
                <c:ptCount val="2"/>
                <c:pt idx="0">
                  <c:v>61</c:v>
                </c:pt>
                <c:pt idx="1">
                  <c:v>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91928832"/>
        <c:axId val="140534144"/>
      </c:barChart>
      <c:catAx>
        <c:axId val="91928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0534144"/>
        <c:crosses val="autoZero"/>
        <c:auto val="1"/>
        <c:lblAlgn val="ctr"/>
        <c:lblOffset val="100"/>
        <c:noMultiLvlLbl val="0"/>
      </c:catAx>
      <c:valAx>
        <c:axId val="14053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solidFill>
                      <a:schemeClr val="tx1"/>
                    </a:solidFill>
                  </a:rPr>
                  <a:t>%</a:t>
                </a:r>
                <a:endParaRPr lang="en-US" altLang="zh-CN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082256169212691"/>
              <c:y val="0.03669224555735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192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49615975422427"/>
          <c:y val="0.8873456790123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>
                <a:solidFill>
                  <a:schemeClr val="tx1"/>
                </a:solidFill>
              </a:rPr>
              <a:t>PaO</a:t>
            </a:r>
            <a:r>
              <a:rPr lang="en-US" altLang="zh-CN" sz="1200" baseline="-25000">
                <a:solidFill>
                  <a:schemeClr val="tx1"/>
                </a:solidFill>
              </a:rPr>
              <a:t>2</a:t>
            </a:r>
            <a:endParaRPr lang="en-US" altLang="zh-CN" sz="1200" baseline="-250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48410984264116"/>
          <c:y val="0.029761904761904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[Book1]Sheet1!$B$29:$B$30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[Book1]Sheet1!$C$29:$C$30</c:f>
              <c:numCache>
                <c:formatCode>General</c:formatCode>
                <c:ptCount val="2"/>
                <c:pt idx="0">
                  <c:v>54.06</c:v>
                </c:pt>
                <c:pt idx="1">
                  <c:v>52.1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[Book1]Sheet1!$B$29:$B$30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[Book1]Sheet1!$D$29:$D$30</c:f>
              <c:numCache>
                <c:formatCode>General</c:formatCode>
                <c:ptCount val="2"/>
                <c:pt idx="0">
                  <c:v>63.48</c:v>
                </c:pt>
                <c:pt idx="1">
                  <c:v>58.8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46123008"/>
        <c:axId val="146867328"/>
      </c:barChart>
      <c:catAx>
        <c:axId val="146123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6867328"/>
        <c:crosses val="autoZero"/>
        <c:auto val="1"/>
        <c:lblAlgn val="ctr"/>
        <c:lblOffset val="100"/>
        <c:noMultiLvlLbl val="0"/>
      </c:catAx>
      <c:valAx>
        <c:axId val="14686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>
                    <a:solidFill>
                      <a:schemeClr val="tx1"/>
                    </a:solidFill>
                  </a:rPr>
                  <a:t>单位：</a:t>
                </a:r>
                <a:r>
                  <a:rPr lang="en-US" altLang="zh-CN">
                    <a:solidFill>
                      <a:schemeClr val="tx1"/>
                    </a:solidFill>
                  </a:rPr>
                  <a:t>KPa</a:t>
                </a:r>
                <a:endParaRPr lang="en-US" altLang="zh-CN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612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55657574939238"/>
          <c:y val="0.89403508771929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>
                <a:solidFill>
                  <a:schemeClr val="tx1"/>
                </a:solidFill>
              </a:rPr>
              <a:t>PaCO</a:t>
            </a:r>
            <a:r>
              <a:rPr lang="en-US" altLang="zh-CN" sz="1200" baseline="-25000">
                <a:solidFill>
                  <a:schemeClr val="tx1"/>
                </a:solidFill>
              </a:rPr>
              <a:t>2</a:t>
            </a:r>
            <a:endParaRPr lang="en-US" altLang="zh-CN" sz="1200" baseline="-250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45001571832757"/>
          <c:y val="0.029510961214165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[Book1]Sheet1!$B$31:$B$32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[Book1]Sheet1!$C$31:$C$32</c:f>
              <c:numCache>
                <c:formatCode>General</c:formatCode>
                <c:ptCount val="2"/>
                <c:pt idx="0">
                  <c:v>38.48</c:v>
                </c:pt>
                <c:pt idx="1">
                  <c:v>38.43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[Book1]Sheet1!$B$31:$B$32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[Book1]Sheet1!$D$31:$D$32</c:f>
              <c:numCache>
                <c:formatCode>General</c:formatCode>
                <c:ptCount val="2"/>
                <c:pt idx="0">
                  <c:v>32</c:v>
                </c:pt>
                <c:pt idx="1">
                  <c:v>33.97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60114560"/>
        <c:axId val="160260096"/>
      </c:barChart>
      <c:catAx>
        <c:axId val="16011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60260096"/>
        <c:crosses val="autoZero"/>
        <c:auto val="1"/>
        <c:lblAlgn val="ctr"/>
        <c:lblOffset val="100"/>
        <c:noMultiLvlLbl val="0"/>
      </c:catAx>
      <c:valAx>
        <c:axId val="16026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zh-CN">
                    <a:solidFill>
                      <a:schemeClr val="tx1"/>
                    </a:solidFill>
                  </a:rPr>
                  <a:t>单位：</a:t>
                </a:r>
                <a:r>
                  <a:rPr lang="en-US" altLang="zh-CN">
                    <a:solidFill>
                      <a:schemeClr val="tx1"/>
                    </a:solidFill>
                  </a:rPr>
                  <a:t>KPa</a:t>
                </a:r>
                <a:endParaRPr lang="en-US" altLang="zh-CN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6011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5156900860872"/>
          <c:y val="0.89057750759878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sz="1200">
                <a:solidFill>
                  <a:schemeClr val="tx1"/>
                </a:solidFill>
              </a:rPr>
              <a:t>CAT评分</a:t>
            </a:r>
            <a:endParaRPr sz="12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434258954032074"/>
          <c:y val="0.01737349140112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[Book1]Sheet1!$A$35:$A$36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[Book1]Sheet1!$B$35:$B$36</c:f>
              <c:numCache>
                <c:formatCode>General</c:formatCode>
                <c:ptCount val="2"/>
                <c:pt idx="0">
                  <c:v>30.1</c:v>
                </c:pt>
                <c:pt idx="1">
                  <c:v>30.73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[Book1]Sheet1!$A$35:$A$36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[Book1]Sheet1!$C$35:$C$36</c:f>
              <c:numCache>
                <c:formatCode>General</c:formatCode>
                <c:ptCount val="2"/>
                <c:pt idx="0">
                  <c:v>25.9</c:v>
                </c:pt>
                <c:pt idx="1">
                  <c:v>27.13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51090304"/>
        <c:axId val="152586112"/>
      </c:barChart>
      <c:catAx>
        <c:axId val="151090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2586112"/>
        <c:crosses val="autoZero"/>
        <c:auto val="1"/>
        <c:lblAlgn val="ctr"/>
        <c:lblOffset val="100"/>
        <c:noMultiLvlLbl val="0"/>
      </c:catAx>
      <c:valAx>
        <c:axId val="1525861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>
                    <a:solidFill>
                      <a:schemeClr val="tx1"/>
                    </a:solidFill>
                  </a:rPr>
                  <a:t>单位：分</a:t>
                </a:r>
                <a:endParaRPr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109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52429596907786"/>
          <c:y val="0.88554658840792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sz="1200">
                <a:solidFill>
                  <a:schemeClr val="tx1"/>
                </a:solidFill>
              </a:rPr>
              <a:t>中医证候总积分</a:t>
            </a:r>
            <a:endParaRPr sz="12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323176084140079"/>
          <c:y val="0.02294693925887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[Book1]Sheet1!$A$39:$A$40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[Book1]Sheet1!$B$39:$B$40</c:f>
              <c:numCache>
                <c:formatCode>General</c:formatCode>
                <c:ptCount val="2"/>
                <c:pt idx="0">
                  <c:v>20.16</c:v>
                </c:pt>
                <c:pt idx="1">
                  <c:v>20.37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[Book1]Sheet1!$A$39:$A$40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[Book1]Sheet1!$C$39:$C$40</c:f>
              <c:numCache>
                <c:formatCode>General</c:formatCode>
                <c:ptCount val="2"/>
                <c:pt idx="0">
                  <c:v>9.65</c:v>
                </c:pt>
                <c:pt idx="1">
                  <c:v>11.97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51089536"/>
        <c:axId val="152585344"/>
      </c:barChart>
      <c:catAx>
        <c:axId val="151089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2585344"/>
        <c:crosses val="autoZero"/>
        <c:auto val="1"/>
        <c:lblAlgn val="ctr"/>
        <c:lblOffset val="100"/>
        <c:noMultiLvlLbl val="0"/>
      </c:catAx>
      <c:valAx>
        <c:axId val="15258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>
                    <a:solidFill>
                      <a:schemeClr val="tx1"/>
                    </a:solidFill>
                  </a:rPr>
                  <a:t>单位：分</a:t>
                </a:r>
                <a:endParaRPr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1089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52418300653595"/>
          <c:y val="0.885937119181087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200" b="0">
                <a:solidFill>
                  <a:schemeClr val="tx1"/>
                </a:solidFill>
              </a:rPr>
              <a:t>对照组（</a:t>
            </a:r>
            <a:r>
              <a:rPr lang="en-US" altLang="zh-CN" sz="1200" b="0">
                <a:solidFill>
                  <a:schemeClr val="tx1"/>
                </a:solidFill>
              </a:rPr>
              <a:t>n=30</a:t>
            </a:r>
            <a:r>
              <a:rPr sz="1200" b="0">
                <a:solidFill>
                  <a:schemeClr val="tx1"/>
                </a:solidFill>
              </a:rPr>
              <a:t>）</a:t>
            </a:r>
            <a:endParaRPr lang="en-US" altLang="zh-CN" sz="1200" b="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83655059909178"/>
          <c:y val="0.10885567378720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62353858145"/>
          <c:y val="0.269548872180451"/>
          <c:w val="0.671473109898675"/>
          <c:h val="0.647744360902256"/>
        </c:manualLayout>
      </c:layout>
      <c:pieChart>
        <c:varyColors val="1"/>
        <c:ser>
          <c:idx val="0"/>
          <c:order val="0"/>
          <c:tx>
            <c:strRef>
              <c:f>[Book1]Sheet1!$A$44</c:f>
              <c:strCache>
                <c:ptCount val="1"/>
                <c:pt idx="0">
                  <c:v>对照组</c:v>
                </c:pt>
              </c:strCache>
            </c:strRef>
          </c:tx>
          <c:spPr>
            <a:solidFill>
              <a:schemeClr val="accent6"/>
            </a:solidFill>
          </c:spPr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0.0484474513088588"/>
                  <c:y val="-0.23267117255786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男
26例</a:t>
                    </a:r>
                  </a:p>
                </c:rich>
              </c:tx>
              <c:dLblPos val="bestFit"/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713821243179607"/>
                  <c:y val="0.225019344758444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女
4例</a:t>
                    </a:r>
                  </a:p>
                </c:rich>
              </c:tx>
              <c:dLblPos val="bestFit"/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1"/>
            <c:showVal val="1"/>
            <c:showCatName val="1"/>
            <c:showSerName val="1"/>
            <c:showPercent val="1"/>
            <c:showBubbleSize val="1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[Book1]Sheet1!$B$44:$C$44</c:f>
              <c:numCache>
                <c:formatCode>General</c:formatCode>
                <c:ptCount val="2"/>
                <c:pt idx="0">
                  <c:v>26</c:v>
                </c:pt>
                <c:pt idx="1">
                  <c:v>4</c:v>
                </c:pt>
              </c:numCache>
            </c:numRef>
          </c:val>
        </c:ser>
        <c:dLbls>
          <c:showLegendKey val="1"/>
          <c:showVal val="1"/>
          <c:showCatName val="1"/>
          <c:showSerName val="1"/>
          <c:showPercent val="1"/>
          <c:showBubbleSize val="1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>
                <a:solidFill>
                  <a:schemeClr val="tx1"/>
                </a:solidFill>
                <a:latin typeface="+mn-ea"/>
              </a:rPr>
              <a:t>年龄</a:t>
            </a:r>
            <a:endParaRPr>
              <a:solidFill>
                <a:schemeClr val="tx1"/>
              </a:solidFill>
              <a:latin typeface="+mn-ea"/>
            </a:endParaRPr>
          </a:p>
        </c:rich>
      </c:tx>
      <c:layout>
        <c:manualLayout>
          <c:xMode val="edge"/>
          <c:yMode val="edge"/>
          <c:x val="0.514285347753417"/>
          <c:y val="0.014966818815554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delete val="1"/>
          </c:dLbls>
          <c:cat>
            <c:strRef>
              <c:f>[Book1]Sheet1!$B$3:$B$4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[Book1]Sheet1!$C$3:$C$4</c:f>
              <c:numCache>
                <c:formatCode>General</c:formatCode>
                <c:ptCount val="2"/>
                <c:pt idx="0">
                  <c:v>73.13</c:v>
                </c:pt>
                <c:pt idx="1">
                  <c:v>72.1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0"/>
        <c:axId val="103248256"/>
        <c:axId val="103555072"/>
      </c:barChart>
      <c:catAx>
        <c:axId val="103248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03555072"/>
        <c:crosses val="autoZero"/>
        <c:auto val="1"/>
        <c:lblAlgn val="ctr"/>
        <c:lblOffset val="100"/>
        <c:noMultiLvlLbl val="0"/>
      </c:catAx>
      <c:valAx>
        <c:axId val="1035550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000">
                    <a:solidFill>
                      <a:schemeClr val="tx1"/>
                    </a:solidFill>
                  </a:rPr>
                  <a:t>单位：岁</a:t>
                </a:r>
                <a:endParaRPr sz="1000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0324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 sz="1000">
          <a:solidFill>
            <a:schemeClr val="tx1"/>
          </a:solidFill>
        </a:defRPr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00" b="0" i="0" u="none" strike="noStrike" kern="1200" cap="none" spc="0" normalizeH="0" baseline="0">
                <a:solidFill>
                  <a:schemeClr val="tx1"/>
                </a:solidFill>
                <a:latin typeface="+mj-lt"/>
                <a:ea typeface="+mj-ea"/>
                <a:cs typeface="+mj-cs"/>
              </a:defRPr>
            </a:pPr>
            <a:r>
              <a:rPr>
                <a:solidFill>
                  <a:schemeClr val="tx1"/>
                </a:solidFill>
              </a:rPr>
              <a:t>身高</a:t>
            </a:r>
            <a:endParaRPr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49909814386773"/>
          <c:y val="0.035739315757753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delete val="1"/>
          </c:dLbls>
          <c:cat>
            <c:strRef>
              <c:f>[Book1]Sheet1!$B$5:$B$6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[Book1]Sheet1!$C$5:$C$6</c:f>
              <c:numCache>
                <c:formatCode>General</c:formatCode>
                <c:ptCount val="2"/>
                <c:pt idx="0">
                  <c:v>164.61</c:v>
                </c:pt>
                <c:pt idx="1">
                  <c:v>162.73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0"/>
        <c:axId val="156305664"/>
        <c:axId val="156336896"/>
      </c:barChart>
      <c:catAx>
        <c:axId val="156305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cap="none" spc="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6336896"/>
        <c:crosses val="autoZero"/>
        <c:auto val="1"/>
        <c:lblAlgn val="ctr"/>
        <c:lblOffset val="100"/>
        <c:noMultiLvlLbl val="0"/>
      </c:catAx>
      <c:valAx>
        <c:axId val="1563368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000">
                    <a:solidFill>
                      <a:schemeClr val="tx1"/>
                    </a:solidFill>
                  </a:rPr>
                  <a:t>单位：厘米</a:t>
                </a:r>
                <a:endParaRPr sz="1000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6305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 sz="1000">
          <a:solidFill>
            <a:schemeClr val="tx1"/>
          </a:solidFill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00" b="0" i="0" u="none" strike="noStrike" kern="1200" cap="none" spc="0" normalizeH="0" baseline="0">
                <a:solidFill>
                  <a:schemeClr val="tx1"/>
                </a:solidFill>
                <a:latin typeface="+mj-lt"/>
                <a:ea typeface="+mj-ea"/>
                <a:cs typeface="+mj-cs"/>
              </a:defRPr>
            </a:pPr>
            <a:r>
              <a:rPr>
                <a:solidFill>
                  <a:schemeClr val="tx1"/>
                </a:solidFill>
              </a:rPr>
              <a:t>体重</a:t>
            </a:r>
            <a:endParaRPr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493601456503687"/>
          <c:y val="0.032359019303364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delete val="1"/>
          </c:dLbls>
          <c:cat>
            <c:strRef>
              <c:f>[Book1]Sheet1!$B$7:$B$8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[Book1]Sheet1!$C$7:$C$8</c:f>
              <c:numCache>
                <c:formatCode>General</c:formatCode>
                <c:ptCount val="2"/>
                <c:pt idx="0">
                  <c:v>61.39</c:v>
                </c:pt>
                <c:pt idx="1">
                  <c:v>59.17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45"/>
        <c:axId val="155965696"/>
        <c:axId val="156338816"/>
      </c:barChart>
      <c:catAx>
        <c:axId val="155965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cap="none" spc="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6338816"/>
        <c:crosses val="autoZero"/>
        <c:auto val="1"/>
        <c:lblAlgn val="ctr"/>
        <c:lblOffset val="100"/>
        <c:noMultiLvlLbl val="0"/>
      </c:catAx>
      <c:valAx>
        <c:axId val="1563388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000">
                    <a:solidFill>
                      <a:schemeClr val="tx1"/>
                    </a:solidFill>
                  </a:rPr>
                  <a:t>单位：千克</a:t>
                </a:r>
                <a:endParaRPr sz="10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0305555555555556"/>
              <c:y val="0.4351757072032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596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 sz="1000">
          <a:solidFill>
            <a:schemeClr val="tx1"/>
          </a:solidFill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有吸烟史</c:f>
              <c:strCache>
                <c:ptCount val="1"/>
                <c:pt idx="0">
                  <c:v>有吸烟史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[Book1]Sheet1!$A$50:$A$51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[Book1]Sheet1!$B$50:$B$51</c:f>
              <c:numCache>
                <c:formatCode>General</c:formatCode>
                <c:ptCount val="2"/>
                <c:pt idx="0">
                  <c:v>20</c:v>
                </c:pt>
                <c:pt idx="1">
                  <c:v>21</c:v>
                </c:pt>
              </c:numCache>
            </c:numRef>
          </c:val>
        </c:ser>
        <c:ser>
          <c:idx val="1"/>
          <c:order val="1"/>
          <c:tx>
            <c:strRef>
              <c:f>无吸烟史</c:f>
              <c:strCache>
                <c:ptCount val="1"/>
                <c:pt idx="0">
                  <c:v>无吸烟史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delete val="1"/>
          </c:dLbls>
          <c:cat>
            <c:strRef>
              <c:f>[Book1]Sheet1!$A$50:$A$51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[Book1]Sheet1!$C$50:$C$51</c:f>
              <c:numCache>
                <c:formatCode>General</c:formatCode>
                <c:ptCount val="2"/>
                <c:pt idx="0">
                  <c:v>11</c:v>
                </c:pt>
                <c:pt idx="1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6"/>
        <c:overlap val="0"/>
        <c:axId val="98422144"/>
        <c:axId val="140533120"/>
      </c:barChart>
      <c:catAx>
        <c:axId val="98422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0533120"/>
        <c:crosses val="autoZero"/>
        <c:auto val="1"/>
        <c:lblAlgn val="ctr"/>
        <c:lblOffset val="100"/>
        <c:noMultiLvlLbl val="0"/>
      </c:catAx>
      <c:valAx>
        <c:axId val="14053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>
                    <a:solidFill>
                      <a:schemeClr val="tx1"/>
                    </a:solidFill>
                  </a:rPr>
                  <a:t>单位：例</a:t>
                </a:r>
                <a:endParaRPr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2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315853819335373"/>
          <c:y val="0.87009843441219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'[新建 XLSX 工作表.xlsx]Sheet1'!$A$2</c:f>
              <c:strCache>
                <c:ptCount val="1"/>
                <c:pt idx="0">
                  <c:v>治疗组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'[新建 XLSX 工作表.xlsx]Sheet1'!$B$1:$D$1</c:f>
              <c:strCache>
                <c:ptCount val="3"/>
                <c:pt idx="0">
                  <c:v>显效</c:v>
                </c:pt>
                <c:pt idx="1">
                  <c:v>有效</c:v>
                </c:pt>
                <c:pt idx="2">
                  <c:v>无效</c:v>
                </c:pt>
              </c:strCache>
            </c:strRef>
          </c:cat>
          <c:val>
            <c:numRef>
              <c:f>'[新建 XLSX 工作表.xlsx]Sheet1'!$B$2:$D$2</c:f>
              <c:numCache>
                <c:formatCode>General</c:formatCode>
                <c:ptCount val="3"/>
                <c:pt idx="0">
                  <c:v>9</c:v>
                </c:pt>
                <c:pt idx="1">
                  <c:v>16</c:v>
                </c:pt>
                <c:pt idx="2">
                  <c:v>5</c:v>
                </c:pt>
              </c:numCache>
            </c:numRef>
          </c:val>
        </c:ser>
        <c:ser>
          <c:idx val="1"/>
          <c:order val="1"/>
          <c:tx>
            <c:strRef>
              <c:f>'[新建 XLSX 工作表.xlsx]Sheet1'!$A$3</c:f>
              <c:strCache>
                <c:ptCount val="1"/>
                <c:pt idx="0">
                  <c:v>对照组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'[新建 XLSX 工作表.xlsx]Sheet1'!$B$1:$D$1</c:f>
              <c:strCache>
                <c:ptCount val="3"/>
                <c:pt idx="0">
                  <c:v>显效</c:v>
                </c:pt>
                <c:pt idx="1">
                  <c:v>有效</c:v>
                </c:pt>
                <c:pt idx="2">
                  <c:v>无效</c:v>
                </c:pt>
              </c:strCache>
            </c:strRef>
          </c:cat>
          <c:val>
            <c:numRef>
              <c:f>'[新建 XLSX 工作表.xlsx]Sheet1'!$B$3:$D$3</c:f>
              <c:numCache>
                <c:formatCode>General</c:formatCode>
                <c:ptCount val="3"/>
                <c:pt idx="0">
                  <c:v>4</c:v>
                </c:pt>
                <c:pt idx="1">
                  <c:v>15</c:v>
                </c:pt>
                <c:pt idx="2">
                  <c:v>11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6"/>
        <c:overlap val="0"/>
        <c:axId val="161040728"/>
        <c:axId val="992289502"/>
      </c:barChart>
      <c:catAx>
        <c:axId val="161040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2289502"/>
        <c:crosses val="autoZero"/>
        <c:auto val="1"/>
        <c:lblAlgn val="ctr"/>
        <c:lblOffset val="100"/>
        <c:noMultiLvlLbl val="0"/>
      </c:catAx>
      <c:valAx>
        <c:axId val="99228950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zh-CN"/>
                  <a:t>单位：例</a:t>
                </a:r>
                <a:endParaRPr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1040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0145845327192"/>
          <c:y val="0.421640488656195"/>
          <c:w val="0.154097102283631"/>
          <c:h val="0.36300174520069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altLang="zh-CN" sz="1200">
                <a:solidFill>
                  <a:schemeClr val="tx1"/>
                </a:solidFill>
              </a:rPr>
              <a:t>总</a:t>
            </a:r>
            <a:r>
              <a:rPr lang="en-US" altLang="zh-CN" sz="1200">
                <a:solidFill>
                  <a:schemeClr val="tx1"/>
                </a:solidFill>
              </a:rPr>
              <a:t>T</a:t>
            </a:r>
            <a:r>
              <a:rPr altLang="en-US" sz="1200">
                <a:solidFill>
                  <a:schemeClr val="tx1"/>
                </a:solidFill>
              </a:rPr>
              <a:t>淋巴细胞</a:t>
            </a:r>
            <a:endParaRPr altLang="en-US" sz="12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371079776378119"/>
          <c:y val="0.0559851645930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[Book1]Sheet1!$B$10:$B$11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[Book1]Sheet1!$C$10:$C$11</c:f>
              <c:numCache>
                <c:formatCode>General</c:formatCode>
                <c:ptCount val="2"/>
                <c:pt idx="0">
                  <c:v>61.71</c:v>
                </c:pt>
                <c:pt idx="1">
                  <c:v>61.99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gradFill>
              <a:gsLst>
                <a:gs pos="100000">
                  <a:schemeClr val="accent6"/>
                </a:gs>
                <a:gs pos="100000">
                  <a:srgbClr val="035C7D"/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gradFill>
                <a:gsLst>
                  <a:gs pos="100000">
                    <a:schemeClr val="accent6"/>
                  </a:gs>
                  <a:gs pos="100000">
                    <a:srgbClr val="035C7D"/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gradFill>
                <a:gsLst>
                  <a:gs pos="100000">
                    <a:schemeClr val="accent6"/>
                  </a:gs>
                  <a:gs pos="100000">
                    <a:srgbClr val="035C7D"/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Lbls>
            <c:delete val="1"/>
          </c:dLbls>
          <c:cat>
            <c:strRef>
              <c:f>[Book1]Sheet1!$B$10:$B$11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[Book1]Sheet1!$D$10:$D$11</c:f>
              <c:numCache>
                <c:formatCode>General</c:formatCode>
                <c:ptCount val="2"/>
                <c:pt idx="0">
                  <c:v>70.16</c:v>
                </c:pt>
                <c:pt idx="1">
                  <c:v>63.32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51086208"/>
        <c:axId val="151088128"/>
      </c:barChart>
      <c:catAx>
        <c:axId val="151086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1088128"/>
        <c:crosses val="autoZero"/>
        <c:auto val="1"/>
        <c:lblAlgn val="ctr"/>
        <c:lblOffset val="100"/>
        <c:noMultiLvlLbl val="0"/>
      </c:catAx>
      <c:valAx>
        <c:axId val="1510881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>
                    <a:solidFill>
                      <a:schemeClr val="tx1"/>
                    </a:solidFill>
                  </a:rPr>
                  <a:t>%</a:t>
                </a:r>
                <a:endParaRPr lang="en-US" altLang="zh-CN" sz="10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127549824150059"/>
              <c:y val="0.05282651072124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108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276945039257673"/>
          <c:y val="0.884973857694931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 sz="1000">
          <a:solidFill>
            <a:schemeClr val="tx1"/>
          </a:solidFill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solidFill>
                  <a:schemeClr val="tx1"/>
                </a:solidFill>
              </a:rPr>
              <a:t>Th</a:t>
            </a:r>
            <a:endParaRPr lang="en-US" altLang="zh-CN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559328221978824"/>
          <c:y val="0.030042918454935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治疗前</c:f>
              <c:strCache>
                <c:ptCount val="1"/>
                <c:pt idx="0">
                  <c:v>治疗前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[Book1]Sheet1!$B$12:$B$13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[Book1]Sheet1!$C$12:$C$13</c:f>
              <c:numCache>
                <c:formatCode>General</c:formatCode>
                <c:ptCount val="2"/>
                <c:pt idx="0">
                  <c:v>33.18</c:v>
                </c:pt>
                <c:pt idx="1">
                  <c:v>33.23</c:v>
                </c:pt>
              </c:numCache>
            </c:numRef>
          </c:val>
        </c:ser>
        <c:ser>
          <c:idx val="1"/>
          <c:order val="1"/>
          <c:tx>
            <c:strRef>
              <c:f>治疗后</c:f>
              <c:strCache>
                <c:ptCount val="1"/>
                <c:pt idx="0">
                  <c:v>治疗后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[Book1]Sheet1!$B$12:$B$13</c:f>
              <c:strCache>
                <c:ptCount val="2"/>
                <c:pt idx="0">
                  <c:v>治疗组</c:v>
                </c:pt>
                <c:pt idx="1">
                  <c:v>对照组</c:v>
                </c:pt>
              </c:strCache>
            </c:strRef>
          </c:cat>
          <c:val>
            <c:numRef>
              <c:f>[Book1]Sheet1!$D$12:$D$13</c:f>
              <c:numCache>
                <c:formatCode>General</c:formatCode>
                <c:ptCount val="2"/>
                <c:pt idx="0">
                  <c:v>45.21</c:v>
                </c:pt>
                <c:pt idx="1">
                  <c:v>38.08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0"/>
        <c:axId val="151089152"/>
        <c:axId val="152586880"/>
      </c:barChart>
      <c:catAx>
        <c:axId val="1510891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2586880"/>
        <c:crosses val="autoZero"/>
        <c:auto val="1"/>
        <c:lblAlgn val="ctr"/>
        <c:lblOffset val="100"/>
        <c:noMultiLvlLbl val="0"/>
      </c:catAx>
      <c:valAx>
        <c:axId val="15258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solidFill>
                      <a:schemeClr val="tx1"/>
                    </a:solidFill>
                  </a:rPr>
                  <a:t>%</a:t>
                </a:r>
                <a:endParaRPr lang="en-US" altLang="zh-CN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116444866920152"/>
              <c:y val="0.061820307932176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108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299379335523914"/>
          <c:y val="0.89116719242902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10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11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12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13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14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15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18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19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5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6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7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8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9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2019-06-02T10:07:20Z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