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4"/>
          <w:szCs w:val="24"/>
        </w:rPr>
      </w:pPr>
      <w:r>
        <w:rPr>
          <w:rFonts w:hint="default"/>
          <w:sz w:val="24"/>
          <w:szCs w:val="24"/>
          <w:lang w:val="en-US" w:eastAsia="zh-CN"/>
        </w:rPr>
        <w:t>外包企业道德领导与企业道德风险的关系研究-基于传媒外包组织制度的比较</w:t>
      </w:r>
    </w:p>
    <w:p>
      <w:pPr>
        <w:jc w:val="both"/>
        <w:rPr>
          <w:sz w:val="24"/>
          <w:szCs w:val="24"/>
        </w:rPr>
      </w:pPr>
      <w:r>
        <w:rPr>
          <w:rFonts w:hint="default"/>
          <w:sz w:val="24"/>
          <w:szCs w:val="24"/>
          <w:lang w:val="en-US" w:eastAsia="zh-CN"/>
        </w:rPr>
        <w:t>（赵丽华，三峡大学经济与管理学院，湖北宜昌，443002）</w:t>
      </w:r>
    </w:p>
    <w:p>
      <w:pPr>
        <w:rPr>
          <w:sz w:val="24"/>
          <w:szCs w:val="24"/>
        </w:rPr>
      </w:pPr>
      <w:r>
        <w:rPr>
          <w:rFonts w:hint="default"/>
          <w:sz w:val="24"/>
          <w:szCs w:val="24"/>
          <w:lang w:val="en-US" w:eastAsia="zh-CN"/>
        </w:rPr>
        <w:t>study on relationship between moral leadership of outsourcing enterprise and moral hazard-a comparison on the difference in media organization institution。</w:t>
      </w:r>
    </w:p>
    <w:p>
      <w:pPr>
        <w:rPr>
          <w:rFonts w:hint="default"/>
          <w:sz w:val="24"/>
          <w:szCs w:val="24"/>
          <w:lang w:val="en-US"/>
        </w:rPr>
      </w:pPr>
      <w:r>
        <w:rPr>
          <w:rFonts w:hint="default"/>
          <w:sz w:val="24"/>
          <w:szCs w:val="24"/>
          <w:lang w:val="en-US"/>
        </w:rPr>
        <w:t>zhaolihua,economic and management college in threeGorge University,Yichang in Hubei,443002。</w:t>
      </w:r>
    </w:p>
    <w:p>
      <w:pPr>
        <w:rPr>
          <w:sz w:val="24"/>
          <w:szCs w:val="24"/>
        </w:rPr>
      </w:pPr>
      <w:r>
        <w:rPr>
          <w:rFonts w:hint="default"/>
          <w:sz w:val="24"/>
          <w:szCs w:val="24"/>
          <w:lang w:val="en-US"/>
        </w:rPr>
        <w:t>作者简介:赵丽华，男（1979年-）。管理学硕士，中级职称。研究方向:企业管理；媒介营销。邮箱:1572208954@qq.com。</w:t>
      </w:r>
    </w:p>
    <w:p>
      <w:pPr>
        <w:rPr>
          <w:sz w:val="24"/>
          <w:szCs w:val="24"/>
        </w:rPr>
      </w:pPr>
      <w:r>
        <w:rPr>
          <w:rFonts w:hint="default"/>
          <w:sz w:val="24"/>
          <w:szCs w:val="24"/>
          <w:lang w:val="en-US"/>
        </w:rPr>
        <w:t>摘要：企业道德风险是企业内部管理与外部业务交易过程中员工的不道德行为。它是企业委托代理经营关系的必然产物，它的产生与发展给企业效益与声誉等造成损失。</w:t>
      </w:r>
      <w:r>
        <w:rPr>
          <w:rFonts w:hint="default"/>
          <w:sz w:val="24"/>
          <w:szCs w:val="24"/>
          <w:lang w:val="en-US" w:eastAsia="zh-CN"/>
        </w:rPr>
        <w:t>企业道德领导对企业道德文化有重要作用，能有效改善企业经营管理过程中的道德风险。</w:t>
      </w:r>
      <w:r>
        <w:rPr>
          <w:rFonts w:hint="default"/>
          <w:sz w:val="24"/>
          <w:szCs w:val="24"/>
          <w:lang w:val="en-US"/>
        </w:rPr>
        <w:t>本文将从企业道德领导为视角，通过对湖北、广东等地几家传媒外包服务公司的员工进行问卷调查研究，对</w:t>
      </w:r>
      <w:r>
        <w:rPr>
          <w:rFonts w:hint="default"/>
          <w:sz w:val="24"/>
          <w:szCs w:val="24"/>
          <w:lang w:val="en-US" w:eastAsia="zh-CN"/>
        </w:rPr>
        <w:t>企业道德领导对企业道德风险的影响</w:t>
      </w:r>
      <w:r>
        <w:rPr>
          <w:rFonts w:hint="default"/>
          <w:sz w:val="24"/>
          <w:szCs w:val="24"/>
          <w:lang w:val="en-US"/>
        </w:rPr>
        <w:t>展开实证研究，结果表明，两个变量之间的关系在外包组织制度上存在差异性</w:t>
      </w:r>
      <w:r>
        <w:rPr>
          <w:rFonts w:hint="default"/>
          <w:sz w:val="24"/>
          <w:szCs w:val="24"/>
          <w:lang w:val="en-US" w:eastAsia="zh-CN"/>
        </w:rPr>
        <w:t>。这</w:t>
      </w:r>
      <w:r>
        <w:rPr>
          <w:rFonts w:hint="default"/>
          <w:sz w:val="24"/>
          <w:szCs w:val="24"/>
          <w:lang w:val="en-US"/>
        </w:rPr>
        <w:t>对不同传媒外包组织制度如何进行道德建设提出了一些建议。</w:t>
      </w:r>
    </w:p>
    <w:p>
      <w:pPr>
        <w:rPr>
          <w:rFonts w:hint="default"/>
          <w:sz w:val="24"/>
          <w:szCs w:val="24"/>
          <w:lang w:val="en-US"/>
        </w:rPr>
      </w:pPr>
      <w:r>
        <w:rPr>
          <w:rFonts w:hint="default"/>
          <w:sz w:val="24"/>
          <w:szCs w:val="24"/>
          <w:lang w:val="en-US"/>
        </w:rPr>
        <w:t>关键词:道德领导；</w:t>
      </w:r>
      <w:r>
        <w:rPr>
          <w:rFonts w:hint="default"/>
          <w:sz w:val="24"/>
          <w:szCs w:val="24"/>
          <w:lang w:val="en-US" w:eastAsia="zh-CN"/>
        </w:rPr>
        <w:t>道德风险；传媒外包</w:t>
      </w:r>
      <w:r>
        <w:rPr>
          <w:rFonts w:hint="default"/>
          <w:sz w:val="24"/>
          <w:szCs w:val="24"/>
          <w:lang w:val="en-US"/>
        </w:rPr>
        <w:t>。</w:t>
      </w:r>
    </w:p>
    <w:p>
      <w:pPr>
        <w:rPr>
          <w:rFonts w:hint="default"/>
          <w:sz w:val="24"/>
          <w:szCs w:val="24"/>
          <w:lang w:val="en-US"/>
        </w:rPr>
      </w:pPr>
      <w:r>
        <w:rPr>
          <w:rFonts w:hint="eastAsia"/>
          <w:sz w:val="24"/>
          <w:szCs w:val="24"/>
          <w:lang w:val="en-US" w:eastAsia="zh-CN"/>
        </w:rPr>
        <w:t>Key words:</w:t>
      </w:r>
      <w:r>
        <w:rPr>
          <w:rFonts w:hint="default"/>
          <w:sz w:val="24"/>
          <w:szCs w:val="24"/>
          <w:lang w:val="en-US" w:eastAsia="zh-CN"/>
        </w:rPr>
        <w:t>moral leadership</w:t>
      </w:r>
      <w:r>
        <w:rPr>
          <w:rFonts w:hint="eastAsia"/>
          <w:sz w:val="24"/>
          <w:szCs w:val="24"/>
          <w:lang w:val="en-US" w:eastAsia="zh-CN"/>
        </w:rPr>
        <w:t>;moral hazard;</w:t>
      </w:r>
      <w:r>
        <w:rPr>
          <w:rFonts w:hint="default"/>
          <w:sz w:val="24"/>
          <w:szCs w:val="24"/>
          <w:lang w:val="en-US" w:eastAsia="zh-CN"/>
        </w:rPr>
        <w:t>media</w:t>
      </w:r>
      <w:r>
        <w:rPr>
          <w:rFonts w:hint="eastAsia"/>
          <w:sz w:val="24"/>
          <w:szCs w:val="24"/>
          <w:lang w:val="en-US" w:eastAsia="zh-CN"/>
        </w:rPr>
        <w:t xml:space="preserve"> </w:t>
      </w:r>
      <w:r>
        <w:rPr>
          <w:rFonts w:hint="default"/>
          <w:sz w:val="24"/>
          <w:szCs w:val="24"/>
          <w:lang w:val="en-US" w:eastAsia="zh-CN"/>
        </w:rPr>
        <w:t xml:space="preserve"> </w:t>
      </w:r>
      <w:r>
        <w:rPr>
          <w:rFonts w:hint="eastAsia"/>
          <w:sz w:val="24"/>
          <w:szCs w:val="24"/>
          <w:lang w:val="en-US" w:eastAsia="zh-CN"/>
        </w:rPr>
        <w:t>outsourcing.</w:t>
      </w:r>
    </w:p>
    <w:p>
      <w:pPr>
        <w:rPr>
          <w:sz w:val="24"/>
          <w:szCs w:val="24"/>
        </w:rPr>
      </w:pPr>
      <w:r>
        <w:rPr>
          <w:rFonts w:hint="default"/>
          <w:sz w:val="24"/>
          <w:szCs w:val="24"/>
        </w:rPr>
        <w:t>随着社会主义市场经济逐渐趋向于新常态化发展，为企业在管理机制及运营模式上的进一步完善与优化注入了新鲜的动力，同时也对现有企业</w:t>
      </w:r>
      <w:r>
        <w:rPr>
          <w:rFonts w:hint="default"/>
          <w:sz w:val="24"/>
          <w:szCs w:val="24"/>
          <w:lang w:val="en-US"/>
        </w:rPr>
        <w:t>道德建设</w:t>
      </w:r>
      <w:r>
        <w:rPr>
          <w:rFonts w:hint="default"/>
          <w:sz w:val="24"/>
          <w:szCs w:val="24"/>
        </w:rPr>
        <w:t>工作</w:t>
      </w:r>
      <w:r>
        <w:rPr>
          <w:rFonts w:hint="default"/>
          <w:sz w:val="24"/>
          <w:szCs w:val="24"/>
          <w:lang w:val="en-US"/>
        </w:rPr>
        <w:t>与管理机制、运营模式与道德文化</w:t>
      </w:r>
      <w:r>
        <w:rPr>
          <w:rFonts w:hint="default"/>
          <w:sz w:val="24"/>
          <w:szCs w:val="24"/>
        </w:rPr>
        <w:t>工作提出了更高的要求。</w:t>
      </w:r>
      <w:r>
        <w:rPr>
          <w:rFonts w:hint="default"/>
          <w:sz w:val="24"/>
          <w:szCs w:val="24"/>
          <w:lang w:val="en-US"/>
        </w:rPr>
        <w:t xml:space="preserve">本文通过企业道德领导的角度来分析道德型领导在完善与优化企业道德管理方面的新鲜动力。对于这些问题，本文拟通过在传媒外包服务商中开展问卷调查，从实证角度展开研究，进一步完善相关理论，并在我国企业道德建设实践中提供指导。 </w:t>
      </w:r>
    </w:p>
    <w:p>
      <w:pPr>
        <w:rPr>
          <w:sz w:val="24"/>
          <w:szCs w:val="24"/>
        </w:rPr>
      </w:pPr>
      <w:r>
        <w:rPr>
          <w:rFonts w:hint="default" w:ascii="新宋体" w:hAnsi="新宋体" w:cs="新宋体"/>
          <w:b w:val="0"/>
          <w:bCs w:val="0"/>
          <w:spacing w:val="-6"/>
          <w:kern w:val="21"/>
          <w:sz w:val="24"/>
          <w:szCs w:val="24"/>
          <w:lang w:val="en-US"/>
        </w:rPr>
        <w:t>为</w:t>
      </w:r>
      <w:r>
        <w:rPr>
          <w:rFonts w:hint="default" w:ascii="新宋体" w:hAnsi="新宋体" w:eastAsia="新宋体" w:cs="新宋体"/>
          <w:b w:val="0"/>
          <w:bCs w:val="0"/>
          <w:spacing w:val="-6"/>
          <w:kern w:val="21"/>
          <w:sz w:val="24"/>
          <w:szCs w:val="24"/>
        </w:rPr>
        <w:t>有效开展</w:t>
      </w:r>
      <w:r>
        <w:rPr>
          <w:rFonts w:hint="default" w:ascii="新宋体" w:hAnsi="新宋体" w:cs="新宋体"/>
          <w:b w:val="0"/>
          <w:bCs w:val="0"/>
          <w:spacing w:val="-6"/>
          <w:kern w:val="21"/>
          <w:sz w:val="24"/>
          <w:szCs w:val="24"/>
          <w:lang w:val="en-US"/>
        </w:rPr>
        <w:t>变量</w:t>
      </w:r>
      <w:r>
        <w:rPr>
          <w:rFonts w:hint="default" w:ascii="新宋体" w:hAnsi="新宋体" w:eastAsia="新宋体" w:cs="新宋体"/>
          <w:b w:val="0"/>
          <w:bCs w:val="0"/>
          <w:spacing w:val="-6"/>
          <w:kern w:val="21"/>
          <w:sz w:val="24"/>
          <w:szCs w:val="24"/>
        </w:rPr>
        <w:t>关系</w:t>
      </w:r>
      <w:r>
        <w:rPr>
          <w:rFonts w:hint="default" w:ascii="新宋体" w:hAnsi="新宋体" w:cs="新宋体"/>
          <w:b w:val="0"/>
          <w:bCs w:val="0"/>
          <w:spacing w:val="-6"/>
          <w:kern w:val="21"/>
          <w:sz w:val="24"/>
          <w:szCs w:val="24"/>
          <w:lang w:val="en-US"/>
        </w:rPr>
        <w:t>研究</w:t>
      </w:r>
      <w:r>
        <w:rPr>
          <w:rFonts w:hint="default" w:ascii="新宋体" w:hAnsi="新宋体" w:eastAsia="新宋体" w:cs="新宋体"/>
          <w:b w:val="0"/>
          <w:bCs w:val="0"/>
          <w:spacing w:val="-6"/>
          <w:kern w:val="21"/>
          <w:sz w:val="24"/>
          <w:szCs w:val="24"/>
        </w:rPr>
        <w:t>，本研究采取组织问卷调查的方式进行数据收集，经由问卷发放、数据收集、数据录入、数据分析等步骤展开实证研究。本调查问卷从研究设计到收集分析自2017年至2019年，共历时</w:t>
      </w:r>
      <w:r>
        <w:rPr>
          <w:rFonts w:hint="default" w:hAnsi="新宋体" w:eastAsia="新宋体" w:cs="新宋体"/>
          <w:b w:val="0"/>
          <w:bCs w:val="0"/>
          <w:spacing w:val="-6"/>
          <w:kern w:val="21"/>
          <w:sz w:val="24"/>
          <w:szCs w:val="24"/>
          <w:lang w:val="en-US"/>
        </w:rPr>
        <w:t>2</w:t>
      </w:r>
      <w:r>
        <w:rPr>
          <w:rFonts w:hint="default" w:hAnsi="新宋体" w:cs="新宋体"/>
          <w:b w:val="0"/>
          <w:bCs w:val="0"/>
          <w:spacing w:val="-6"/>
          <w:kern w:val="21"/>
          <w:sz w:val="24"/>
          <w:szCs w:val="24"/>
          <w:lang w:val="en-US"/>
        </w:rPr>
        <w:t>年。</w:t>
      </w:r>
      <w:r>
        <w:rPr>
          <w:rFonts w:hint="default" w:ascii="新宋体" w:hAnsi="新宋体" w:eastAsia="新宋体" w:cs="新宋体"/>
          <w:b w:val="0"/>
          <w:bCs w:val="0"/>
          <w:spacing w:val="-6"/>
          <w:kern w:val="21"/>
          <w:sz w:val="24"/>
          <w:szCs w:val="24"/>
        </w:rPr>
        <w:t>在相关区域范围内选取近</w:t>
      </w:r>
      <w:r>
        <w:rPr>
          <w:rFonts w:hint="default" w:ascii="新宋体" w:hAnsi="新宋体" w:eastAsia="新宋体" w:cs="新宋体"/>
          <w:b w:val="0"/>
          <w:bCs w:val="0"/>
          <w:spacing w:val="-6"/>
          <w:kern w:val="21"/>
          <w:sz w:val="24"/>
          <w:szCs w:val="24"/>
          <w:lang w:val="en-US"/>
        </w:rPr>
        <w:t>30</w:t>
      </w:r>
      <w:r>
        <w:rPr>
          <w:rFonts w:hint="default" w:ascii="新宋体" w:hAnsi="新宋体" w:eastAsia="新宋体" w:cs="新宋体"/>
          <w:b w:val="0"/>
          <w:bCs w:val="0"/>
          <w:spacing w:val="-6"/>
          <w:kern w:val="21"/>
          <w:sz w:val="24"/>
          <w:szCs w:val="24"/>
        </w:rPr>
        <w:t>个</w:t>
      </w:r>
      <w:r>
        <w:rPr>
          <w:rFonts w:hint="default" w:ascii="新宋体" w:hAnsi="新宋体" w:cs="新宋体"/>
          <w:b w:val="0"/>
          <w:bCs w:val="0"/>
          <w:spacing w:val="-6"/>
          <w:kern w:val="21"/>
          <w:sz w:val="24"/>
          <w:szCs w:val="24"/>
          <w:lang w:val="en-US"/>
        </w:rPr>
        <w:t>传媒</w:t>
      </w:r>
      <w:r>
        <w:rPr>
          <w:rFonts w:hint="default" w:ascii="新宋体" w:hAnsi="新宋体" w:eastAsia="新宋体" w:cs="新宋体"/>
          <w:b w:val="0"/>
          <w:bCs w:val="0"/>
          <w:spacing w:val="-6"/>
          <w:kern w:val="21"/>
          <w:sz w:val="24"/>
          <w:szCs w:val="24"/>
          <w:lang w:val="en-US"/>
        </w:rPr>
        <w:t>发行或分销企业</w:t>
      </w:r>
      <w:r>
        <w:rPr>
          <w:rFonts w:hint="default" w:ascii="新宋体" w:hAnsi="新宋体" w:eastAsia="新宋体" w:cs="新宋体"/>
          <w:b w:val="0"/>
          <w:bCs w:val="0"/>
          <w:spacing w:val="-6"/>
          <w:kern w:val="21"/>
          <w:sz w:val="24"/>
          <w:szCs w:val="24"/>
        </w:rPr>
        <w:t>，其中包括</w:t>
      </w:r>
      <w:r>
        <w:rPr>
          <w:rFonts w:hint="default" w:ascii="新宋体" w:hAnsi="新宋体" w:eastAsia="新宋体" w:cs="新宋体"/>
          <w:b w:val="0"/>
          <w:bCs w:val="0"/>
          <w:spacing w:val="-6"/>
          <w:kern w:val="21"/>
          <w:sz w:val="24"/>
          <w:szCs w:val="24"/>
          <w:lang w:val="en-US"/>
        </w:rPr>
        <w:t>邮政和网络电子版以及纸质零售批发</w:t>
      </w:r>
      <w:r>
        <w:rPr>
          <w:rFonts w:hint="default" w:ascii="新宋体" w:hAnsi="新宋体" w:eastAsia="新宋体" w:cs="新宋体"/>
          <w:b w:val="0"/>
          <w:bCs w:val="0"/>
          <w:spacing w:val="-6"/>
          <w:kern w:val="21"/>
          <w:sz w:val="24"/>
          <w:szCs w:val="24"/>
        </w:rPr>
        <w:t>，共调查发放问卷</w:t>
      </w:r>
      <w:r>
        <w:rPr>
          <w:rFonts w:hint="default" w:ascii="新宋体" w:hAnsi="新宋体" w:eastAsia="新宋体" w:cs="新宋体"/>
          <w:b w:val="0"/>
          <w:bCs w:val="0"/>
          <w:spacing w:val="-6"/>
          <w:kern w:val="21"/>
          <w:sz w:val="24"/>
          <w:szCs w:val="24"/>
          <w:lang w:val="en-US"/>
        </w:rPr>
        <w:t>3</w:t>
      </w:r>
      <w:r>
        <w:rPr>
          <w:rFonts w:hint="default" w:ascii="新宋体" w:hAnsi="新宋体" w:eastAsia="新宋体" w:cs="新宋体"/>
          <w:b w:val="0"/>
          <w:bCs w:val="0"/>
          <w:spacing w:val="-6"/>
          <w:kern w:val="21"/>
          <w:sz w:val="24"/>
          <w:szCs w:val="24"/>
        </w:rPr>
        <w:t>00份，涉及企业各个层面的员工，包括管理者和员工以及工人，主要通过现场发放回收，访谈法或委托相关人员调查等方法，回收</w:t>
      </w:r>
      <w:r>
        <w:rPr>
          <w:rFonts w:hint="default" w:ascii="新宋体" w:hAnsi="新宋体" w:eastAsia="新宋体" w:cs="新宋体"/>
          <w:b w:val="0"/>
          <w:bCs w:val="0"/>
          <w:spacing w:val="-6"/>
          <w:kern w:val="21"/>
          <w:sz w:val="24"/>
          <w:szCs w:val="24"/>
          <w:lang w:val="en-US"/>
        </w:rPr>
        <w:t>249</w:t>
      </w:r>
      <w:r>
        <w:rPr>
          <w:rFonts w:hint="default" w:ascii="新宋体" w:hAnsi="新宋体" w:eastAsia="新宋体" w:cs="新宋体"/>
          <w:b w:val="0"/>
          <w:bCs w:val="0"/>
          <w:spacing w:val="-6"/>
          <w:kern w:val="21"/>
          <w:sz w:val="24"/>
          <w:szCs w:val="24"/>
        </w:rPr>
        <w:t>。回收率达</w:t>
      </w:r>
      <w:r>
        <w:rPr>
          <w:rFonts w:hint="default" w:ascii="新宋体" w:hAnsi="新宋体" w:eastAsia="新宋体" w:cs="新宋体"/>
          <w:b w:val="0"/>
          <w:bCs w:val="0"/>
          <w:spacing w:val="-6"/>
          <w:kern w:val="21"/>
          <w:sz w:val="24"/>
          <w:szCs w:val="24"/>
          <w:lang w:val="en-US"/>
        </w:rPr>
        <w:t>83</w:t>
      </w:r>
      <w:r>
        <w:rPr>
          <w:rFonts w:hint="default" w:ascii="新宋体" w:hAnsi="新宋体" w:eastAsia="新宋体" w:cs="新宋体"/>
          <w:b w:val="0"/>
          <w:bCs w:val="0"/>
          <w:spacing w:val="-6"/>
          <w:kern w:val="21"/>
          <w:sz w:val="24"/>
          <w:szCs w:val="24"/>
        </w:rPr>
        <w:t>%。后通过对回收问卷的初步检查，剔除不合格问卷后，得到有效问卷2</w:t>
      </w:r>
      <w:r>
        <w:rPr>
          <w:rFonts w:hint="default" w:ascii="新宋体" w:hAnsi="新宋体" w:eastAsia="新宋体" w:cs="新宋体"/>
          <w:b w:val="0"/>
          <w:bCs w:val="0"/>
          <w:spacing w:val="-6"/>
          <w:kern w:val="21"/>
          <w:sz w:val="24"/>
          <w:szCs w:val="24"/>
          <w:lang w:val="en-US"/>
        </w:rPr>
        <w:t>40</w:t>
      </w:r>
      <w:r>
        <w:rPr>
          <w:rFonts w:hint="default" w:ascii="新宋体" w:hAnsi="新宋体" w:eastAsia="新宋体" w:cs="新宋体"/>
          <w:b w:val="0"/>
          <w:bCs w:val="0"/>
          <w:spacing w:val="-6"/>
          <w:kern w:val="21"/>
          <w:sz w:val="24"/>
          <w:szCs w:val="24"/>
        </w:rPr>
        <w:t>份，有效回收率达8</w:t>
      </w:r>
      <w:r>
        <w:rPr>
          <w:rFonts w:hint="default" w:ascii="新宋体" w:hAnsi="新宋体" w:eastAsia="新宋体" w:cs="新宋体"/>
          <w:b w:val="0"/>
          <w:bCs w:val="0"/>
          <w:spacing w:val="-6"/>
          <w:kern w:val="21"/>
          <w:sz w:val="24"/>
          <w:szCs w:val="24"/>
          <w:lang w:val="en-US"/>
        </w:rPr>
        <w:t>0</w:t>
      </w:r>
      <w:r>
        <w:rPr>
          <w:rFonts w:hint="default" w:ascii="新宋体" w:hAnsi="新宋体" w:eastAsia="新宋体" w:cs="新宋体"/>
          <w:b w:val="0"/>
          <w:bCs w:val="0"/>
          <w:spacing w:val="-6"/>
          <w:kern w:val="21"/>
          <w:sz w:val="24"/>
          <w:szCs w:val="24"/>
        </w:rPr>
        <w:t>%</w:t>
      </w:r>
      <w:r>
        <w:rPr>
          <w:rFonts w:hint="default" w:ascii="新宋体" w:hAnsi="新宋体" w:eastAsia="新宋体" w:cs="新宋体"/>
          <w:b w:val="0"/>
          <w:bCs w:val="0"/>
          <w:spacing w:val="-6"/>
          <w:kern w:val="21"/>
          <w:sz w:val="24"/>
          <w:szCs w:val="24"/>
          <w:lang w:val="en-US"/>
        </w:rPr>
        <w:t>左右</w:t>
      </w:r>
      <w:r>
        <w:rPr>
          <w:rFonts w:hint="default" w:ascii="新宋体" w:hAnsi="新宋体" w:eastAsia="新宋体" w:cs="新宋体"/>
          <w:b w:val="0"/>
          <w:bCs w:val="0"/>
          <w:spacing w:val="-6"/>
          <w:kern w:val="21"/>
          <w:sz w:val="24"/>
          <w:szCs w:val="24"/>
        </w:rPr>
        <w:t>。从回收的2</w:t>
      </w:r>
      <w:r>
        <w:rPr>
          <w:rFonts w:hint="default" w:ascii="新宋体" w:hAnsi="新宋体" w:eastAsia="新宋体" w:cs="新宋体"/>
          <w:b w:val="0"/>
          <w:bCs w:val="0"/>
          <w:spacing w:val="-6"/>
          <w:kern w:val="21"/>
          <w:sz w:val="24"/>
          <w:szCs w:val="24"/>
          <w:lang w:val="en-US"/>
        </w:rPr>
        <w:t>40</w:t>
      </w:r>
      <w:r>
        <w:rPr>
          <w:rFonts w:hint="default" w:ascii="新宋体" w:hAnsi="新宋体" w:eastAsia="新宋体" w:cs="新宋体"/>
          <w:b w:val="0"/>
          <w:bCs w:val="0"/>
          <w:spacing w:val="-6"/>
          <w:kern w:val="21"/>
          <w:sz w:val="24"/>
          <w:szCs w:val="24"/>
        </w:rPr>
        <w:t>份有效问卷来看，本研究得到的样本涵盖</w:t>
      </w:r>
      <w:r>
        <w:rPr>
          <w:rFonts w:hint="default" w:ascii="新宋体" w:hAnsi="新宋体" w:eastAsia="新宋体" w:cs="新宋体"/>
          <w:b w:val="0"/>
          <w:bCs w:val="0"/>
          <w:spacing w:val="-6"/>
          <w:kern w:val="21"/>
          <w:sz w:val="24"/>
          <w:szCs w:val="24"/>
          <w:lang w:val="en-US"/>
        </w:rPr>
        <w:t>各种所有制、</w:t>
      </w:r>
      <w:r>
        <w:rPr>
          <w:rFonts w:hint="default" w:ascii="新宋体" w:hAnsi="新宋体" w:eastAsia="新宋体" w:cs="新宋体"/>
          <w:b w:val="0"/>
          <w:bCs w:val="0"/>
          <w:spacing w:val="-6"/>
          <w:kern w:val="21"/>
          <w:sz w:val="24"/>
          <w:szCs w:val="24"/>
        </w:rPr>
        <w:t>组织规模</w:t>
      </w:r>
      <w:r>
        <w:rPr>
          <w:rFonts w:hint="default" w:ascii="新宋体" w:hAnsi="新宋体" w:eastAsia="新宋体" w:cs="新宋体"/>
          <w:b w:val="0"/>
          <w:bCs w:val="0"/>
          <w:spacing w:val="-6"/>
          <w:kern w:val="21"/>
          <w:sz w:val="24"/>
          <w:szCs w:val="24"/>
          <w:lang w:val="en-US"/>
        </w:rPr>
        <w:t>、</w:t>
      </w:r>
      <w:r>
        <w:rPr>
          <w:rFonts w:hint="default" w:ascii="新宋体" w:hAnsi="新宋体" w:eastAsia="新宋体" w:cs="新宋体"/>
          <w:b w:val="0"/>
          <w:bCs w:val="0"/>
          <w:spacing w:val="-6"/>
          <w:kern w:val="21"/>
          <w:sz w:val="24"/>
          <w:szCs w:val="24"/>
        </w:rPr>
        <w:t>组织资历或年龄</w:t>
      </w:r>
      <w:r>
        <w:rPr>
          <w:rFonts w:hint="default" w:ascii="新宋体" w:hAnsi="新宋体" w:eastAsia="新宋体" w:cs="新宋体"/>
          <w:b w:val="0"/>
          <w:bCs w:val="0"/>
          <w:spacing w:val="-6"/>
          <w:kern w:val="21"/>
          <w:sz w:val="24"/>
          <w:szCs w:val="24"/>
          <w:lang w:val="en-US"/>
        </w:rPr>
        <w:t>和类型等</w:t>
      </w:r>
      <w:r>
        <w:rPr>
          <w:rFonts w:hint="default" w:ascii="新宋体" w:hAnsi="新宋体" w:cs="新宋体"/>
          <w:b w:val="0"/>
          <w:bCs w:val="0"/>
          <w:spacing w:val="-6"/>
          <w:kern w:val="21"/>
          <w:sz w:val="24"/>
          <w:szCs w:val="24"/>
          <w:lang w:val="en-US"/>
        </w:rPr>
        <w:t>。</w:t>
      </w:r>
    </w:p>
    <w:p>
      <w:pPr>
        <w:rPr>
          <w:sz w:val="24"/>
          <w:szCs w:val="24"/>
        </w:rPr>
      </w:pPr>
      <w:r>
        <w:rPr>
          <w:rFonts w:hint="default" w:ascii="新宋体" w:hAnsi="新宋体" w:eastAsia="新宋体" w:cs="新宋体"/>
          <w:spacing w:val="-6"/>
          <w:kern w:val="21"/>
          <w:sz w:val="24"/>
          <w:szCs w:val="24"/>
          <w:lang w:val="en-US"/>
        </w:rPr>
        <w:t xml:space="preserve"> </w:t>
      </w:r>
      <w:r>
        <w:rPr>
          <w:rFonts w:hint="default" w:hAnsi="新宋体" w:eastAsia="新宋体" w:cs="新宋体"/>
          <w:spacing w:val="-6"/>
          <w:kern w:val="21"/>
          <w:sz w:val="24"/>
          <w:szCs w:val="24"/>
          <w:lang w:val="en-US"/>
        </w:rPr>
        <w:t>1.</w:t>
      </w:r>
      <w:r>
        <w:rPr>
          <w:rFonts w:hint="default"/>
          <w:sz w:val="24"/>
          <w:szCs w:val="24"/>
          <w:lang w:val="en-US" w:eastAsia="zh-CN"/>
        </w:rPr>
        <w:t>道德领导的相关研究与测量工具。</w:t>
      </w:r>
    </w:p>
    <w:p>
      <w:pPr>
        <w:rPr>
          <w:sz w:val="24"/>
          <w:szCs w:val="24"/>
        </w:rPr>
      </w:pPr>
      <w:r>
        <w:rPr>
          <w:rFonts w:hint="default"/>
          <w:sz w:val="24"/>
          <w:szCs w:val="24"/>
          <w:lang w:val="en-US" w:eastAsia="zh-CN"/>
        </w:rPr>
        <w:t>关于道德领导的测量，孙利平在其博士论文《企业组织德行领导的内容结构及其相关研究》一文中通过采用探索性分析，验证性分析等多种统计技术构建了包含正直廉洁，关心下属成长，遵守社会规范和仁厚诚挚四个维度的企业德行领导结构模型。通过典型相关、层次回归，发现德行领导对下属的工作满意度，下属对领导的忠诚尽责、离职意向、敬业度、利他行为等效果变量有显著预测作用，下属的公平感和认同内化在德行领导与效果变量之间起中介效应，领导的工作、能力起调节作用。本文根据学者提出四个维度十八个测量项目的道德型领导的评价指标，作为测量工具。具体包括:</w:t>
      </w:r>
      <w:r>
        <w:rPr>
          <w:rFonts w:hint="eastAsia"/>
          <w:sz w:val="24"/>
          <w:szCs w:val="24"/>
          <w:lang w:val="en-US" w:eastAsia="zh-CN"/>
        </w:rPr>
        <w:t>(1)</w:t>
      </w:r>
      <w:r>
        <w:rPr>
          <w:rFonts w:hint="default"/>
          <w:sz w:val="24"/>
          <w:szCs w:val="24"/>
          <w:lang w:val="en-US" w:eastAsia="zh-CN"/>
        </w:rPr>
        <w:t>正直性。值得他人信任；待人真诚坦率；为人公平，处事公正；诚实守信，言出必行。</w:t>
      </w:r>
      <w:r>
        <w:rPr>
          <w:rFonts w:hint="eastAsia"/>
          <w:sz w:val="24"/>
          <w:szCs w:val="24"/>
          <w:lang w:val="en-US" w:eastAsia="zh-CN"/>
        </w:rPr>
        <w:t>(2)</w:t>
      </w:r>
      <w:r>
        <w:rPr>
          <w:rFonts w:hint="default"/>
          <w:sz w:val="24"/>
          <w:szCs w:val="24"/>
          <w:lang w:val="en-US" w:eastAsia="zh-CN"/>
        </w:rPr>
        <w:t>利他性。为人慷慨大方；待人态度友好；关心他人，富有同情心；为人谦逊。</w:t>
      </w:r>
      <w:r>
        <w:rPr>
          <w:rFonts w:hint="eastAsia"/>
          <w:sz w:val="24"/>
          <w:szCs w:val="24"/>
          <w:lang w:val="en-US" w:eastAsia="zh-CN"/>
        </w:rPr>
        <w:t>(3)</w:t>
      </w:r>
      <w:r>
        <w:rPr>
          <w:rFonts w:hint="default"/>
          <w:sz w:val="24"/>
          <w:szCs w:val="24"/>
          <w:lang w:val="en-US" w:eastAsia="zh-CN"/>
        </w:rPr>
        <w:t>集体导向。善于社交，喜爱与人交流沟通；善于鼓励员工，助其建立自信；将集体利益置于个人利益之上；善于鼓舞员工士气，引导其建立正确的工作动机；善于团队建设。</w:t>
      </w:r>
      <w:r>
        <w:rPr>
          <w:rFonts w:hint="eastAsia"/>
          <w:sz w:val="24"/>
          <w:szCs w:val="24"/>
          <w:lang w:val="en-US" w:eastAsia="zh-CN"/>
        </w:rPr>
        <w:t>(4)</w:t>
      </w:r>
      <w:r>
        <w:rPr>
          <w:rFonts w:hint="default"/>
          <w:sz w:val="24"/>
          <w:szCs w:val="24"/>
          <w:lang w:val="en-US" w:eastAsia="zh-CN"/>
        </w:rPr>
        <w:t>社会导向。关心社会公益；重视企业形象；清正廉洁，不接受不正当财务；注重商业道德；总能做出合乎伦理的决策。通过信度与效度检验，变量指标达到理论标准，</w:t>
      </w:r>
      <w:r>
        <w:rPr>
          <w:rFonts w:hint="eastAsia"/>
          <w:sz w:val="24"/>
          <w:szCs w:val="24"/>
          <w:lang w:val="en-US" w:eastAsia="zh-CN"/>
        </w:rPr>
        <w:t>适合用于</w:t>
      </w:r>
      <w:r>
        <w:rPr>
          <w:rFonts w:hint="default"/>
          <w:sz w:val="24"/>
          <w:szCs w:val="24"/>
          <w:lang w:val="en-US" w:eastAsia="zh-CN"/>
        </w:rPr>
        <w:t>该</w:t>
      </w:r>
      <w:r>
        <w:rPr>
          <w:rFonts w:hint="eastAsia"/>
          <w:sz w:val="24"/>
          <w:szCs w:val="24"/>
          <w:lang w:val="en-US" w:eastAsia="zh-CN"/>
        </w:rPr>
        <w:t>领域进行</w:t>
      </w:r>
      <w:r>
        <w:rPr>
          <w:rFonts w:hint="default"/>
          <w:sz w:val="24"/>
          <w:szCs w:val="24"/>
          <w:lang w:val="en-US" w:eastAsia="zh-CN"/>
        </w:rPr>
        <w:t>分析。</w:t>
      </w:r>
    </w:p>
    <w:p>
      <w:pPr>
        <w:jc w:val="both"/>
        <w:rPr>
          <w:sz w:val="24"/>
          <w:szCs w:val="24"/>
        </w:rPr>
      </w:pPr>
      <w:r>
        <w:rPr>
          <w:rFonts w:hint="default"/>
          <w:sz w:val="24"/>
          <w:szCs w:val="24"/>
          <w:lang w:val="en-US" w:eastAsia="zh-CN"/>
        </w:rPr>
        <w:t>2.企业道德风险的相关研究与测量工具</w:t>
      </w:r>
    </w:p>
    <w:p>
      <w:pPr>
        <w:rPr>
          <w:rFonts w:hint="eastAsia" w:ascii="新宋体" w:hAnsi="新宋体" w:eastAsia="新宋体" w:cs="新宋体"/>
          <w:sz w:val="24"/>
          <w:szCs w:val="24"/>
          <w:lang w:val="en-US" w:eastAsia="zh-CN"/>
        </w:rPr>
      </w:pPr>
      <w:r>
        <w:rPr>
          <w:rFonts w:hint="default"/>
          <w:sz w:val="24"/>
          <w:szCs w:val="24"/>
          <w:lang w:val="en-US" w:eastAsia="zh-CN"/>
        </w:rPr>
        <w:t>西南大学一篇硕士论文将不道德行为采用5维度19题的测量工具，具体包括:人际政治，敌对破坏，消极怠工，不告发，贪材利己。聂光辉（2009）将工作场所欺负内容结构分为人身攻击，工作压制，社会排斥三个方面。姚艳红，李源（2011）将工作压力下员工偏离行为分为工作疏离，消极怠工，虚报工作，人际退缩，政治性打击，冲突攻击，对抗阻挠，敌对破坏共计八个维度26个测量项目。孙婷（2008）对反生产行为（counterproductive work behavior）从五个因子分析:人际恶意，工作疏离，公司财务侵占，攻击性行为，他人财务侵占。肖友琴，程刚（2012）将企业员工反生产行为结构分为主动越轨</w:t>
      </w:r>
      <w:r>
        <w:rPr>
          <w:rFonts w:hint="eastAsia"/>
          <w:sz w:val="24"/>
          <w:szCs w:val="24"/>
          <w:lang w:val="en-US" w:eastAsia="zh-CN"/>
        </w:rPr>
        <w:t>(</w:t>
      </w:r>
      <w:r>
        <w:rPr>
          <w:rFonts w:hint="default"/>
          <w:sz w:val="24"/>
          <w:szCs w:val="24"/>
          <w:lang w:val="en-US" w:eastAsia="zh-CN"/>
        </w:rPr>
        <w:t>employee deviance</w:t>
      </w:r>
      <w:r>
        <w:rPr>
          <w:rFonts w:hint="eastAsia"/>
          <w:sz w:val="24"/>
          <w:szCs w:val="24"/>
          <w:lang w:val="en-US" w:eastAsia="zh-CN"/>
        </w:rPr>
        <w:t>)</w:t>
      </w:r>
      <w:bookmarkStart w:id="0" w:name="_GoBack"/>
      <w:bookmarkEnd w:id="0"/>
      <w:r>
        <w:rPr>
          <w:rFonts w:hint="default"/>
          <w:sz w:val="24"/>
          <w:szCs w:val="24"/>
          <w:lang w:val="en-US" w:eastAsia="zh-CN"/>
        </w:rPr>
        <w:t>,消极怠工，人际间攻击三个方面。综合以上学者的研究，本文将企业道德风险分为工作疏离（消极怠工，虚假工作，不告发），攻击性行为（人际恶意冲突，政治打击，财务侵占）。具体测量工具综合以上各学者的题项。通过信度与效度检验，变量指标符合要求。</w:t>
      </w:r>
    </w:p>
    <w:p>
      <w:pPr>
        <w:rPr>
          <w:rFonts w:hint="eastAsia"/>
          <w:sz w:val="24"/>
          <w:szCs w:val="24"/>
          <w:lang w:val="en-US" w:eastAsia="zh-CN"/>
        </w:rPr>
      </w:pPr>
      <w:r>
        <w:rPr>
          <w:rFonts w:hint="default"/>
          <w:sz w:val="24"/>
          <w:szCs w:val="24"/>
          <w:lang w:val="en-US" w:eastAsia="zh-CN"/>
        </w:rPr>
        <w:t>3.</w:t>
      </w:r>
      <w:r>
        <w:rPr>
          <w:rFonts w:hint="eastAsia"/>
          <w:sz w:val="24"/>
          <w:szCs w:val="24"/>
          <w:lang w:val="en-US" w:eastAsia="zh-CN"/>
        </w:rPr>
        <w:t>不同</w:t>
      </w:r>
      <w:r>
        <w:rPr>
          <w:rFonts w:hint="default"/>
          <w:sz w:val="24"/>
          <w:szCs w:val="24"/>
          <w:lang w:val="en-US" w:eastAsia="zh-CN"/>
        </w:rPr>
        <w:t>外包组织制度</w:t>
      </w:r>
      <w:r>
        <w:rPr>
          <w:rFonts w:hint="eastAsia"/>
          <w:sz w:val="24"/>
          <w:szCs w:val="24"/>
          <w:lang w:val="en-US" w:eastAsia="zh-CN"/>
        </w:rPr>
        <w:t>的</w:t>
      </w:r>
      <w:r>
        <w:rPr>
          <w:rFonts w:hint="default"/>
          <w:sz w:val="24"/>
          <w:szCs w:val="24"/>
          <w:lang w:val="en-US" w:eastAsia="zh-CN"/>
        </w:rPr>
        <w:t>道德领导</w:t>
      </w:r>
      <w:r>
        <w:rPr>
          <w:rFonts w:hint="eastAsia"/>
          <w:sz w:val="24"/>
          <w:szCs w:val="24"/>
          <w:lang w:val="en-US" w:eastAsia="zh-CN"/>
        </w:rPr>
        <w:t>对企业</w:t>
      </w:r>
      <w:r>
        <w:rPr>
          <w:sz w:val="24"/>
          <w:szCs w:val="24"/>
          <w:lang w:val="en-US"/>
        </w:rPr>
        <w:t>道德风险</w:t>
      </w:r>
      <w:r>
        <w:rPr>
          <w:rFonts w:hint="eastAsia"/>
          <w:sz w:val="24"/>
          <w:szCs w:val="24"/>
          <w:lang w:val="en-US" w:eastAsia="zh-CN"/>
        </w:rPr>
        <w:t>回归分析</w:t>
      </w:r>
    </w:p>
    <w:p>
      <w:pPr>
        <w:rPr>
          <w:rFonts w:hint="eastAsia"/>
          <w:sz w:val="24"/>
          <w:szCs w:val="24"/>
          <w:lang w:val="en-US" w:eastAsia="zh-CN"/>
        </w:rPr>
      </w:pPr>
      <w:r>
        <w:rPr>
          <w:rFonts w:hint="eastAsia"/>
          <w:sz w:val="24"/>
          <w:szCs w:val="24"/>
          <w:lang w:val="en-US" w:eastAsia="zh-CN"/>
        </w:rPr>
        <w:t>进一步研究不同</w:t>
      </w:r>
      <w:r>
        <w:rPr>
          <w:rFonts w:hint="default"/>
          <w:sz w:val="24"/>
          <w:szCs w:val="24"/>
          <w:lang w:val="en-US" w:eastAsia="zh-CN"/>
        </w:rPr>
        <w:t>外包组织制度</w:t>
      </w:r>
      <w:r>
        <w:rPr>
          <w:rFonts w:hint="eastAsia"/>
          <w:sz w:val="24"/>
          <w:szCs w:val="24"/>
          <w:lang w:val="en-US" w:eastAsia="zh-CN"/>
        </w:rPr>
        <w:t>下</w:t>
      </w:r>
      <w:r>
        <w:rPr>
          <w:rFonts w:hint="default"/>
          <w:sz w:val="24"/>
          <w:szCs w:val="24"/>
          <w:lang w:val="en-US" w:eastAsia="zh-CN"/>
        </w:rPr>
        <w:t>道德领导</w:t>
      </w:r>
      <w:r>
        <w:rPr>
          <w:rFonts w:hint="eastAsia"/>
          <w:sz w:val="24"/>
          <w:szCs w:val="24"/>
          <w:lang w:val="en-US" w:eastAsia="zh-CN"/>
        </w:rPr>
        <w:t>对企业</w:t>
      </w:r>
      <w:r>
        <w:rPr>
          <w:sz w:val="24"/>
          <w:szCs w:val="24"/>
          <w:lang w:val="en-US"/>
        </w:rPr>
        <w:t>道德风险</w:t>
      </w:r>
      <w:r>
        <w:rPr>
          <w:rFonts w:hint="eastAsia"/>
          <w:sz w:val="24"/>
          <w:szCs w:val="24"/>
          <w:lang w:val="en-US" w:eastAsia="zh-CN"/>
        </w:rPr>
        <w:t>预测情况。采用线形回归分析对不同</w:t>
      </w:r>
      <w:r>
        <w:rPr>
          <w:rFonts w:hint="default"/>
          <w:sz w:val="24"/>
          <w:szCs w:val="24"/>
          <w:lang w:val="en-US" w:eastAsia="zh-CN"/>
        </w:rPr>
        <w:t>外包组织制度</w:t>
      </w:r>
      <w:r>
        <w:rPr>
          <w:rFonts w:hint="eastAsia"/>
          <w:sz w:val="24"/>
          <w:szCs w:val="24"/>
          <w:lang w:val="en-US" w:eastAsia="zh-CN"/>
        </w:rPr>
        <w:t>的前后因果关系进行验证。回归分析采用</w:t>
      </w:r>
      <w:r>
        <w:rPr>
          <w:rFonts w:hint="default"/>
          <w:sz w:val="24"/>
          <w:szCs w:val="24"/>
          <w:lang w:val="en-US" w:eastAsia="zh-CN"/>
        </w:rPr>
        <w:t>Views软件OLS统计检验</w:t>
      </w:r>
      <w:r>
        <w:rPr>
          <w:rFonts w:hint="eastAsia"/>
          <w:sz w:val="24"/>
          <w:szCs w:val="24"/>
          <w:lang w:val="en-US" w:eastAsia="zh-CN"/>
        </w:rPr>
        <w:t>进入方式，得到相应的相关回归参数。</w:t>
      </w:r>
    </w:p>
    <w:p>
      <w:pPr>
        <w:rPr>
          <w:rFonts w:hint="eastAsia"/>
          <w:sz w:val="24"/>
          <w:szCs w:val="24"/>
          <w:lang w:val="en-US" w:eastAsia="zh-CN"/>
        </w:rPr>
      </w:pPr>
      <w:r>
        <w:rPr>
          <w:rFonts w:hint="default"/>
          <w:sz w:val="24"/>
          <w:szCs w:val="24"/>
          <w:lang w:val="en-US" w:eastAsia="zh-CN"/>
        </w:rPr>
        <w:t>3</w:t>
      </w:r>
      <w:r>
        <w:rPr>
          <w:rFonts w:hint="eastAsia"/>
          <w:sz w:val="24"/>
          <w:szCs w:val="24"/>
          <w:lang w:val="en-US" w:eastAsia="zh-CN"/>
        </w:rPr>
        <w:t>.1不同</w:t>
      </w:r>
      <w:r>
        <w:rPr>
          <w:rFonts w:hint="default"/>
          <w:sz w:val="24"/>
          <w:szCs w:val="24"/>
          <w:lang w:val="en-US" w:eastAsia="zh-CN"/>
        </w:rPr>
        <w:t>外包组织制度</w:t>
      </w:r>
      <w:r>
        <w:rPr>
          <w:rFonts w:hint="eastAsia"/>
          <w:sz w:val="24"/>
          <w:szCs w:val="24"/>
          <w:lang w:val="en-US" w:eastAsia="zh-CN"/>
        </w:rPr>
        <w:t>类型下的企业</w:t>
      </w:r>
      <w:r>
        <w:rPr>
          <w:sz w:val="24"/>
          <w:szCs w:val="24"/>
          <w:lang w:val="en-US"/>
        </w:rPr>
        <w:t>道德风险</w:t>
      </w:r>
      <w:r>
        <w:rPr>
          <w:rFonts w:hint="eastAsia"/>
          <w:sz w:val="24"/>
          <w:szCs w:val="24"/>
          <w:lang w:val="en-US" w:eastAsia="zh-CN"/>
        </w:rPr>
        <w:t>回归参数</w:t>
      </w:r>
    </w:p>
    <w:tbl>
      <w:tblPr>
        <w:tblStyle w:val="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825"/>
        <w:gridCol w:w="1200"/>
        <w:gridCol w:w="735"/>
        <w:gridCol w:w="990"/>
        <w:gridCol w:w="1110"/>
        <w:gridCol w:w="809"/>
        <w:gridCol w:w="765"/>
        <w:gridCol w:w="705"/>
        <w:gridCol w:w="708"/>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8523" w:type="dxa"/>
            <w:gridSpan w:val="10"/>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表</w:t>
            </w:r>
            <w:r>
              <w:rPr>
                <w:rFonts w:hint="default"/>
                <w:sz w:val="24"/>
                <w:szCs w:val="24"/>
                <w:lang w:val="en-US" w:eastAsia="zh-CN"/>
              </w:rPr>
              <w:t>1</w:t>
            </w:r>
            <w:r>
              <w:rPr>
                <w:rFonts w:hint="eastAsia"/>
                <w:sz w:val="24"/>
                <w:szCs w:val="24"/>
                <w:lang w:val="en-US" w:eastAsia="zh-CN"/>
              </w:rPr>
              <w:t>不同</w:t>
            </w:r>
            <w:r>
              <w:rPr>
                <w:rFonts w:hint="default"/>
                <w:sz w:val="24"/>
                <w:szCs w:val="24"/>
                <w:lang w:val="en-US" w:eastAsia="zh-CN"/>
              </w:rPr>
              <w:t>外包组织制度</w:t>
            </w:r>
            <w:r>
              <w:rPr>
                <w:rFonts w:hint="eastAsia"/>
                <w:sz w:val="24"/>
                <w:szCs w:val="24"/>
                <w:lang w:val="en-US" w:eastAsia="zh-CN"/>
              </w:rPr>
              <w:t>的企业</w:t>
            </w:r>
            <w:r>
              <w:rPr>
                <w:sz w:val="24"/>
                <w:szCs w:val="24"/>
                <w:lang w:val="en-US"/>
              </w:rPr>
              <w:t>道德风险</w:t>
            </w:r>
            <w:r>
              <w:rPr>
                <w:rFonts w:hint="eastAsia"/>
                <w:sz w:val="24"/>
                <w:szCs w:val="24"/>
                <w:lang w:val="en-US" w:eastAsia="zh-CN"/>
              </w:rPr>
              <w:t>回归参数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07" w:hRule="atLeast"/>
        </w:trPr>
        <w:tc>
          <w:tcPr>
            <w:tcW w:w="67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lang w:val="en-US" w:eastAsia="zh-CN"/>
              </w:rPr>
              <w:t>外包组织制度</w:t>
            </w:r>
          </w:p>
        </w:tc>
        <w:tc>
          <w:tcPr>
            <w:tcW w:w="82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因变量</w:t>
            </w:r>
          </w:p>
        </w:tc>
        <w:tc>
          <w:tcPr>
            <w:tcW w:w="1200"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自变量</w:t>
            </w:r>
          </w:p>
        </w:tc>
        <w:tc>
          <w:tcPr>
            <w:tcW w:w="1725"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回归系数</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标准回归系数Beta</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ascii="宋体" w:hAnsi="宋体" w:cs="宋体"/>
                <w:sz w:val="24"/>
                <w:szCs w:val="24"/>
                <w:vertAlign w:val="baseline"/>
                <w:lang w:val="en-US" w:eastAsia="zh-CN"/>
              </w:rPr>
              <w:t>t</w:t>
            </w:r>
          </w:p>
        </w:tc>
        <w:tc>
          <w:tcPr>
            <w:tcW w:w="76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2</w:t>
            </w:r>
          </w:p>
        </w:tc>
        <w:tc>
          <w:tcPr>
            <w:tcW w:w="705" w:type="dxa"/>
            <w:tcBorders>
              <w:top w:val="single" w:color="auto" w:sz="4" w:space="0"/>
              <w:left w:val="single" w:color="auto" w:sz="4" w:space="0"/>
              <w:bottom w:val="single" w:color="auto" w:sz="4" w:space="0"/>
              <w:right w:val="single" w:color="auto" w:sz="4" w:space="0"/>
            </w:tcBorders>
          </w:tcPr>
          <w:p>
            <w:pP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F</w:t>
            </w:r>
          </w:p>
        </w:tc>
        <w:tc>
          <w:tcPr>
            <w:tcW w:w="708" w:type="dxa"/>
            <w:tcBorders>
              <w:top w:val="single" w:color="auto" w:sz="4" w:space="0"/>
              <w:left w:val="single" w:color="auto" w:sz="4" w:space="0"/>
              <w:bottom w:val="single" w:color="auto" w:sz="4" w:space="0"/>
              <w:right w:val="single" w:color="auto" w:sz="4" w:space="0"/>
            </w:tcBorders>
          </w:tcPr>
          <w:p>
            <w:pP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2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1200"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B</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标准误差</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6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7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市场型企业</w:t>
            </w:r>
          </w:p>
        </w:tc>
        <w:tc>
          <w:tcPr>
            <w:tcW w:w="82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DP</w:t>
            </w:r>
          </w:p>
        </w:tc>
        <w:tc>
          <w:tcPr>
            <w:tcW w:w="1200" w:type="dxa"/>
            <w:tcBorders>
              <w:top w:val="single" w:color="auto" w:sz="4" w:space="0"/>
              <w:left w:val="single" w:color="auto" w:sz="4" w:space="0"/>
              <w:bottom w:val="single" w:color="auto" w:sz="4" w:space="0"/>
              <w:right w:val="single" w:color="auto" w:sz="4" w:space="0"/>
            </w:tcBorders>
          </w:tcPr>
          <w:p>
            <w:pPr>
              <w:rPr>
                <w:rFonts w:hint="eastAsia" w:eastAsia="宋体"/>
                <w:sz w:val="24"/>
                <w:szCs w:val="24"/>
                <w:vertAlign w:val="baseline"/>
                <w:lang w:val="en-US" w:eastAsia="zh-CN"/>
              </w:rPr>
            </w:pPr>
            <w:r>
              <w:rPr>
                <w:rFonts w:hint="eastAsia"/>
                <w:sz w:val="24"/>
                <w:szCs w:val="24"/>
                <w:vertAlign w:val="baseline"/>
                <w:lang w:val="en-US" w:eastAsia="zh-CN"/>
              </w:rPr>
              <w:t>常数项</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w:t>
            </w:r>
            <w:r>
              <w:rPr>
                <w:rFonts w:hint="default"/>
                <w:sz w:val="24"/>
                <w:szCs w:val="24"/>
                <w:lang w:val="en-US" w:eastAsia="zh-CN"/>
              </w:rPr>
              <w:t>91</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113</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853</w:t>
            </w:r>
          </w:p>
        </w:tc>
        <w:tc>
          <w:tcPr>
            <w:tcW w:w="76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.152</w:t>
            </w:r>
          </w:p>
        </w:tc>
        <w:tc>
          <w:tcPr>
            <w:tcW w:w="70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lang w:val="en-US" w:eastAsia="zh-CN"/>
              </w:rPr>
            </w:pPr>
          </w:p>
          <w:p>
            <w:pPr>
              <w:rPr>
                <w:rFonts w:hint="eastAsia"/>
                <w:sz w:val="24"/>
                <w:szCs w:val="24"/>
                <w:vertAlign w:val="baseline"/>
                <w:lang w:val="en-US" w:eastAsia="zh-CN"/>
              </w:rPr>
            </w:pPr>
            <w:r>
              <w:rPr>
                <w:rFonts w:hint="eastAsia"/>
                <w:sz w:val="24"/>
                <w:szCs w:val="24"/>
                <w:lang w:val="en-US" w:eastAsia="zh-CN"/>
              </w:rPr>
              <w:t>7</w:t>
            </w:r>
            <w:r>
              <w:rPr>
                <w:rFonts w:hint="default" w:ascii="Times New Roman" w:hAnsi="Times New Roman" w:cs="Times New Roman"/>
                <w:sz w:val="24"/>
                <w:szCs w:val="24"/>
                <w:lang w:val="en-US" w:eastAsia="zh-CN"/>
              </w:rPr>
              <w:t>.7</w:t>
            </w:r>
            <w:r>
              <w:rPr>
                <w:rFonts w:hint="eastAsia"/>
                <w:sz w:val="24"/>
                <w:szCs w:val="24"/>
                <w:lang w:val="en-US" w:eastAsia="zh-CN"/>
              </w:rPr>
              <w:t>1</w:t>
            </w:r>
            <w:r>
              <w:rPr>
                <w:rFonts w:hint="default"/>
                <w:sz w:val="24"/>
                <w:szCs w:val="24"/>
                <w:lang w:val="en-US" w:eastAsia="zh-CN"/>
              </w:rPr>
              <w:t>3</w:t>
            </w:r>
          </w:p>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41</w:t>
            </w:r>
            <w:r>
              <w:rPr>
                <w:rFonts w:hint="default"/>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2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正直性</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264</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094</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315</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w:t>
            </w:r>
            <w:r>
              <w:rPr>
                <w:rFonts w:hint="eastAsia"/>
                <w:sz w:val="24"/>
                <w:szCs w:val="24"/>
                <w:lang w:val="en-US" w:eastAsia="zh-CN"/>
              </w:rPr>
              <w:t>05</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00</w:t>
            </w:r>
            <w:r>
              <w:rPr>
                <w:rFonts w:hint="default" w:ascii="Times New Roman" w:hAnsi="Times New Roman" w:cs="Times New Roman"/>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2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利他性</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183</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097</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eastAsia"/>
                <w:sz w:val="24"/>
                <w:szCs w:val="24"/>
                <w:lang w:val="en-US" w:eastAsia="zh-CN"/>
              </w:rPr>
              <w:t>09</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2</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8</w:t>
            </w:r>
            <w:r>
              <w:rPr>
                <w:rFonts w:hint="eastAsia"/>
                <w:sz w:val="24"/>
                <w:szCs w:val="24"/>
                <w:lang w:val="en-US" w:eastAsia="zh-CN"/>
              </w:rPr>
              <w:t>58</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w:t>
            </w:r>
            <w:r>
              <w:rPr>
                <w:rFonts w:hint="default"/>
                <w:sz w:val="24"/>
                <w:szCs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2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集体导向</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172</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103</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253</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2</w:t>
            </w:r>
            <w:r>
              <w:rPr>
                <w:rFonts w:hint="default" w:ascii="Times New Roman" w:hAnsi="Times New Roman" w:cs="Times New Roman"/>
                <w:sz w:val="24"/>
                <w:szCs w:val="24"/>
                <w:lang w:val="en-US" w:eastAsia="zh-CN"/>
              </w:rPr>
              <w:t>.</w:t>
            </w:r>
            <w:r>
              <w:rPr>
                <w:rFonts w:hint="eastAsia"/>
                <w:sz w:val="24"/>
                <w:szCs w:val="24"/>
                <w:lang w:val="en-US" w:eastAsia="zh-CN"/>
              </w:rPr>
              <w:t>051</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.2</w:t>
            </w:r>
            <w:r>
              <w:rPr>
                <w:rFonts w:hint="eastAsia"/>
                <w:sz w:val="24"/>
                <w:szCs w:val="24"/>
                <w:lang w:val="en-US" w:eastAsia="zh-CN"/>
              </w:rPr>
              <w:t>1</w:t>
            </w:r>
            <w:r>
              <w:rPr>
                <w:rFonts w:hint="default"/>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67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中间外包型</w:t>
            </w:r>
          </w:p>
        </w:tc>
        <w:tc>
          <w:tcPr>
            <w:tcW w:w="82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DP</w:t>
            </w: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常数项</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1.857</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0.111</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1.978</w:t>
            </w:r>
          </w:p>
        </w:tc>
        <w:tc>
          <w:tcPr>
            <w:tcW w:w="76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.121</w:t>
            </w:r>
          </w:p>
        </w:tc>
        <w:tc>
          <w:tcPr>
            <w:tcW w:w="70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ascii="Times New Roman" w:hAnsi="Times New Roman" w:cs="Times New Roman"/>
                <w:sz w:val="24"/>
                <w:szCs w:val="24"/>
                <w:lang w:val="en-US" w:eastAsia="zh-CN"/>
              </w:rPr>
              <w:t>6.1</w:t>
            </w:r>
            <w:r>
              <w:rPr>
                <w:rFonts w:hint="eastAsia"/>
                <w:sz w:val="24"/>
                <w:szCs w:val="24"/>
                <w:lang w:val="en-US" w:eastAsia="zh-CN"/>
              </w:rPr>
              <w:t>7</w:t>
            </w:r>
            <w:r>
              <w:rPr>
                <w:rFonts w:hint="default"/>
                <w:sz w:val="24"/>
                <w:szCs w:val="24"/>
                <w:lang w:val="en-US" w:eastAsia="zh-CN"/>
              </w:rPr>
              <w:t>4</w:t>
            </w: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2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利他性</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0.378</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0.117</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0.316</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2.311</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2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社会</w:t>
            </w:r>
            <w:r>
              <w:rPr>
                <w:rFonts w:hint="eastAsia"/>
                <w:sz w:val="24"/>
                <w:szCs w:val="24"/>
                <w:vertAlign w:val="baseline"/>
                <w:lang w:val="en-US" w:eastAsia="zh-CN"/>
              </w:rPr>
              <w:t>导向</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0.311</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0.098</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0.405</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2.715</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67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科层型组织</w:t>
            </w:r>
          </w:p>
        </w:tc>
        <w:tc>
          <w:tcPr>
            <w:tcW w:w="82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DP</w:t>
            </w: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常数项</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1.879</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0.096</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-0.063</w:t>
            </w:r>
          </w:p>
        </w:tc>
        <w:tc>
          <w:tcPr>
            <w:tcW w:w="76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.103</w:t>
            </w:r>
          </w:p>
        </w:tc>
        <w:tc>
          <w:tcPr>
            <w:tcW w:w="70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4</w:t>
            </w:r>
            <w:r>
              <w:rPr>
                <w:rFonts w:hint="default" w:ascii="Times New Roman" w:hAnsi="Times New Roman" w:cs="Times New Roman"/>
                <w:sz w:val="24"/>
                <w:szCs w:val="24"/>
                <w:lang w:val="en-US" w:eastAsia="zh-CN"/>
              </w:rPr>
              <w:t>.3</w:t>
            </w:r>
            <w:r>
              <w:rPr>
                <w:rFonts w:hint="eastAsia"/>
                <w:sz w:val="24"/>
                <w:szCs w:val="24"/>
                <w:lang w:val="en-US" w:eastAsia="zh-CN"/>
              </w:rPr>
              <w:t>1</w:t>
            </w:r>
            <w:r>
              <w:rPr>
                <w:rFonts w:hint="default"/>
                <w:sz w:val="24"/>
                <w:szCs w:val="24"/>
                <w:lang w:val="en-US" w:eastAsia="zh-CN"/>
              </w:rPr>
              <w:t>1</w:t>
            </w: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2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正直性</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0.546</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0.097</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0.259</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2.361</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676"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2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120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集体导向</w:t>
            </w:r>
          </w:p>
        </w:tc>
        <w:tc>
          <w:tcPr>
            <w:tcW w:w="73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0.374</w:t>
            </w: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0.221</w:t>
            </w:r>
          </w:p>
        </w:tc>
        <w:tc>
          <w:tcPr>
            <w:tcW w:w="11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0.373</w:t>
            </w:r>
          </w:p>
        </w:tc>
        <w:tc>
          <w:tcPr>
            <w:tcW w:w="809"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3.227</w:t>
            </w:r>
          </w:p>
        </w:tc>
        <w:tc>
          <w:tcPr>
            <w:tcW w:w="76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709"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67" w:hRule="atLeast"/>
        </w:trPr>
        <w:tc>
          <w:tcPr>
            <w:tcW w:w="8523" w:type="dxa"/>
            <w:gridSpan w:val="10"/>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注：因变量是</w:t>
            </w:r>
            <w:r>
              <w:rPr>
                <w:rFonts w:hint="eastAsia"/>
                <w:sz w:val="24"/>
                <w:szCs w:val="24"/>
                <w:lang w:val="en-US" w:eastAsia="zh-CN"/>
              </w:rPr>
              <w:t>企业</w:t>
            </w:r>
            <w:r>
              <w:rPr>
                <w:sz w:val="24"/>
                <w:szCs w:val="24"/>
                <w:lang w:val="en-US"/>
              </w:rPr>
              <w:t>道德风险</w:t>
            </w:r>
            <w:r>
              <w:rPr>
                <w:rFonts w:hint="eastAsia"/>
                <w:sz w:val="24"/>
                <w:szCs w:val="24"/>
                <w:lang w:val="en-US" w:eastAsia="zh-CN"/>
              </w:rPr>
              <w:t>工作疏离</w:t>
            </w:r>
          </w:p>
        </w:tc>
      </w:tr>
    </w:tbl>
    <w:p>
      <w:pPr>
        <w:rPr>
          <w:rFonts w:hint="eastAsia" w:ascii="Times New Roman" w:hAnsi="Times New Roman" w:cs="Times New Roman"/>
          <w:sz w:val="24"/>
          <w:szCs w:val="24"/>
          <w:lang w:val="en-US" w:eastAsia="zh-CN"/>
        </w:rPr>
      </w:pPr>
      <w:r>
        <w:rPr>
          <w:rFonts w:hint="default"/>
          <w:sz w:val="24"/>
          <w:szCs w:val="24"/>
          <w:lang w:val="en-US" w:eastAsia="zh-CN"/>
        </w:rPr>
        <w:t>根据分析数据，可知传媒分销组织在</w:t>
      </w:r>
      <w:r>
        <w:rPr>
          <w:rFonts w:hint="eastAsia"/>
          <w:sz w:val="24"/>
          <w:szCs w:val="24"/>
          <w:lang w:val="en-US" w:eastAsia="zh-CN"/>
        </w:rPr>
        <w:t>不同</w:t>
      </w:r>
      <w:r>
        <w:rPr>
          <w:rFonts w:hint="default"/>
          <w:sz w:val="24"/>
          <w:szCs w:val="24"/>
          <w:lang w:val="en-US" w:eastAsia="zh-CN"/>
        </w:rPr>
        <w:t>外包组织制度中的</w:t>
      </w: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 xml:space="preserve">2  </w:t>
      </w:r>
      <w:r>
        <w:rPr>
          <w:rFonts w:hint="eastAsia" w:ascii="宋体" w:hAnsi="宋体" w:cs="宋体"/>
          <w:sz w:val="24"/>
          <w:szCs w:val="24"/>
          <w:vertAlign w:val="baseline"/>
          <w:lang w:val="en-US" w:eastAsia="zh-CN"/>
        </w:rPr>
        <w:t>分别为</w:t>
      </w:r>
      <w:r>
        <w:rPr>
          <w:rFonts w:hint="eastAsia"/>
          <w:sz w:val="24"/>
          <w:szCs w:val="24"/>
          <w:lang w:val="en-US" w:eastAsia="zh-CN"/>
        </w:rPr>
        <w:t>0</w:t>
      </w:r>
      <w:r>
        <w:rPr>
          <w:rFonts w:hint="default" w:ascii="Times New Roman" w:hAnsi="Times New Roman" w:cs="Times New Roman"/>
          <w:sz w:val="24"/>
          <w:szCs w:val="24"/>
          <w:lang w:val="en-US" w:eastAsia="zh-CN"/>
        </w:rPr>
        <w:t>.152</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1</w:t>
      </w:r>
      <w:r>
        <w:rPr>
          <w:rFonts w:hint="default"/>
          <w:sz w:val="24"/>
          <w:szCs w:val="24"/>
          <w:lang w:val="en-US" w:eastAsia="zh-CN"/>
        </w:rPr>
        <w:t>21</w:t>
      </w:r>
      <w:r>
        <w:rPr>
          <w:rFonts w:hint="eastAsia"/>
          <w:sz w:val="24"/>
          <w:szCs w:val="24"/>
          <w:lang w:val="en-US" w:eastAsia="zh-CN"/>
        </w:rPr>
        <w:t>，0</w:t>
      </w:r>
      <w:r>
        <w:rPr>
          <w:rFonts w:hint="default" w:ascii="Times New Roman" w:hAnsi="Times New Roman" w:cs="Times New Roman"/>
          <w:sz w:val="24"/>
          <w:szCs w:val="24"/>
          <w:lang w:val="en-US" w:eastAsia="zh-CN"/>
        </w:rPr>
        <w:t>.103</w:t>
      </w:r>
      <w:r>
        <w:rPr>
          <w:rFonts w:hint="eastAsia"/>
          <w:sz w:val="24"/>
          <w:szCs w:val="24"/>
          <w:lang w:val="en-US" w:eastAsia="zh-CN"/>
        </w:rPr>
        <w:t>。说明</w:t>
      </w:r>
      <w:r>
        <w:rPr>
          <w:rFonts w:hint="default"/>
          <w:sz w:val="24"/>
          <w:szCs w:val="24"/>
          <w:lang w:val="en-US" w:eastAsia="zh-CN"/>
        </w:rPr>
        <w:t>道德领导</w:t>
      </w:r>
      <w:r>
        <w:rPr>
          <w:rFonts w:hint="eastAsia"/>
          <w:sz w:val="24"/>
          <w:szCs w:val="24"/>
          <w:lang w:val="en-US" w:eastAsia="zh-CN"/>
        </w:rPr>
        <w:t>作为</w:t>
      </w:r>
      <w:r>
        <w:rPr>
          <w:rFonts w:hint="eastAsia"/>
          <w:sz w:val="24"/>
          <w:szCs w:val="24"/>
          <w:vertAlign w:val="baseline"/>
          <w:lang w:val="en-US" w:eastAsia="zh-CN"/>
        </w:rPr>
        <w:t>自变量，</w:t>
      </w:r>
      <w:r>
        <w:rPr>
          <w:rFonts w:hint="default"/>
          <w:sz w:val="24"/>
          <w:szCs w:val="24"/>
          <w:vertAlign w:val="baseline"/>
          <w:lang w:val="en-US" w:eastAsia="zh-CN"/>
        </w:rPr>
        <w:t>在</w:t>
      </w:r>
      <w:r>
        <w:rPr>
          <w:rFonts w:hint="eastAsia"/>
          <w:sz w:val="24"/>
          <w:szCs w:val="24"/>
          <w:vertAlign w:val="baseline"/>
          <w:lang w:val="en-US" w:eastAsia="zh-CN"/>
        </w:rPr>
        <w:t>不同</w:t>
      </w:r>
      <w:r>
        <w:rPr>
          <w:rFonts w:hint="default"/>
          <w:sz w:val="24"/>
          <w:szCs w:val="24"/>
          <w:vertAlign w:val="baseline"/>
          <w:lang w:val="en-US" w:eastAsia="zh-CN"/>
        </w:rPr>
        <w:t>外包组织制度</w:t>
      </w:r>
      <w:r>
        <w:rPr>
          <w:rFonts w:hint="eastAsia"/>
          <w:sz w:val="24"/>
          <w:szCs w:val="24"/>
          <w:vertAlign w:val="baseline"/>
          <w:lang w:val="en-US" w:eastAsia="zh-CN"/>
        </w:rPr>
        <w:t>下</w:t>
      </w:r>
      <w:r>
        <w:rPr>
          <w:rFonts w:hint="default"/>
          <w:sz w:val="24"/>
          <w:szCs w:val="24"/>
          <w:vertAlign w:val="baseline"/>
          <w:lang w:val="en-US" w:eastAsia="zh-CN"/>
        </w:rPr>
        <w:t>对传媒分销</w:t>
      </w:r>
      <w:r>
        <w:rPr>
          <w:rFonts w:hint="eastAsia"/>
          <w:sz w:val="24"/>
          <w:szCs w:val="24"/>
          <w:vertAlign w:val="baseline"/>
          <w:lang w:val="en-US" w:eastAsia="zh-CN"/>
        </w:rPr>
        <w:t>企业</w:t>
      </w:r>
      <w:r>
        <w:rPr>
          <w:rFonts w:hint="eastAsia"/>
          <w:sz w:val="24"/>
          <w:szCs w:val="24"/>
          <w:lang w:val="en-US" w:eastAsia="zh-CN"/>
        </w:rPr>
        <w:t>工作疏离</w:t>
      </w:r>
      <w:r>
        <w:rPr>
          <w:sz w:val="24"/>
          <w:szCs w:val="24"/>
          <w:lang w:val="en-US"/>
        </w:rPr>
        <w:t>道德风险</w:t>
      </w:r>
      <w:r>
        <w:rPr>
          <w:rFonts w:hint="eastAsia"/>
          <w:sz w:val="24"/>
          <w:szCs w:val="24"/>
          <w:lang w:val="en-US" w:eastAsia="zh-CN"/>
        </w:rPr>
        <w:t>影响的解释力度有一些差异，分别</w:t>
      </w:r>
      <w:r>
        <w:rPr>
          <w:rFonts w:hint="default"/>
          <w:sz w:val="24"/>
          <w:szCs w:val="24"/>
          <w:lang w:val="en-US" w:eastAsia="zh-CN"/>
        </w:rPr>
        <w:t>是市场型企业15</w:t>
      </w:r>
      <w:r>
        <w:rPr>
          <w:rFonts w:hint="default" w:ascii="Times New Roman" w:hAnsi="Times New Roman" w:cs="Times New Roman"/>
          <w:sz w:val="24"/>
          <w:szCs w:val="24"/>
          <w:lang w:val="en-US" w:eastAsia="zh-CN"/>
        </w:rPr>
        <w:t>.</w:t>
      </w:r>
      <w:r>
        <w:rPr>
          <w:rFonts w:hint="eastAsia"/>
          <w:sz w:val="24"/>
          <w:szCs w:val="24"/>
          <w:lang w:val="en-US" w:eastAsia="zh-CN"/>
        </w:rPr>
        <w:t>2%，</w:t>
      </w:r>
      <w:r>
        <w:rPr>
          <w:rFonts w:hint="default"/>
          <w:sz w:val="24"/>
          <w:szCs w:val="24"/>
          <w:lang w:val="en-US" w:eastAsia="zh-CN"/>
        </w:rPr>
        <w:t>中间外包型</w:t>
      </w:r>
      <w:r>
        <w:rPr>
          <w:rFonts w:hint="eastAsia"/>
          <w:sz w:val="24"/>
          <w:szCs w:val="24"/>
          <w:lang w:val="en-US" w:eastAsia="zh-CN"/>
        </w:rPr>
        <w:t>1</w:t>
      </w:r>
      <w:r>
        <w:rPr>
          <w:rFonts w:hint="default"/>
          <w:sz w:val="24"/>
          <w:szCs w:val="24"/>
          <w:lang w:val="en-US" w:eastAsia="zh-CN"/>
        </w:rPr>
        <w:t>2</w:t>
      </w:r>
      <w:r>
        <w:rPr>
          <w:rFonts w:hint="default" w:ascii="Times New Roman" w:hAnsi="Times New Roman" w:cs="Times New Roman"/>
          <w:sz w:val="24"/>
          <w:szCs w:val="24"/>
          <w:lang w:val="en-US" w:eastAsia="zh-CN"/>
        </w:rPr>
        <w:t>.1％</w:t>
      </w:r>
      <w:r>
        <w:rPr>
          <w:rFonts w:hint="eastAsia"/>
          <w:sz w:val="24"/>
          <w:szCs w:val="24"/>
          <w:lang w:val="en-US" w:eastAsia="zh-CN"/>
        </w:rPr>
        <w:t>，</w:t>
      </w:r>
      <w:r>
        <w:rPr>
          <w:rFonts w:hint="default"/>
          <w:sz w:val="24"/>
          <w:szCs w:val="24"/>
          <w:lang w:val="en-US" w:eastAsia="zh-CN"/>
        </w:rPr>
        <w:t>科层型组织10</w:t>
      </w:r>
      <w:r>
        <w:rPr>
          <w:rFonts w:hint="default" w:ascii="Times New Roman" w:hAnsi="Times New Roman" w:cs="Times New Roman"/>
          <w:sz w:val="24"/>
          <w:szCs w:val="24"/>
          <w:lang w:val="en-US" w:eastAsia="zh-CN"/>
        </w:rPr>
        <w:t>.3</w:t>
      </w:r>
      <w:r>
        <w:rPr>
          <w:rFonts w:hint="eastAsia"/>
          <w:sz w:val="24"/>
          <w:szCs w:val="24"/>
          <w:lang w:val="en-US" w:eastAsia="zh-CN"/>
        </w:rPr>
        <w:t>%。从</w:t>
      </w:r>
      <w:r>
        <w:rPr>
          <w:rFonts w:hint="eastAsia"/>
          <w:sz w:val="24"/>
          <w:szCs w:val="24"/>
          <w:vertAlign w:val="baseline"/>
          <w:lang w:val="en-US" w:eastAsia="zh-CN"/>
        </w:rPr>
        <w:t>自变量进入回归方程的情况来分析，我们可以发现</w:t>
      </w:r>
      <w:r>
        <w:rPr>
          <w:rFonts w:hint="default"/>
          <w:sz w:val="24"/>
          <w:szCs w:val="24"/>
          <w:vertAlign w:val="baseline"/>
          <w:lang w:val="en-US" w:eastAsia="zh-CN"/>
        </w:rPr>
        <w:t>市场型企业的分销组织</w:t>
      </w:r>
      <w:r>
        <w:rPr>
          <w:rFonts w:hint="eastAsia"/>
          <w:sz w:val="24"/>
          <w:szCs w:val="24"/>
          <w:vertAlign w:val="baseline"/>
          <w:lang w:val="en-US" w:eastAsia="zh-CN"/>
        </w:rPr>
        <w:t>下，正直性，利他性和集体导向都进入回归方程，且自变量的</w:t>
      </w:r>
      <w:r>
        <w:rPr>
          <w:rFonts w:hint="eastAsia" w:ascii="宋体" w:hAnsi="宋体" w:cs="宋体"/>
          <w:sz w:val="24"/>
          <w:szCs w:val="24"/>
          <w:vertAlign w:val="baseline"/>
          <w:lang w:val="en-US" w:eastAsia="zh-CN"/>
        </w:rPr>
        <w:t>t和F统计值都显著，说明</w:t>
      </w:r>
      <w:r>
        <w:rPr>
          <w:rFonts w:hint="default" w:ascii="宋体" w:hAnsi="宋体" w:cs="宋体"/>
          <w:sz w:val="24"/>
          <w:szCs w:val="24"/>
          <w:vertAlign w:val="baseline"/>
          <w:lang w:val="en-US" w:eastAsia="zh-CN"/>
        </w:rPr>
        <w:t>在市场型企业中道德领导</w:t>
      </w:r>
      <w:r>
        <w:rPr>
          <w:rFonts w:hint="eastAsia" w:ascii="宋体" w:hAnsi="宋体" w:cs="宋体"/>
          <w:sz w:val="24"/>
          <w:szCs w:val="24"/>
          <w:vertAlign w:val="baseline"/>
          <w:lang w:val="en-US" w:eastAsia="zh-CN"/>
        </w:rPr>
        <w:t>的</w:t>
      </w:r>
      <w:r>
        <w:rPr>
          <w:rFonts w:hint="eastAsia"/>
          <w:sz w:val="24"/>
          <w:szCs w:val="24"/>
          <w:vertAlign w:val="baseline"/>
          <w:lang w:val="en-US" w:eastAsia="zh-CN"/>
        </w:rPr>
        <w:t>正直性，利他性和集体导向对</w:t>
      </w:r>
      <w:r>
        <w:rPr>
          <w:rFonts w:hint="eastAsia"/>
          <w:sz w:val="24"/>
          <w:szCs w:val="24"/>
          <w:lang w:val="en-US" w:eastAsia="zh-CN"/>
        </w:rPr>
        <w:t>企业工作疏离</w:t>
      </w:r>
      <w:r>
        <w:rPr>
          <w:sz w:val="24"/>
          <w:szCs w:val="24"/>
          <w:lang w:val="en-US"/>
        </w:rPr>
        <w:t>道德风险</w:t>
      </w:r>
      <w:r>
        <w:rPr>
          <w:rFonts w:hint="eastAsia"/>
          <w:sz w:val="24"/>
          <w:szCs w:val="24"/>
          <w:lang w:val="en-US" w:eastAsia="zh-CN"/>
        </w:rPr>
        <w:t>影响显著；在</w:t>
      </w:r>
      <w:r>
        <w:rPr>
          <w:rFonts w:hint="default"/>
          <w:sz w:val="24"/>
          <w:szCs w:val="24"/>
          <w:lang w:val="en-US" w:eastAsia="zh-CN"/>
        </w:rPr>
        <w:t>科层型组织的报刊</w:t>
      </w:r>
      <w:r>
        <w:rPr>
          <w:rFonts w:hint="default"/>
          <w:sz w:val="24"/>
          <w:szCs w:val="24"/>
          <w:vertAlign w:val="baseline"/>
          <w:lang w:val="en-US" w:eastAsia="zh-CN"/>
        </w:rPr>
        <w:t>分销组织</w:t>
      </w:r>
      <w:r>
        <w:rPr>
          <w:rFonts w:hint="eastAsia"/>
          <w:sz w:val="24"/>
          <w:szCs w:val="24"/>
          <w:vertAlign w:val="baseline"/>
          <w:lang w:val="en-US" w:eastAsia="zh-CN"/>
        </w:rPr>
        <w:t>中，有正直性</w:t>
      </w:r>
      <w:r>
        <w:rPr>
          <w:rFonts w:hint="default"/>
          <w:sz w:val="24"/>
          <w:szCs w:val="24"/>
          <w:vertAlign w:val="baseline"/>
          <w:lang w:val="en-US" w:eastAsia="zh-CN"/>
        </w:rPr>
        <w:t>和集体导向</w:t>
      </w:r>
      <w:r>
        <w:rPr>
          <w:rFonts w:hint="eastAsia"/>
          <w:sz w:val="24"/>
          <w:szCs w:val="24"/>
          <w:vertAlign w:val="baseline"/>
          <w:lang w:val="en-US" w:eastAsia="zh-CN"/>
        </w:rPr>
        <w:t>维度进入回归方程，且自变量的</w:t>
      </w:r>
      <w:r>
        <w:rPr>
          <w:rFonts w:hint="eastAsia" w:ascii="宋体" w:hAnsi="宋体" w:cs="宋体"/>
          <w:sz w:val="24"/>
          <w:szCs w:val="24"/>
          <w:vertAlign w:val="baseline"/>
          <w:lang w:val="en-US" w:eastAsia="zh-CN"/>
        </w:rPr>
        <w:t>t和F统计值都显著，说明</w:t>
      </w:r>
      <w:r>
        <w:rPr>
          <w:rFonts w:hint="default" w:ascii="宋体" w:hAnsi="宋体" w:cs="宋体"/>
          <w:sz w:val="24"/>
          <w:szCs w:val="24"/>
          <w:vertAlign w:val="baseline"/>
          <w:lang w:val="en-US" w:eastAsia="zh-CN"/>
        </w:rPr>
        <w:t>在科层型组织中，道德领导</w:t>
      </w:r>
      <w:r>
        <w:rPr>
          <w:rFonts w:hint="eastAsia" w:ascii="宋体" w:hAnsi="宋体" w:cs="宋体"/>
          <w:sz w:val="24"/>
          <w:szCs w:val="24"/>
          <w:vertAlign w:val="baseline"/>
          <w:lang w:val="en-US" w:eastAsia="zh-CN"/>
        </w:rPr>
        <w:t>的</w:t>
      </w:r>
      <w:r>
        <w:rPr>
          <w:rFonts w:hint="eastAsia"/>
          <w:sz w:val="24"/>
          <w:szCs w:val="24"/>
          <w:vertAlign w:val="baseline"/>
          <w:lang w:val="en-US" w:eastAsia="zh-CN"/>
        </w:rPr>
        <w:t>正直性</w:t>
      </w:r>
      <w:r>
        <w:rPr>
          <w:rFonts w:hint="default"/>
          <w:sz w:val="24"/>
          <w:szCs w:val="24"/>
          <w:vertAlign w:val="baseline"/>
          <w:lang w:val="en-US" w:eastAsia="zh-CN"/>
        </w:rPr>
        <w:t>和集体导向</w:t>
      </w:r>
      <w:r>
        <w:rPr>
          <w:rFonts w:hint="eastAsia"/>
          <w:sz w:val="24"/>
          <w:szCs w:val="24"/>
          <w:vertAlign w:val="baseline"/>
          <w:lang w:val="en-US" w:eastAsia="zh-CN"/>
        </w:rPr>
        <w:t>对</w:t>
      </w:r>
      <w:r>
        <w:rPr>
          <w:rFonts w:hint="default"/>
          <w:sz w:val="24"/>
          <w:szCs w:val="24"/>
          <w:vertAlign w:val="baseline"/>
          <w:lang w:val="en-US" w:eastAsia="zh-CN"/>
        </w:rPr>
        <w:t>分销</w:t>
      </w:r>
      <w:r>
        <w:rPr>
          <w:rFonts w:hint="eastAsia"/>
          <w:sz w:val="24"/>
          <w:szCs w:val="24"/>
          <w:lang w:val="en-US" w:eastAsia="zh-CN"/>
        </w:rPr>
        <w:t>企业工作疏离</w:t>
      </w:r>
      <w:r>
        <w:rPr>
          <w:sz w:val="24"/>
          <w:szCs w:val="24"/>
          <w:lang w:val="en-US"/>
        </w:rPr>
        <w:t>道德风险</w:t>
      </w:r>
      <w:r>
        <w:rPr>
          <w:rFonts w:hint="eastAsia"/>
          <w:sz w:val="24"/>
          <w:szCs w:val="24"/>
          <w:lang w:val="en-US" w:eastAsia="zh-CN"/>
        </w:rPr>
        <w:t>影响显著</w:t>
      </w:r>
      <w:r>
        <w:rPr>
          <w:rFonts w:hint="default"/>
          <w:sz w:val="24"/>
          <w:szCs w:val="24"/>
          <w:lang w:val="en-US" w:eastAsia="zh-CN"/>
        </w:rPr>
        <w:t>。</w:t>
      </w:r>
      <w:r>
        <w:rPr>
          <w:rFonts w:hint="eastAsia"/>
          <w:sz w:val="24"/>
          <w:szCs w:val="24"/>
          <w:lang w:val="en-US" w:eastAsia="zh-CN"/>
        </w:rPr>
        <w:t>而</w:t>
      </w:r>
      <w:r>
        <w:rPr>
          <w:rFonts w:hint="eastAsia"/>
          <w:sz w:val="24"/>
          <w:szCs w:val="24"/>
          <w:vertAlign w:val="baseline"/>
          <w:lang w:val="en-US" w:eastAsia="zh-CN"/>
        </w:rPr>
        <w:t>利他性和集体导向对</w:t>
      </w:r>
      <w:r>
        <w:rPr>
          <w:rFonts w:hint="eastAsia"/>
          <w:sz w:val="24"/>
          <w:szCs w:val="24"/>
          <w:lang w:val="en-US" w:eastAsia="zh-CN"/>
        </w:rPr>
        <w:t>企业攻击行为</w:t>
      </w:r>
      <w:r>
        <w:rPr>
          <w:sz w:val="24"/>
          <w:szCs w:val="24"/>
          <w:lang w:val="en-US"/>
        </w:rPr>
        <w:t>道德风险</w:t>
      </w:r>
      <w:r>
        <w:rPr>
          <w:rFonts w:hint="eastAsia"/>
          <w:sz w:val="24"/>
          <w:szCs w:val="24"/>
          <w:lang w:val="en-US" w:eastAsia="zh-CN"/>
        </w:rPr>
        <w:t>影响不显著。但是</w:t>
      </w:r>
      <w:r>
        <w:rPr>
          <w:rFonts w:hint="eastAsia"/>
          <w:sz w:val="24"/>
          <w:szCs w:val="24"/>
          <w:vertAlign w:val="baseline"/>
          <w:lang w:val="en-US" w:eastAsia="zh-CN"/>
        </w:rPr>
        <w:t>常数项</w:t>
      </w:r>
      <w:r>
        <w:rPr>
          <w:rFonts w:hint="eastAsia"/>
          <w:sz w:val="24"/>
          <w:szCs w:val="24"/>
          <w:lang w:val="en-US" w:eastAsia="zh-CN"/>
        </w:rPr>
        <w:t>在</w:t>
      </w:r>
      <w:r>
        <w:rPr>
          <w:rFonts w:hint="eastAsia" w:ascii="宋体" w:hAnsi="宋体" w:cs="宋体"/>
          <w:sz w:val="24"/>
          <w:szCs w:val="24"/>
          <w:vertAlign w:val="baseline"/>
          <w:lang w:val="en-US" w:eastAsia="zh-CN"/>
        </w:rPr>
        <w:t>Sig的统计值显著系数均大于显著性水平</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05，显然</w:t>
      </w:r>
      <w:r>
        <w:rPr>
          <w:rFonts w:hint="default" w:ascii="Times New Roman" w:hAnsi="Times New Roman" w:cs="Times New Roman"/>
          <w:sz w:val="24"/>
          <w:szCs w:val="24"/>
          <w:lang w:val="en-US" w:eastAsia="zh-CN"/>
        </w:rPr>
        <w:t>影响</w:t>
      </w:r>
      <w:r>
        <w:rPr>
          <w:rFonts w:hint="eastAsia" w:ascii="Times New Roman" w:hAnsi="Times New Roman" w:cs="Times New Roman"/>
          <w:sz w:val="24"/>
          <w:szCs w:val="24"/>
          <w:lang w:val="en-US" w:eastAsia="zh-CN"/>
        </w:rPr>
        <w:t>不显著</w:t>
      </w:r>
      <w:r>
        <w:rPr>
          <w:rFonts w:hint="default"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.2</w:t>
      </w:r>
      <w:r>
        <w:rPr>
          <w:rFonts w:hint="eastAsia"/>
          <w:sz w:val="24"/>
          <w:szCs w:val="24"/>
          <w:lang w:val="en-US" w:eastAsia="zh-CN"/>
        </w:rPr>
        <w:t>不同</w:t>
      </w:r>
      <w:r>
        <w:rPr>
          <w:rFonts w:hint="default"/>
          <w:sz w:val="24"/>
          <w:szCs w:val="24"/>
          <w:lang w:val="en-US" w:eastAsia="zh-CN"/>
        </w:rPr>
        <w:t>外包组织制度</w:t>
      </w:r>
      <w:r>
        <w:rPr>
          <w:rFonts w:hint="eastAsia"/>
          <w:sz w:val="24"/>
          <w:szCs w:val="24"/>
          <w:lang w:val="en-US" w:eastAsia="zh-CN"/>
        </w:rPr>
        <w:t>类型下的企业攻击行为</w:t>
      </w:r>
      <w:r>
        <w:rPr>
          <w:sz w:val="24"/>
          <w:szCs w:val="24"/>
          <w:lang w:val="en-US"/>
        </w:rPr>
        <w:t>道德风险</w:t>
      </w:r>
      <w:r>
        <w:rPr>
          <w:rFonts w:hint="eastAsia"/>
          <w:sz w:val="24"/>
          <w:szCs w:val="24"/>
          <w:lang w:val="en-US" w:eastAsia="zh-CN"/>
        </w:rPr>
        <w:t>回归参数</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855"/>
        <w:gridCol w:w="810"/>
        <w:gridCol w:w="690"/>
        <w:gridCol w:w="690"/>
        <w:gridCol w:w="1080"/>
        <w:gridCol w:w="945"/>
        <w:gridCol w:w="990"/>
        <w:gridCol w:w="871"/>
        <w:gridCol w:w="855"/>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3" w:type="dxa"/>
            <w:gridSpan w:val="11"/>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表</w:t>
            </w:r>
            <w:r>
              <w:rPr>
                <w:rFonts w:hint="default"/>
                <w:sz w:val="24"/>
                <w:szCs w:val="24"/>
                <w:lang w:val="en-US" w:eastAsia="zh-CN"/>
              </w:rPr>
              <w:t>2</w:t>
            </w:r>
            <w:r>
              <w:rPr>
                <w:rFonts w:hint="eastAsia"/>
                <w:sz w:val="24"/>
                <w:szCs w:val="24"/>
                <w:lang w:val="en-US" w:eastAsia="zh-CN"/>
              </w:rPr>
              <w:t>不同外包组织制度差异性的企业攻击行为</w:t>
            </w:r>
            <w:r>
              <w:rPr>
                <w:sz w:val="24"/>
                <w:szCs w:val="24"/>
                <w:lang w:val="en-US"/>
              </w:rPr>
              <w:t>道德风险</w:t>
            </w:r>
            <w:r>
              <w:rPr>
                <w:rFonts w:hint="eastAsia"/>
                <w:sz w:val="24"/>
                <w:szCs w:val="24"/>
                <w:lang w:val="en-US" w:eastAsia="zh-CN"/>
              </w:rPr>
              <w:t>回归参数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07" w:hRule="atLeast"/>
        </w:trPr>
        <w:tc>
          <w:tcPr>
            <w:tcW w:w="73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lang w:val="en-US" w:eastAsia="zh-CN"/>
              </w:rPr>
              <w:t>外包组织制度</w:t>
            </w:r>
          </w:p>
        </w:tc>
        <w:tc>
          <w:tcPr>
            <w:tcW w:w="85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因变量</w:t>
            </w:r>
          </w:p>
        </w:tc>
        <w:tc>
          <w:tcPr>
            <w:tcW w:w="810"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自变量</w:t>
            </w:r>
          </w:p>
        </w:tc>
        <w:tc>
          <w:tcPr>
            <w:tcW w:w="1380" w:type="dxa"/>
            <w:gridSpan w:val="2"/>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回归系数</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标准回归系数Beta</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ascii="宋体" w:hAnsi="宋体" w:cs="宋体"/>
                <w:sz w:val="24"/>
                <w:szCs w:val="24"/>
                <w:vertAlign w:val="baseline"/>
                <w:lang w:val="en-US" w:eastAsia="zh-CN"/>
              </w:rPr>
              <w:t>t</w:t>
            </w:r>
          </w:p>
        </w:tc>
        <w:tc>
          <w:tcPr>
            <w:tcW w:w="99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R</w:t>
            </w:r>
            <w:r>
              <w:rPr>
                <w:rFonts w:hint="eastAsia" w:ascii="宋体" w:hAnsi="宋体" w:cs="宋体"/>
                <w:sz w:val="24"/>
                <w:szCs w:val="24"/>
                <w:vertAlign w:val="superscript"/>
                <w:lang w:val="en-US" w:eastAsia="zh-CN"/>
              </w:rPr>
              <w:t>2</w:t>
            </w:r>
          </w:p>
        </w:tc>
        <w:tc>
          <w:tcPr>
            <w:tcW w:w="871" w:type="dxa"/>
            <w:tcBorders>
              <w:top w:val="single" w:color="auto" w:sz="4" w:space="0"/>
              <w:left w:val="single" w:color="auto" w:sz="4" w:space="0"/>
              <w:bottom w:val="single" w:color="auto" w:sz="4" w:space="0"/>
              <w:right w:val="single" w:color="auto" w:sz="4" w:space="0"/>
            </w:tcBorders>
          </w:tcPr>
          <w:p>
            <w:pP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F</w:t>
            </w:r>
          </w:p>
        </w:tc>
        <w:tc>
          <w:tcPr>
            <w:tcW w:w="855" w:type="dxa"/>
            <w:tcBorders>
              <w:top w:val="single" w:color="auto" w:sz="4" w:space="0"/>
              <w:left w:val="single" w:color="auto" w:sz="4" w:space="0"/>
              <w:bottom w:val="single" w:color="auto" w:sz="4" w:space="0"/>
              <w:right w:val="single" w:color="auto" w:sz="4" w:space="0"/>
            </w:tcBorders>
          </w:tcPr>
          <w:p>
            <w:pP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07"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10"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B</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标准误差</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9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71"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463" w:hRule="atLeast"/>
        </w:trPr>
        <w:tc>
          <w:tcPr>
            <w:tcW w:w="73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市场型企业</w:t>
            </w:r>
          </w:p>
        </w:tc>
        <w:tc>
          <w:tcPr>
            <w:tcW w:w="85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FP</w:t>
            </w:r>
          </w:p>
        </w:tc>
        <w:tc>
          <w:tcPr>
            <w:tcW w:w="810" w:type="dxa"/>
            <w:tcBorders>
              <w:top w:val="single" w:color="auto" w:sz="4" w:space="0"/>
              <w:left w:val="single" w:color="auto" w:sz="4" w:space="0"/>
              <w:bottom w:val="single" w:color="auto" w:sz="4" w:space="0"/>
              <w:right w:val="single" w:color="auto" w:sz="4" w:space="0"/>
            </w:tcBorders>
          </w:tcPr>
          <w:p>
            <w:pPr>
              <w:rPr>
                <w:rFonts w:hint="eastAsia" w:eastAsia="宋体"/>
                <w:sz w:val="24"/>
                <w:szCs w:val="24"/>
                <w:vertAlign w:val="baseline"/>
                <w:lang w:val="en-US" w:eastAsia="zh-CN"/>
              </w:rPr>
            </w:pPr>
            <w:r>
              <w:rPr>
                <w:rFonts w:hint="eastAsia"/>
                <w:sz w:val="24"/>
                <w:szCs w:val="24"/>
                <w:vertAlign w:val="baseline"/>
                <w:lang w:val="en-US" w:eastAsia="zh-CN"/>
              </w:rPr>
              <w:t>常数项</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w:t>
            </w:r>
            <w:r>
              <w:rPr>
                <w:rFonts w:hint="default"/>
                <w:sz w:val="24"/>
                <w:szCs w:val="24"/>
                <w:lang w:val="en-US" w:eastAsia="zh-CN"/>
              </w:rPr>
              <w:t>84</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113</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8</w:t>
            </w:r>
            <w:r>
              <w:rPr>
                <w:rFonts w:hint="default"/>
                <w:sz w:val="24"/>
                <w:szCs w:val="24"/>
                <w:lang w:val="en-US" w:eastAsia="zh-CN"/>
              </w:rPr>
              <w:t>36</w:t>
            </w:r>
          </w:p>
        </w:tc>
        <w:tc>
          <w:tcPr>
            <w:tcW w:w="990"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lang w:val="en-US" w:eastAsia="zh-CN"/>
              </w:rPr>
              <w:t>0</w:t>
            </w:r>
            <w:r>
              <w:rPr>
                <w:rFonts w:hint="default"/>
                <w:sz w:val="24"/>
                <w:szCs w:val="24"/>
                <w:lang w:val="en-US" w:eastAsia="zh-CN"/>
              </w:rPr>
              <w:t>.14</w:t>
            </w:r>
            <w:r>
              <w:rPr>
                <w:rFonts w:hint="default" w:ascii="Times New Roman" w:hAnsi="Times New Roman" w:cs="Times New Roman"/>
                <w:sz w:val="24"/>
                <w:szCs w:val="24"/>
                <w:lang w:val="en-US" w:eastAsia="zh-CN"/>
              </w:rPr>
              <w:t>6</w:t>
            </w:r>
          </w:p>
        </w:tc>
        <w:tc>
          <w:tcPr>
            <w:tcW w:w="871"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p>
            <w:pPr>
              <w:rPr>
                <w:rFonts w:hint="eastAsia"/>
                <w:sz w:val="24"/>
                <w:szCs w:val="24"/>
                <w:lang w:val="en-US" w:eastAsia="zh-CN"/>
              </w:rPr>
            </w:pPr>
          </w:p>
          <w:p>
            <w:pPr>
              <w:rPr>
                <w:rFonts w:hint="eastAsia"/>
                <w:sz w:val="24"/>
                <w:szCs w:val="24"/>
                <w:vertAlign w:val="baseline"/>
                <w:lang w:val="en-US" w:eastAsia="zh-CN"/>
              </w:rPr>
            </w:pPr>
            <w:r>
              <w:rPr>
                <w:rFonts w:hint="eastAsia"/>
                <w:sz w:val="24"/>
                <w:szCs w:val="24"/>
                <w:lang w:val="en-US" w:eastAsia="zh-CN"/>
              </w:rPr>
              <w:t>7</w:t>
            </w:r>
            <w:r>
              <w:rPr>
                <w:rFonts w:hint="default" w:ascii="Times New Roman" w:hAnsi="Times New Roman" w:cs="Times New Roman"/>
                <w:sz w:val="24"/>
                <w:szCs w:val="24"/>
                <w:lang w:val="en-US" w:eastAsia="zh-CN"/>
              </w:rPr>
              <w:t>.829</w:t>
            </w:r>
          </w:p>
          <w:p>
            <w:pPr>
              <w:rPr>
                <w:rFonts w:hint="eastAsia"/>
                <w:sz w:val="24"/>
                <w:szCs w:val="24"/>
                <w:vertAlign w:val="baseline"/>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463"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正直性</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264</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09</w:t>
            </w:r>
            <w:r>
              <w:rPr>
                <w:rFonts w:hint="default"/>
                <w:sz w:val="24"/>
                <w:szCs w:val="24"/>
                <w:lang w:val="en-US" w:eastAsia="zh-CN"/>
              </w:rPr>
              <w:t>3</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315</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11</w:t>
            </w:r>
          </w:p>
        </w:tc>
        <w:tc>
          <w:tcPr>
            <w:tcW w:w="990"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71"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94"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利他性</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483</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097</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eastAsia"/>
                <w:sz w:val="24"/>
                <w:szCs w:val="24"/>
                <w:lang w:val="en-US" w:eastAsia="zh-CN"/>
              </w:rPr>
              <w:t>09</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2</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8</w:t>
            </w:r>
            <w:r>
              <w:rPr>
                <w:rFonts w:hint="eastAsia"/>
                <w:sz w:val="24"/>
                <w:szCs w:val="24"/>
                <w:lang w:val="en-US" w:eastAsia="zh-CN"/>
              </w:rPr>
              <w:t>5</w:t>
            </w:r>
            <w:r>
              <w:rPr>
                <w:rFonts w:hint="default"/>
                <w:sz w:val="24"/>
                <w:szCs w:val="24"/>
                <w:lang w:val="en-US" w:eastAsia="zh-CN"/>
              </w:rPr>
              <w:t>4</w:t>
            </w:r>
          </w:p>
        </w:tc>
        <w:tc>
          <w:tcPr>
            <w:tcW w:w="990"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71"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591"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5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社会</w:t>
            </w:r>
            <w:r>
              <w:rPr>
                <w:rFonts w:hint="eastAsia"/>
                <w:sz w:val="24"/>
                <w:szCs w:val="24"/>
                <w:vertAlign w:val="baseline"/>
                <w:lang w:val="en-US" w:eastAsia="zh-CN"/>
              </w:rPr>
              <w:t>导向</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372</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3</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253</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2</w:t>
            </w:r>
            <w:r>
              <w:rPr>
                <w:rFonts w:hint="default" w:ascii="Times New Roman" w:hAnsi="Times New Roman" w:cs="Times New Roman"/>
                <w:sz w:val="24"/>
                <w:szCs w:val="24"/>
                <w:lang w:val="en-US" w:eastAsia="zh-CN"/>
              </w:rPr>
              <w:t>.</w:t>
            </w:r>
            <w:r>
              <w:rPr>
                <w:rFonts w:hint="eastAsia"/>
                <w:sz w:val="24"/>
                <w:szCs w:val="24"/>
                <w:lang w:val="en-US" w:eastAsia="zh-CN"/>
              </w:rPr>
              <w:t>05</w:t>
            </w:r>
            <w:r>
              <w:rPr>
                <w:rFonts w:hint="default"/>
                <w:sz w:val="24"/>
                <w:szCs w:val="24"/>
                <w:lang w:val="en-US" w:eastAsia="zh-CN"/>
              </w:rPr>
              <w:t>7</w:t>
            </w:r>
          </w:p>
        </w:tc>
        <w:tc>
          <w:tcPr>
            <w:tcW w:w="990"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71"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04" w:hRule="atLeast"/>
        </w:trPr>
        <w:tc>
          <w:tcPr>
            <w:tcW w:w="73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中间外包型</w:t>
            </w:r>
          </w:p>
        </w:tc>
        <w:tc>
          <w:tcPr>
            <w:tcW w:w="85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FP</w:t>
            </w: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常数项</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.3</w:t>
            </w:r>
            <w:r>
              <w:rPr>
                <w:rFonts w:hint="eastAsia"/>
                <w:sz w:val="24"/>
                <w:szCs w:val="24"/>
                <w:lang w:val="en-US" w:eastAsia="zh-CN"/>
              </w:rPr>
              <w:t>83</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-0.036</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-0.051</w:t>
            </w:r>
          </w:p>
        </w:tc>
        <w:tc>
          <w:tcPr>
            <w:tcW w:w="990"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.098</w:t>
            </w:r>
          </w:p>
        </w:tc>
        <w:tc>
          <w:tcPr>
            <w:tcW w:w="871"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p>
            <w:pPr>
              <w:rPr>
                <w:rFonts w:hint="eastAsia"/>
                <w:sz w:val="24"/>
                <w:szCs w:val="24"/>
                <w:vertAlign w:val="baseline"/>
                <w:lang w:val="en-US" w:eastAsia="zh-CN"/>
              </w:rPr>
            </w:pPr>
            <w:r>
              <w:rPr>
                <w:rFonts w:hint="eastAsia"/>
                <w:sz w:val="24"/>
                <w:szCs w:val="24"/>
                <w:lang w:val="en-US" w:eastAsia="zh-CN"/>
              </w:rPr>
              <w:t>5</w:t>
            </w:r>
            <w:r>
              <w:rPr>
                <w:rFonts w:hint="default" w:ascii="Times New Roman" w:hAnsi="Times New Roman" w:cs="Times New Roman"/>
                <w:sz w:val="24"/>
                <w:szCs w:val="24"/>
                <w:lang w:val="en-US" w:eastAsia="zh-CN"/>
              </w:rPr>
              <w:t>.</w:t>
            </w:r>
            <w:r>
              <w:rPr>
                <w:rFonts w:hint="eastAsia"/>
                <w:sz w:val="24"/>
                <w:szCs w:val="24"/>
                <w:lang w:val="en-US" w:eastAsia="zh-CN"/>
              </w:rPr>
              <w:t>7</w:t>
            </w:r>
            <w:r>
              <w:rPr>
                <w:rFonts w:hint="default"/>
                <w:sz w:val="24"/>
                <w:szCs w:val="24"/>
                <w:lang w:val="en-US" w:eastAsia="zh-CN"/>
              </w:rPr>
              <w:t>43</w:t>
            </w: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sz w:val="24"/>
                <w:szCs w:val="24"/>
                <w:lang w:val="en-US" w:eastAsia="zh-CN"/>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04"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10" w:type="dxa"/>
            <w:tcBorders>
              <w:top w:val="single" w:color="auto" w:sz="4" w:space="0"/>
              <w:left w:val="single" w:color="auto" w:sz="4" w:space="0"/>
              <w:bottom w:val="single" w:color="auto" w:sz="4" w:space="0"/>
              <w:right w:val="single" w:color="auto" w:sz="4" w:space="0"/>
            </w:tcBorders>
          </w:tcPr>
          <w:p>
            <w:pPr>
              <w:rPr>
                <w:sz w:val="24"/>
                <w:szCs w:val="24"/>
              </w:rPr>
            </w:pPr>
            <w:r>
              <w:rPr>
                <w:rFonts w:hint="eastAsia"/>
                <w:sz w:val="24"/>
                <w:szCs w:val="24"/>
                <w:vertAlign w:val="baseline"/>
                <w:lang w:val="en-US" w:eastAsia="zh-CN"/>
              </w:rPr>
              <w:t>利他性</w:t>
            </w:r>
          </w:p>
        </w:tc>
        <w:tc>
          <w:tcPr>
            <w:tcW w:w="690" w:type="dxa"/>
            <w:tcBorders>
              <w:top w:val="single" w:color="auto" w:sz="4" w:space="0"/>
              <w:left w:val="single" w:color="auto" w:sz="4" w:space="0"/>
              <w:bottom w:val="single" w:color="auto" w:sz="4" w:space="0"/>
              <w:right w:val="single" w:color="auto" w:sz="4" w:space="0"/>
            </w:tcBorders>
          </w:tcPr>
          <w:p>
            <w:pPr>
              <w:rPr>
                <w:sz w:val="24"/>
                <w:szCs w:val="24"/>
                <w:lang w:val="en-US"/>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eastAsia"/>
                <w:sz w:val="24"/>
                <w:szCs w:val="24"/>
                <w:lang w:val="en-US" w:eastAsia="zh-CN"/>
              </w:rPr>
              <w:t>87</w:t>
            </w:r>
          </w:p>
        </w:tc>
        <w:tc>
          <w:tcPr>
            <w:tcW w:w="69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lang w:val="en-US"/>
              </w:rPr>
              <w:t>0.613</w:t>
            </w:r>
          </w:p>
        </w:tc>
        <w:tc>
          <w:tcPr>
            <w:tcW w:w="108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lang w:val="en-US"/>
              </w:rPr>
              <w:t>0.426</w:t>
            </w:r>
          </w:p>
        </w:tc>
        <w:tc>
          <w:tcPr>
            <w:tcW w:w="945"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lang w:val="en-US"/>
              </w:rPr>
              <w:t>3.135</w:t>
            </w:r>
          </w:p>
        </w:tc>
        <w:tc>
          <w:tcPr>
            <w:tcW w:w="990"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71"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w:t>
            </w:r>
            <w:r>
              <w:rPr>
                <w:rFonts w:hint="eastAsia"/>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04"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5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vertAlign w:val="baseline"/>
                <w:lang w:val="en-US" w:eastAsia="zh-CN"/>
              </w:rPr>
              <w:t>集体导向</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w:t>
            </w:r>
            <w:r>
              <w:rPr>
                <w:rFonts w:hint="eastAsia"/>
                <w:sz w:val="24"/>
                <w:szCs w:val="24"/>
                <w:lang w:val="en-US" w:eastAsia="zh-CN"/>
              </w:rPr>
              <w:t>70</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0.276</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0.571</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2.675</w:t>
            </w:r>
          </w:p>
        </w:tc>
        <w:tc>
          <w:tcPr>
            <w:tcW w:w="990"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71"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w:t>
            </w:r>
            <w:r>
              <w:rPr>
                <w:rFonts w:hint="eastAsia"/>
                <w:sz w:val="24"/>
                <w:szCs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04" w:hRule="atLeast"/>
        </w:trPr>
        <w:tc>
          <w:tcPr>
            <w:tcW w:w="736"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科层型组织</w:t>
            </w:r>
          </w:p>
        </w:tc>
        <w:tc>
          <w:tcPr>
            <w:tcW w:w="855"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FP</w:t>
            </w: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常数项</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174</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1.937</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default"/>
                <w:sz w:val="24"/>
                <w:szCs w:val="24"/>
                <w:vertAlign w:val="baseline"/>
                <w:lang w:val="en-US" w:eastAsia="zh-CN"/>
              </w:rPr>
              <w:t>1.837</w:t>
            </w:r>
          </w:p>
        </w:tc>
        <w:tc>
          <w:tcPr>
            <w:tcW w:w="990"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.135</w:t>
            </w:r>
          </w:p>
        </w:tc>
        <w:tc>
          <w:tcPr>
            <w:tcW w:w="871" w:type="dxa"/>
            <w:vMerge w:val="restart"/>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p>
            <w:pPr>
              <w:rPr>
                <w:rFonts w:hint="eastAsia"/>
                <w:sz w:val="24"/>
                <w:szCs w:val="24"/>
                <w:vertAlign w:val="baseline"/>
                <w:lang w:val="en-US" w:eastAsia="zh-CN"/>
              </w:rPr>
            </w:pPr>
            <w:r>
              <w:rPr>
                <w:rFonts w:hint="default" w:ascii="Times New Roman" w:hAnsi="Times New Roman" w:cs="Times New Roman"/>
                <w:sz w:val="24"/>
                <w:szCs w:val="24"/>
                <w:lang w:val="en-US" w:eastAsia="zh-CN"/>
              </w:rPr>
              <w:t>5.0</w:t>
            </w:r>
            <w:r>
              <w:rPr>
                <w:rFonts w:hint="eastAsia"/>
                <w:sz w:val="24"/>
                <w:szCs w:val="24"/>
                <w:lang w:val="en-US" w:eastAsia="zh-CN"/>
              </w:rPr>
              <w:t>1</w:t>
            </w:r>
            <w:r>
              <w:rPr>
                <w:rFonts w:hint="default"/>
                <w:sz w:val="24"/>
                <w:szCs w:val="24"/>
                <w:lang w:val="en-US" w:eastAsia="zh-CN"/>
              </w:rPr>
              <w:t>6</w:t>
            </w: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w:t>
            </w:r>
            <w:r>
              <w:rPr>
                <w:rFonts w:hint="eastAsia"/>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04"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10" w:type="dxa"/>
            <w:tcBorders>
              <w:top w:val="single" w:color="auto" w:sz="4" w:space="0"/>
              <w:left w:val="single" w:color="auto" w:sz="4" w:space="0"/>
              <w:bottom w:val="single" w:color="auto" w:sz="4" w:space="0"/>
              <w:right w:val="single" w:color="auto" w:sz="4" w:space="0"/>
            </w:tcBorders>
          </w:tcPr>
          <w:p>
            <w:pPr>
              <w:rPr>
                <w:sz w:val="24"/>
                <w:szCs w:val="24"/>
              </w:rPr>
            </w:pPr>
            <w:r>
              <w:rPr>
                <w:rFonts w:hint="eastAsia"/>
                <w:sz w:val="24"/>
                <w:szCs w:val="24"/>
                <w:vertAlign w:val="baseline"/>
                <w:lang w:val="en-US" w:eastAsia="zh-CN"/>
              </w:rPr>
              <w:t>正直性</w:t>
            </w:r>
          </w:p>
        </w:tc>
        <w:tc>
          <w:tcPr>
            <w:tcW w:w="690" w:type="dxa"/>
            <w:tcBorders>
              <w:top w:val="single" w:color="auto" w:sz="4" w:space="0"/>
              <w:left w:val="single" w:color="auto" w:sz="4" w:space="0"/>
              <w:bottom w:val="single" w:color="auto" w:sz="4" w:space="0"/>
              <w:right w:val="single" w:color="auto" w:sz="4" w:space="0"/>
            </w:tcBorders>
          </w:tcPr>
          <w:p>
            <w:pPr>
              <w:rPr>
                <w:sz w:val="24"/>
                <w:szCs w:val="24"/>
              </w:rPr>
            </w:pPr>
            <w:r>
              <w:rPr>
                <w:rFonts w:hint="eastAsia"/>
                <w:sz w:val="24"/>
                <w:szCs w:val="24"/>
                <w:lang w:val="en-US" w:eastAsia="zh-CN"/>
              </w:rPr>
              <w:t>0</w:t>
            </w:r>
            <w:r>
              <w:rPr>
                <w:rFonts w:hint="default" w:ascii="Times New Roman" w:hAnsi="Times New Roman" w:cs="Times New Roman"/>
                <w:sz w:val="24"/>
                <w:szCs w:val="24"/>
                <w:lang w:val="en-US" w:eastAsia="zh-CN"/>
              </w:rPr>
              <w:t>.36</w:t>
            </w:r>
            <w:r>
              <w:rPr>
                <w:rFonts w:hint="default"/>
                <w:sz w:val="24"/>
                <w:szCs w:val="24"/>
                <w:lang w:val="en-US" w:eastAsia="zh-CN"/>
              </w:rPr>
              <w:t>4</w:t>
            </w:r>
          </w:p>
        </w:tc>
        <w:tc>
          <w:tcPr>
            <w:tcW w:w="69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lang w:val="en-US"/>
              </w:rPr>
              <w:t>0.461</w:t>
            </w:r>
          </w:p>
        </w:tc>
        <w:tc>
          <w:tcPr>
            <w:tcW w:w="108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lang w:val="en-US"/>
              </w:rPr>
              <w:t>0.604</w:t>
            </w:r>
          </w:p>
        </w:tc>
        <w:tc>
          <w:tcPr>
            <w:tcW w:w="945"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lang w:val="en-US"/>
              </w:rPr>
              <w:t>4.375</w:t>
            </w:r>
          </w:p>
        </w:tc>
        <w:tc>
          <w:tcPr>
            <w:tcW w:w="990"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71" w:type="dxa"/>
            <w:vMerge w:val="continue"/>
            <w:tcBorders>
              <w:top w:val="single" w:color="auto" w:sz="4" w:space="0"/>
              <w:left w:val="single" w:color="auto" w:sz="4" w:space="0"/>
              <w:bottom w:val="single" w:color="auto" w:sz="4" w:space="0"/>
              <w:right w:val="single" w:color="auto" w:sz="4" w:space="0"/>
            </w:tcBorders>
          </w:tcPr>
          <w:p>
            <w:pPr>
              <w:rPr>
                <w:sz w:val="24"/>
                <w:szCs w:val="24"/>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w:t>
            </w:r>
            <w:r>
              <w:rPr>
                <w:rFonts w:hint="eastAsia"/>
                <w:sz w:val="24"/>
                <w:szCs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204" w:hRule="atLeast"/>
        </w:trPr>
        <w:tc>
          <w:tcPr>
            <w:tcW w:w="736"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55"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1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利他性</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eastAsia"/>
                <w:sz w:val="24"/>
                <w:szCs w:val="24"/>
                <w:lang w:val="en-US" w:eastAsia="zh-CN"/>
              </w:rPr>
              <w:t>8</w:t>
            </w:r>
            <w:r>
              <w:rPr>
                <w:rFonts w:hint="default"/>
                <w:sz w:val="24"/>
                <w:szCs w:val="24"/>
                <w:lang w:val="en-US" w:eastAsia="zh-CN"/>
              </w:rPr>
              <w:t>7</w:t>
            </w:r>
          </w:p>
        </w:tc>
        <w:tc>
          <w:tcPr>
            <w:tcW w:w="69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0.373</w:t>
            </w:r>
          </w:p>
        </w:tc>
        <w:tc>
          <w:tcPr>
            <w:tcW w:w="1080"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0.288</w:t>
            </w:r>
          </w:p>
        </w:tc>
        <w:tc>
          <w:tcPr>
            <w:tcW w:w="945"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default"/>
                <w:sz w:val="24"/>
                <w:szCs w:val="24"/>
                <w:lang w:val="en-US" w:eastAsia="zh-CN"/>
              </w:rPr>
              <w:t>3.842</w:t>
            </w:r>
          </w:p>
        </w:tc>
        <w:tc>
          <w:tcPr>
            <w:tcW w:w="990"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71" w:type="dxa"/>
            <w:vMerge w:val="continue"/>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p>
        </w:tc>
        <w:tc>
          <w:tcPr>
            <w:tcW w:w="855" w:type="dxa"/>
            <w:tcBorders>
              <w:top w:val="single" w:color="auto" w:sz="4" w:space="0"/>
              <w:left w:val="single" w:color="auto" w:sz="4" w:space="0"/>
              <w:bottom w:val="single" w:color="auto" w:sz="4" w:space="0"/>
              <w:right w:val="single" w:color="auto" w:sz="4" w:space="0"/>
            </w:tcBorders>
          </w:tcPr>
          <w:p>
            <w:pPr>
              <w:rPr>
                <w:rFonts w:hint="eastAsia"/>
                <w:sz w:val="24"/>
                <w:szCs w:val="24"/>
                <w:lang w:val="en-US" w:eastAsia="zh-CN"/>
              </w:rPr>
            </w:pP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8523" w:type="dxa"/>
            <w:gridSpan w:val="11"/>
            <w:tcBorders>
              <w:top w:val="single" w:color="auto" w:sz="4" w:space="0"/>
              <w:left w:val="single" w:color="auto" w:sz="4" w:space="0"/>
              <w:bottom w:val="single" w:color="auto" w:sz="4" w:space="0"/>
              <w:right w:val="single" w:color="auto" w:sz="4" w:space="0"/>
            </w:tcBorders>
          </w:tcPr>
          <w:p>
            <w:pPr>
              <w:rPr>
                <w:rFonts w:hint="eastAsia"/>
                <w:sz w:val="24"/>
                <w:szCs w:val="24"/>
                <w:vertAlign w:val="baseline"/>
                <w:lang w:val="en-US" w:eastAsia="zh-CN"/>
              </w:rPr>
            </w:pPr>
            <w:r>
              <w:rPr>
                <w:rFonts w:hint="eastAsia"/>
                <w:sz w:val="24"/>
                <w:szCs w:val="24"/>
                <w:vertAlign w:val="baseline"/>
                <w:lang w:val="en-US" w:eastAsia="zh-CN"/>
              </w:rPr>
              <w:t>注：因变量是</w:t>
            </w:r>
            <w:r>
              <w:rPr>
                <w:rFonts w:hint="eastAsia"/>
                <w:sz w:val="24"/>
                <w:szCs w:val="24"/>
                <w:lang w:val="en-US" w:eastAsia="zh-CN"/>
              </w:rPr>
              <w:t>企业</w:t>
            </w:r>
            <w:r>
              <w:rPr>
                <w:sz w:val="24"/>
                <w:szCs w:val="24"/>
                <w:lang w:val="en-US"/>
              </w:rPr>
              <w:t>道德风险</w:t>
            </w:r>
            <w:r>
              <w:rPr>
                <w:rFonts w:hint="eastAsia"/>
                <w:sz w:val="24"/>
                <w:szCs w:val="24"/>
                <w:lang w:val="en-US" w:eastAsia="zh-CN"/>
              </w:rPr>
              <w:t>攻击行为</w:t>
            </w:r>
          </w:p>
        </w:tc>
      </w:tr>
    </w:tbl>
    <w:p>
      <w:pPr>
        <w:rPr>
          <w:rFonts w:hint="eastAsia"/>
          <w:sz w:val="24"/>
          <w:szCs w:val="24"/>
          <w:lang w:val="en-US" w:eastAsia="zh-CN"/>
        </w:rPr>
      </w:pPr>
      <w:r>
        <w:rPr>
          <w:rFonts w:hint="eastAsia"/>
          <w:sz w:val="24"/>
          <w:szCs w:val="24"/>
          <w:lang w:val="en-US" w:eastAsia="zh-CN"/>
        </w:rPr>
        <w:t>不同外包组织制度差异性</w:t>
      </w:r>
      <w:r>
        <w:rPr>
          <w:rFonts w:hint="default"/>
          <w:sz w:val="24"/>
          <w:szCs w:val="24"/>
          <w:lang w:val="en-US" w:eastAsia="zh-CN"/>
        </w:rPr>
        <w:t>的</w:t>
      </w:r>
      <w:r>
        <w:rPr>
          <w:rFonts w:hint="eastAsia"/>
          <w:sz w:val="24"/>
          <w:szCs w:val="24"/>
          <w:lang w:val="en-US" w:eastAsia="zh-CN"/>
        </w:rPr>
        <w:t>R</w:t>
      </w:r>
      <w:r>
        <w:rPr>
          <w:rFonts w:hint="eastAsia"/>
          <w:sz w:val="24"/>
          <w:szCs w:val="24"/>
          <w:vertAlign w:val="superscript"/>
          <w:lang w:val="en-US" w:eastAsia="zh-CN"/>
        </w:rPr>
        <w:t>2</w:t>
      </w:r>
      <w:r>
        <w:rPr>
          <w:rFonts w:hint="eastAsia"/>
          <w:sz w:val="24"/>
          <w:szCs w:val="24"/>
          <w:lang w:val="en-US" w:eastAsia="zh-CN"/>
        </w:rPr>
        <w:t>分别为0.</w:t>
      </w:r>
      <w:r>
        <w:rPr>
          <w:rFonts w:hint="default"/>
          <w:sz w:val="24"/>
          <w:szCs w:val="24"/>
          <w:lang w:val="en-US" w:eastAsia="zh-CN"/>
        </w:rPr>
        <w:t>146</w:t>
      </w:r>
      <w:r>
        <w:rPr>
          <w:rFonts w:hint="eastAsia"/>
          <w:sz w:val="24"/>
          <w:szCs w:val="24"/>
          <w:lang w:val="en-US" w:eastAsia="zh-CN"/>
        </w:rPr>
        <w:t>，0.</w:t>
      </w:r>
      <w:r>
        <w:rPr>
          <w:rFonts w:hint="default"/>
          <w:sz w:val="24"/>
          <w:szCs w:val="24"/>
          <w:lang w:val="en-US" w:eastAsia="zh-CN"/>
        </w:rPr>
        <w:t>098</w:t>
      </w:r>
      <w:r>
        <w:rPr>
          <w:rFonts w:hint="eastAsia"/>
          <w:sz w:val="24"/>
          <w:szCs w:val="24"/>
          <w:lang w:val="en-US" w:eastAsia="zh-CN"/>
        </w:rPr>
        <w:t>，0.</w:t>
      </w:r>
      <w:r>
        <w:rPr>
          <w:rFonts w:hint="default"/>
          <w:sz w:val="24"/>
          <w:szCs w:val="24"/>
          <w:lang w:val="en-US" w:eastAsia="zh-CN"/>
        </w:rPr>
        <w:t>135</w:t>
      </w:r>
      <w:r>
        <w:rPr>
          <w:rFonts w:hint="eastAsia"/>
          <w:sz w:val="24"/>
          <w:szCs w:val="24"/>
          <w:lang w:val="en-US" w:eastAsia="zh-CN"/>
        </w:rPr>
        <w:t>。说明</w:t>
      </w:r>
      <w:r>
        <w:rPr>
          <w:rFonts w:hint="default"/>
          <w:sz w:val="24"/>
          <w:szCs w:val="24"/>
          <w:lang w:val="en-US" w:eastAsia="zh-CN"/>
        </w:rPr>
        <w:t>道德领导</w:t>
      </w:r>
      <w:r>
        <w:rPr>
          <w:rFonts w:hint="eastAsia"/>
          <w:sz w:val="24"/>
          <w:szCs w:val="24"/>
          <w:lang w:val="en-US" w:eastAsia="zh-CN"/>
        </w:rPr>
        <w:t>作为自变量，对不同外包组织制度差异性下的企业攻击行为道德风险影响的解释力度有一些差异，分别为</w:t>
      </w:r>
      <w:r>
        <w:rPr>
          <w:rFonts w:hint="default"/>
          <w:sz w:val="24"/>
          <w:szCs w:val="24"/>
          <w:lang w:val="en-US" w:eastAsia="zh-CN"/>
        </w:rPr>
        <w:t>市场型企业经营14</w:t>
      </w:r>
      <w:r>
        <w:rPr>
          <w:rFonts w:hint="eastAsia"/>
          <w:sz w:val="24"/>
          <w:szCs w:val="24"/>
          <w:lang w:val="en-US" w:eastAsia="zh-CN"/>
        </w:rPr>
        <w:t>.</w:t>
      </w:r>
      <w:r>
        <w:rPr>
          <w:rFonts w:hint="default"/>
          <w:sz w:val="24"/>
          <w:szCs w:val="24"/>
          <w:lang w:val="en-US" w:eastAsia="zh-CN"/>
        </w:rPr>
        <w:t>6</w:t>
      </w:r>
      <w:r>
        <w:rPr>
          <w:rFonts w:hint="eastAsia"/>
          <w:sz w:val="24"/>
          <w:szCs w:val="24"/>
          <w:lang w:val="en-US" w:eastAsia="zh-CN"/>
        </w:rPr>
        <w:t>%，</w:t>
      </w:r>
      <w:r>
        <w:rPr>
          <w:rFonts w:hint="default"/>
          <w:sz w:val="24"/>
          <w:szCs w:val="24"/>
          <w:lang w:val="en-US" w:eastAsia="zh-CN"/>
        </w:rPr>
        <w:t>中间外包型9</w:t>
      </w:r>
      <w:r>
        <w:rPr>
          <w:rFonts w:hint="eastAsia"/>
          <w:sz w:val="24"/>
          <w:szCs w:val="24"/>
          <w:lang w:val="en-US" w:eastAsia="zh-CN"/>
        </w:rPr>
        <w:t>.</w:t>
      </w:r>
      <w:r>
        <w:rPr>
          <w:rFonts w:hint="default"/>
          <w:sz w:val="24"/>
          <w:szCs w:val="24"/>
          <w:lang w:val="en-US" w:eastAsia="zh-CN"/>
        </w:rPr>
        <w:t>8％</w:t>
      </w:r>
      <w:r>
        <w:rPr>
          <w:rFonts w:hint="eastAsia"/>
          <w:sz w:val="24"/>
          <w:szCs w:val="24"/>
          <w:lang w:val="en-US" w:eastAsia="zh-CN"/>
        </w:rPr>
        <w:t>，</w:t>
      </w:r>
      <w:r>
        <w:rPr>
          <w:rFonts w:hint="default"/>
          <w:sz w:val="24"/>
          <w:szCs w:val="24"/>
          <w:lang w:val="en-US" w:eastAsia="zh-CN"/>
        </w:rPr>
        <w:t>科层型组织13</w:t>
      </w:r>
      <w:r>
        <w:rPr>
          <w:rFonts w:hint="eastAsia"/>
          <w:sz w:val="24"/>
          <w:szCs w:val="24"/>
          <w:lang w:val="en-US" w:eastAsia="zh-CN"/>
        </w:rPr>
        <w:t>.</w:t>
      </w:r>
      <w:r>
        <w:rPr>
          <w:rFonts w:hint="default"/>
          <w:sz w:val="24"/>
          <w:szCs w:val="24"/>
          <w:lang w:val="en-US" w:eastAsia="zh-CN"/>
        </w:rPr>
        <w:t>5</w:t>
      </w:r>
      <w:r>
        <w:rPr>
          <w:rFonts w:hint="eastAsia"/>
          <w:sz w:val="24"/>
          <w:szCs w:val="24"/>
          <w:lang w:val="en-US" w:eastAsia="zh-CN"/>
        </w:rPr>
        <w:t>%。</w:t>
      </w:r>
      <w:r>
        <w:rPr>
          <w:rFonts w:hint="default"/>
          <w:sz w:val="24"/>
          <w:szCs w:val="24"/>
          <w:lang w:val="en-US" w:eastAsia="zh-CN"/>
        </w:rPr>
        <w:t>科层型组织的传媒发行</w:t>
      </w:r>
      <w:r>
        <w:rPr>
          <w:rFonts w:hint="eastAsia"/>
          <w:sz w:val="24"/>
          <w:szCs w:val="24"/>
          <w:vertAlign w:val="baseline"/>
          <w:lang w:val="en-US" w:eastAsia="zh-CN"/>
        </w:rPr>
        <w:t>组织中，有正直性</w:t>
      </w:r>
      <w:r>
        <w:rPr>
          <w:rFonts w:hint="default"/>
          <w:sz w:val="24"/>
          <w:szCs w:val="24"/>
          <w:vertAlign w:val="baseline"/>
          <w:lang w:val="en-US" w:eastAsia="zh-CN"/>
        </w:rPr>
        <w:t>和利他性指标</w:t>
      </w:r>
      <w:r>
        <w:rPr>
          <w:rFonts w:hint="eastAsia"/>
          <w:sz w:val="24"/>
          <w:szCs w:val="24"/>
          <w:vertAlign w:val="baseline"/>
          <w:lang w:val="en-US" w:eastAsia="zh-CN"/>
        </w:rPr>
        <w:t>进入回归方程，且自变量的</w:t>
      </w:r>
      <w:r>
        <w:rPr>
          <w:rFonts w:hint="eastAsia" w:ascii="宋体" w:hAnsi="宋体" w:cs="宋体"/>
          <w:sz w:val="24"/>
          <w:szCs w:val="24"/>
          <w:vertAlign w:val="baseline"/>
          <w:lang w:val="en-US" w:eastAsia="zh-CN"/>
        </w:rPr>
        <w:t>t和F统计值都显著，说明</w:t>
      </w:r>
      <w:r>
        <w:rPr>
          <w:rFonts w:hint="default" w:ascii="宋体" w:hAnsi="宋体" w:cs="宋体"/>
          <w:sz w:val="24"/>
          <w:szCs w:val="24"/>
          <w:vertAlign w:val="baseline"/>
          <w:lang w:val="en-US" w:eastAsia="zh-CN"/>
        </w:rPr>
        <w:t>在科层型组织作为先行变量的报刊分销组织上，道德领导</w:t>
      </w:r>
      <w:r>
        <w:rPr>
          <w:rFonts w:hint="eastAsia" w:ascii="宋体" w:hAnsi="宋体" w:cs="宋体"/>
          <w:sz w:val="24"/>
          <w:szCs w:val="24"/>
          <w:vertAlign w:val="baseline"/>
          <w:lang w:val="en-US" w:eastAsia="zh-CN"/>
        </w:rPr>
        <w:t>的</w:t>
      </w:r>
      <w:r>
        <w:rPr>
          <w:rFonts w:hint="eastAsia"/>
          <w:sz w:val="24"/>
          <w:szCs w:val="24"/>
          <w:vertAlign w:val="baseline"/>
          <w:lang w:val="en-US" w:eastAsia="zh-CN"/>
        </w:rPr>
        <w:t>正直性</w:t>
      </w:r>
      <w:r>
        <w:rPr>
          <w:rFonts w:hint="default"/>
          <w:sz w:val="24"/>
          <w:szCs w:val="24"/>
          <w:vertAlign w:val="baseline"/>
          <w:lang w:val="en-US" w:eastAsia="zh-CN"/>
        </w:rPr>
        <w:t>和利他性</w:t>
      </w:r>
      <w:r>
        <w:rPr>
          <w:rFonts w:hint="eastAsia"/>
          <w:sz w:val="24"/>
          <w:szCs w:val="24"/>
          <w:vertAlign w:val="baseline"/>
          <w:lang w:val="en-US" w:eastAsia="zh-CN"/>
        </w:rPr>
        <w:t>对</w:t>
      </w:r>
      <w:r>
        <w:rPr>
          <w:rFonts w:hint="eastAsia"/>
          <w:sz w:val="24"/>
          <w:szCs w:val="24"/>
          <w:lang w:val="en-US" w:eastAsia="zh-CN"/>
        </w:rPr>
        <w:t>企业攻击行为</w:t>
      </w:r>
      <w:r>
        <w:rPr>
          <w:sz w:val="24"/>
          <w:szCs w:val="24"/>
          <w:lang w:val="en-US"/>
        </w:rPr>
        <w:t>道德风险</w:t>
      </w:r>
      <w:r>
        <w:rPr>
          <w:rFonts w:hint="eastAsia"/>
          <w:sz w:val="24"/>
          <w:szCs w:val="24"/>
          <w:lang w:val="en-US" w:eastAsia="zh-CN"/>
        </w:rPr>
        <w:t>影响显著</w:t>
      </w:r>
      <w:r>
        <w:rPr>
          <w:rFonts w:hint="default"/>
          <w:sz w:val="24"/>
          <w:szCs w:val="24"/>
          <w:lang w:val="en-US" w:eastAsia="zh-CN"/>
        </w:rPr>
        <w:t>。</w:t>
      </w:r>
      <w:r>
        <w:rPr>
          <w:rFonts w:hint="eastAsia"/>
          <w:sz w:val="24"/>
          <w:szCs w:val="24"/>
          <w:lang w:val="en-US" w:eastAsia="zh-CN"/>
        </w:rPr>
        <w:t>而</w:t>
      </w:r>
      <w:r>
        <w:rPr>
          <w:rFonts w:hint="eastAsia"/>
          <w:sz w:val="24"/>
          <w:szCs w:val="24"/>
          <w:vertAlign w:val="baseline"/>
          <w:lang w:val="en-US" w:eastAsia="zh-CN"/>
        </w:rPr>
        <w:t>集体导向对</w:t>
      </w:r>
      <w:r>
        <w:rPr>
          <w:rFonts w:hint="default"/>
          <w:sz w:val="24"/>
          <w:szCs w:val="24"/>
          <w:vertAlign w:val="baseline"/>
          <w:lang w:val="en-US" w:eastAsia="zh-CN"/>
        </w:rPr>
        <w:t>科层型组织分销组织下的</w:t>
      </w:r>
      <w:r>
        <w:rPr>
          <w:rFonts w:hint="eastAsia"/>
          <w:sz w:val="24"/>
          <w:szCs w:val="24"/>
          <w:lang w:val="en-US" w:eastAsia="zh-CN"/>
        </w:rPr>
        <w:t>企业攻击行为</w:t>
      </w:r>
      <w:r>
        <w:rPr>
          <w:sz w:val="24"/>
          <w:szCs w:val="24"/>
          <w:lang w:val="en-US"/>
        </w:rPr>
        <w:t>道德风险</w:t>
      </w:r>
      <w:r>
        <w:rPr>
          <w:rFonts w:hint="eastAsia"/>
          <w:sz w:val="24"/>
          <w:szCs w:val="24"/>
          <w:lang w:val="en-US" w:eastAsia="zh-CN"/>
        </w:rPr>
        <w:t>影响不显著</w:t>
      </w:r>
      <w:r>
        <w:rPr>
          <w:rFonts w:hint="default"/>
          <w:sz w:val="24"/>
          <w:szCs w:val="24"/>
          <w:lang w:val="en-US" w:eastAsia="zh-CN"/>
        </w:rPr>
        <w:t>，说明要使集体导向对企业攻击行为道德风险产生影响，可让外包组织制度作为调节变量改变外包组织制度形式</w:t>
      </w:r>
      <w:r>
        <w:rPr>
          <w:rFonts w:hint="eastAsia"/>
          <w:sz w:val="24"/>
          <w:szCs w:val="24"/>
          <w:lang w:val="en-US" w:eastAsia="zh-CN"/>
        </w:rPr>
        <w:t>。但是</w:t>
      </w:r>
      <w:r>
        <w:rPr>
          <w:rFonts w:hint="eastAsia"/>
          <w:sz w:val="24"/>
          <w:szCs w:val="24"/>
          <w:vertAlign w:val="baseline"/>
          <w:lang w:val="en-US" w:eastAsia="zh-CN"/>
        </w:rPr>
        <w:t>常数项</w:t>
      </w:r>
      <w:r>
        <w:rPr>
          <w:rFonts w:hint="eastAsia"/>
          <w:sz w:val="24"/>
          <w:szCs w:val="24"/>
          <w:lang w:val="en-US" w:eastAsia="zh-CN"/>
        </w:rPr>
        <w:t>在</w:t>
      </w:r>
      <w:r>
        <w:rPr>
          <w:rFonts w:hint="eastAsia" w:ascii="宋体" w:hAnsi="宋体" w:cs="宋体"/>
          <w:sz w:val="24"/>
          <w:szCs w:val="24"/>
          <w:vertAlign w:val="baseline"/>
          <w:lang w:val="en-US" w:eastAsia="zh-CN"/>
        </w:rPr>
        <w:t>Sig的统计值显著系数均大于显著性水平</w:t>
      </w:r>
      <w:r>
        <w:rPr>
          <w:rFonts w:hint="eastAsia"/>
          <w:sz w:val="24"/>
          <w:szCs w:val="24"/>
          <w:lang w:val="en-US" w:eastAsia="zh-CN"/>
        </w:rPr>
        <w:t>0</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05，显然</w:t>
      </w:r>
      <w:r>
        <w:rPr>
          <w:rFonts w:hint="default" w:ascii="Times New Roman" w:hAnsi="Times New Roman" w:cs="Times New Roman"/>
          <w:sz w:val="24"/>
          <w:szCs w:val="24"/>
          <w:lang w:val="en-US" w:eastAsia="zh-CN"/>
        </w:rPr>
        <w:t>影响</w:t>
      </w:r>
      <w:r>
        <w:rPr>
          <w:rFonts w:hint="eastAsia" w:ascii="Times New Roman" w:hAnsi="Times New Roman" w:cs="Times New Roman"/>
          <w:sz w:val="24"/>
          <w:szCs w:val="24"/>
          <w:lang w:val="en-US" w:eastAsia="zh-CN"/>
        </w:rPr>
        <w:t>不显著。</w:t>
      </w:r>
    </w:p>
    <w:p>
      <w:pPr>
        <w:rPr>
          <w:rFonts w:hint="eastAsia"/>
          <w:sz w:val="24"/>
          <w:szCs w:val="24"/>
          <w:lang w:val="en-US" w:eastAsia="zh-CN"/>
        </w:rPr>
      </w:pPr>
      <w:r>
        <w:rPr>
          <w:rFonts w:hint="default"/>
          <w:sz w:val="24"/>
          <w:szCs w:val="24"/>
          <w:lang w:val="en-US" w:eastAsia="zh-CN"/>
        </w:rPr>
        <w:t>4.</w:t>
      </w:r>
      <w:r>
        <w:rPr>
          <w:rFonts w:hint="eastAsia"/>
          <w:sz w:val="24"/>
          <w:szCs w:val="24"/>
          <w:lang w:val="en-US" w:eastAsia="zh-CN"/>
        </w:rPr>
        <w:t>结论与讨论</w:t>
      </w:r>
    </w:p>
    <w:p>
      <w:pPr>
        <w:rPr>
          <w:rFonts w:hint="eastAsia"/>
          <w:sz w:val="24"/>
          <w:szCs w:val="24"/>
          <w:lang w:val="en-US" w:eastAsia="zh-CN"/>
        </w:rPr>
      </w:pPr>
      <w:r>
        <w:rPr>
          <w:rFonts w:hint="eastAsia"/>
          <w:sz w:val="24"/>
          <w:szCs w:val="24"/>
          <w:lang w:val="en-US" w:eastAsia="zh-CN"/>
        </w:rPr>
        <w:t>第一,基于</w:t>
      </w:r>
      <w:r>
        <w:rPr>
          <w:rFonts w:hint="default"/>
          <w:sz w:val="24"/>
          <w:szCs w:val="24"/>
          <w:lang w:val="en-US" w:eastAsia="zh-CN"/>
        </w:rPr>
        <w:t>外包组织制度差异性的报刊发行</w:t>
      </w:r>
      <w:r>
        <w:rPr>
          <w:rFonts w:hint="eastAsia"/>
          <w:sz w:val="24"/>
          <w:szCs w:val="24"/>
          <w:lang w:val="en-US" w:eastAsia="zh-CN"/>
        </w:rPr>
        <w:t>组织的</w:t>
      </w:r>
      <w:r>
        <w:rPr>
          <w:rFonts w:hint="default"/>
          <w:sz w:val="24"/>
          <w:szCs w:val="24"/>
          <w:lang w:val="en-US" w:eastAsia="zh-CN"/>
        </w:rPr>
        <w:t>道德领导</w:t>
      </w:r>
      <w:r>
        <w:rPr>
          <w:rFonts w:hint="eastAsia"/>
          <w:sz w:val="24"/>
          <w:szCs w:val="24"/>
          <w:lang w:val="en-US" w:eastAsia="zh-CN"/>
        </w:rPr>
        <w:t>与企业</w:t>
      </w:r>
      <w:r>
        <w:rPr>
          <w:sz w:val="24"/>
          <w:szCs w:val="24"/>
          <w:lang w:val="en-US"/>
        </w:rPr>
        <w:t>道德风险</w:t>
      </w:r>
      <w:r>
        <w:rPr>
          <w:rFonts w:hint="eastAsia"/>
          <w:sz w:val="24"/>
          <w:szCs w:val="24"/>
          <w:lang w:val="en-US" w:eastAsia="zh-CN"/>
        </w:rPr>
        <w:t>显著正相关</w:t>
      </w:r>
      <w:r>
        <w:rPr>
          <w:rFonts w:hint="eastAsia" w:ascii="Times New Roman" w:hAnsi="Times New Roman" w:cs="Times New Roman"/>
          <w:sz w:val="24"/>
          <w:szCs w:val="24"/>
          <w:lang w:val="en-US" w:eastAsia="zh-CN"/>
        </w:rPr>
        <w:t>。正直性,利他性和集体导向对</w:t>
      </w:r>
      <w:r>
        <w:rPr>
          <w:rFonts w:hint="eastAsia"/>
          <w:sz w:val="24"/>
          <w:szCs w:val="24"/>
          <w:lang w:val="en-US" w:eastAsia="zh-CN"/>
        </w:rPr>
        <w:t>企业</w:t>
      </w:r>
      <w:r>
        <w:rPr>
          <w:sz w:val="24"/>
          <w:szCs w:val="24"/>
          <w:lang w:val="en-US"/>
        </w:rPr>
        <w:t>道德风险</w:t>
      </w:r>
      <w:r>
        <w:rPr>
          <w:rFonts w:hint="eastAsia"/>
          <w:sz w:val="24"/>
          <w:szCs w:val="24"/>
          <w:lang w:val="en-US" w:eastAsia="zh-CN"/>
        </w:rPr>
        <w:t>都有不同程度的影响</w:t>
      </w:r>
      <w:r>
        <w:rPr>
          <w:rFonts w:hint="eastAsia" w:ascii="Times New Roman" w:hAnsi="Times New Roman" w:cs="Times New Roman"/>
          <w:sz w:val="24"/>
          <w:szCs w:val="24"/>
          <w:lang w:val="en-US" w:eastAsia="zh-CN"/>
        </w:rPr>
        <w:t>。特别注重从</w:t>
      </w:r>
      <w:r>
        <w:rPr>
          <w:rFonts w:hint="eastAsia"/>
          <w:sz w:val="24"/>
          <w:szCs w:val="24"/>
          <w:lang w:val="en-US" w:eastAsia="zh-CN"/>
        </w:rPr>
        <w:t>企业</w:t>
      </w:r>
      <w:r>
        <w:rPr>
          <w:sz w:val="24"/>
          <w:szCs w:val="24"/>
          <w:lang w:val="en-US"/>
        </w:rPr>
        <w:t>道德风险</w:t>
      </w:r>
      <w:r>
        <w:rPr>
          <w:rFonts w:hint="eastAsia"/>
          <w:sz w:val="24"/>
          <w:szCs w:val="24"/>
          <w:lang w:val="en-US" w:eastAsia="zh-CN"/>
        </w:rPr>
        <w:t>的工作疏离和攻击行为两个维度进行研究</w:t>
      </w:r>
      <w:r>
        <w:rPr>
          <w:rFonts w:hint="eastAsia" w:ascii="Times New Roman" w:hAnsi="Times New Roman" w:cs="Times New Roman"/>
          <w:sz w:val="24"/>
          <w:szCs w:val="24"/>
          <w:lang w:val="en-US" w:eastAsia="zh-CN"/>
        </w:rPr>
        <w:t>。</w:t>
      </w:r>
      <w:r>
        <w:rPr>
          <w:rFonts w:hint="eastAsia"/>
          <w:sz w:val="24"/>
          <w:szCs w:val="24"/>
          <w:lang w:val="en-US" w:eastAsia="zh-CN"/>
        </w:rPr>
        <w:t>第二,在不同外包组织制度差异性中,</w:t>
      </w:r>
      <w:r>
        <w:rPr>
          <w:rFonts w:hint="default"/>
          <w:sz w:val="24"/>
          <w:szCs w:val="24"/>
          <w:lang w:val="en-US" w:eastAsia="zh-CN"/>
        </w:rPr>
        <w:t>报刊发行</w:t>
      </w:r>
      <w:r>
        <w:rPr>
          <w:rFonts w:hint="eastAsia"/>
          <w:sz w:val="24"/>
          <w:szCs w:val="24"/>
          <w:lang w:val="en-US" w:eastAsia="zh-CN"/>
        </w:rPr>
        <w:t>企业的利他性维度有显著差异,而集体导向没有显著差异</w:t>
      </w:r>
      <w:r>
        <w:rPr>
          <w:rFonts w:hint="eastAsia" w:ascii="Times New Roman" w:hAnsi="Times New Roman" w:cs="Times New Roman"/>
          <w:sz w:val="24"/>
          <w:szCs w:val="24"/>
          <w:lang w:val="en-US" w:eastAsia="zh-CN"/>
        </w:rPr>
        <w:t>。</w:t>
      </w:r>
      <w:r>
        <w:rPr>
          <w:rFonts w:hint="eastAsia"/>
          <w:sz w:val="24"/>
          <w:szCs w:val="24"/>
          <w:lang w:val="en-US" w:eastAsia="zh-CN"/>
        </w:rPr>
        <w:t>第三,在不同外包组织制度差异性中,企业</w:t>
      </w:r>
      <w:r>
        <w:rPr>
          <w:rFonts w:hint="default"/>
          <w:sz w:val="24"/>
          <w:szCs w:val="24"/>
          <w:lang w:val="en-US" w:eastAsia="zh-CN"/>
        </w:rPr>
        <w:t>道德领导</w:t>
      </w:r>
      <w:r>
        <w:rPr>
          <w:rFonts w:hint="eastAsia"/>
          <w:sz w:val="24"/>
          <w:szCs w:val="24"/>
          <w:lang w:val="en-US" w:eastAsia="zh-CN"/>
        </w:rPr>
        <w:t>与企业</w:t>
      </w:r>
      <w:r>
        <w:rPr>
          <w:sz w:val="24"/>
          <w:szCs w:val="24"/>
          <w:lang w:val="en-US"/>
        </w:rPr>
        <w:t>道德风险</w:t>
      </w:r>
      <w:r>
        <w:rPr>
          <w:rFonts w:hint="eastAsia"/>
          <w:sz w:val="24"/>
          <w:szCs w:val="24"/>
          <w:lang w:val="en-US" w:eastAsia="zh-CN"/>
        </w:rPr>
        <w:t>的交互作用有显著差异</w:t>
      </w:r>
      <w:r>
        <w:rPr>
          <w:rFonts w:hint="eastAsia" w:ascii="Times New Roman" w:hAnsi="Times New Roman" w:cs="Times New Roman"/>
          <w:sz w:val="24"/>
          <w:szCs w:val="24"/>
          <w:lang w:val="en-US" w:eastAsia="zh-CN"/>
        </w:rPr>
        <w:t>。特别是在</w:t>
      </w:r>
      <w:r>
        <w:rPr>
          <w:rFonts w:hint="eastAsia"/>
          <w:sz w:val="24"/>
          <w:szCs w:val="24"/>
          <w:lang w:val="en-US" w:eastAsia="zh-CN"/>
        </w:rPr>
        <w:t>工作疏离和攻击行为两个维度上存在差异</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本文的创新点在于</w:t>
      </w:r>
      <w:r>
        <w:rPr>
          <w:rFonts w:hint="eastAsia"/>
          <w:sz w:val="24"/>
          <w:szCs w:val="24"/>
          <w:lang w:val="en-US" w:eastAsia="zh-CN"/>
        </w:rPr>
        <w:t>将</w:t>
      </w:r>
      <w:r>
        <w:rPr>
          <w:rFonts w:hint="default"/>
          <w:sz w:val="24"/>
          <w:szCs w:val="24"/>
          <w:lang w:val="en-US" w:eastAsia="zh-CN"/>
        </w:rPr>
        <w:t>道德领导</w:t>
      </w:r>
      <w:r>
        <w:rPr>
          <w:rFonts w:hint="eastAsia"/>
          <w:sz w:val="24"/>
          <w:szCs w:val="24"/>
          <w:lang w:val="en-US" w:eastAsia="zh-CN"/>
        </w:rPr>
        <w:t>理论</w:t>
      </w:r>
      <w:r>
        <w:rPr>
          <w:rFonts w:hint="default"/>
          <w:sz w:val="24"/>
          <w:szCs w:val="24"/>
          <w:lang w:val="en-US" w:eastAsia="zh-CN"/>
        </w:rPr>
        <w:t>从</w:t>
      </w:r>
      <w:r>
        <w:rPr>
          <w:rFonts w:hint="eastAsia"/>
          <w:sz w:val="24"/>
          <w:szCs w:val="24"/>
          <w:lang w:val="en-US" w:eastAsia="zh-CN"/>
        </w:rPr>
        <w:t>外包组织制度差异性的</w:t>
      </w:r>
      <w:r>
        <w:rPr>
          <w:rFonts w:hint="default"/>
          <w:sz w:val="24"/>
          <w:szCs w:val="24"/>
          <w:lang w:val="en-US" w:eastAsia="zh-CN"/>
        </w:rPr>
        <w:t>角度</w:t>
      </w:r>
      <w:r>
        <w:rPr>
          <w:rFonts w:hint="eastAsia"/>
          <w:sz w:val="24"/>
          <w:szCs w:val="24"/>
          <w:lang w:val="en-US" w:eastAsia="zh-CN"/>
        </w:rPr>
        <w:t>进行研究,并不同程度地影响企业</w:t>
      </w:r>
      <w:r>
        <w:rPr>
          <w:sz w:val="24"/>
          <w:szCs w:val="24"/>
          <w:lang w:val="en-US"/>
        </w:rPr>
        <w:t>道德风险</w:t>
      </w:r>
      <w:r>
        <w:rPr>
          <w:rFonts w:hint="eastAsia"/>
          <w:sz w:val="24"/>
          <w:szCs w:val="24"/>
          <w:lang w:val="en-US" w:eastAsia="zh-CN"/>
        </w:rPr>
        <w:t>的工作疏离和攻击行为,是一个具有重要学术价值的课题</w:t>
      </w:r>
      <w:r>
        <w:rPr>
          <w:rFonts w:hint="eastAsia" w:ascii="Times New Roman" w:hAnsi="Times New Roman" w:cs="Times New Roman"/>
          <w:sz w:val="24"/>
          <w:szCs w:val="24"/>
          <w:lang w:val="en-US" w:eastAsia="zh-CN"/>
        </w:rPr>
        <w:t>。本文的局限性在于在</w:t>
      </w:r>
      <w:r>
        <w:rPr>
          <w:rFonts w:hint="default" w:ascii="Times New Roman" w:hAnsi="Times New Roman" w:cs="Times New Roman"/>
          <w:sz w:val="24"/>
          <w:szCs w:val="24"/>
          <w:lang w:val="en-US" w:eastAsia="zh-CN"/>
        </w:rPr>
        <w:t>媒介报刊发行组织领域的</w:t>
      </w:r>
      <w:r>
        <w:rPr>
          <w:rFonts w:hint="eastAsia" w:ascii="Times New Roman" w:hAnsi="Times New Roman" w:cs="Times New Roman"/>
          <w:sz w:val="24"/>
          <w:szCs w:val="24"/>
          <w:lang w:val="en-US" w:eastAsia="zh-CN"/>
        </w:rPr>
        <w:t>特定情景中仅仅选择了</w:t>
      </w:r>
      <w:r>
        <w:rPr>
          <w:rFonts w:hint="eastAsia"/>
          <w:sz w:val="24"/>
          <w:szCs w:val="24"/>
          <w:lang w:val="en-US" w:eastAsia="zh-CN"/>
        </w:rPr>
        <w:t>外包组织制度差异性的角度,未来还可以从行业性质,区域差异,所有制类型</w:t>
      </w:r>
      <w:r>
        <w:rPr>
          <w:rFonts w:hint="default"/>
          <w:sz w:val="24"/>
          <w:szCs w:val="24"/>
          <w:lang w:val="en-US" w:eastAsia="zh-CN"/>
        </w:rPr>
        <w:t>，组织资历和组织文化</w:t>
      </w:r>
      <w:r>
        <w:rPr>
          <w:rFonts w:hint="eastAsia"/>
          <w:sz w:val="24"/>
          <w:szCs w:val="24"/>
          <w:lang w:val="en-US" w:eastAsia="zh-CN"/>
        </w:rPr>
        <w:t>等多个视角加以综合性比较研究,以期更加深刻地揭示企业</w:t>
      </w:r>
      <w:r>
        <w:rPr>
          <w:rFonts w:hint="default"/>
          <w:sz w:val="24"/>
          <w:szCs w:val="24"/>
          <w:lang w:val="en-US" w:eastAsia="zh-CN"/>
        </w:rPr>
        <w:t>道德领导</w:t>
      </w:r>
      <w:r>
        <w:rPr>
          <w:rFonts w:hint="eastAsia"/>
          <w:sz w:val="24"/>
          <w:szCs w:val="24"/>
          <w:lang w:val="en-US" w:eastAsia="zh-CN"/>
        </w:rPr>
        <w:t>以及对组织</w:t>
      </w:r>
      <w:r>
        <w:rPr>
          <w:sz w:val="24"/>
          <w:szCs w:val="24"/>
          <w:lang w:val="en-US"/>
        </w:rPr>
        <w:t>道德风险</w:t>
      </w:r>
      <w:r>
        <w:rPr>
          <w:rFonts w:hint="eastAsia"/>
          <w:sz w:val="24"/>
          <w:szCs w:val="24"/>
          <w:lang w:val="en-US" w:eastAsia="zh-CN"/>
        </w:rPr>
        <w:t>的影响</w:t>
      </w:r>
      <w:r>
        <w:rPr>
          <w:rFonts w:hint="eastAsia" w:ascii="Times New Roman" w:hAnsi="Times New Roman" w:cs="Times New Roman"/>
          <w:sz w:val="24"/>
          <w:szCs w:val="24"/>
          <w:lang w:val="en-US" w:eastAsia="zh-CN"/>
        </w:rPr>
        <w:t>。</w:t>
      </w:r>
    </w:p>
    <w:p>
      <w:pPr>
        <w:rPr>
          <w:rFonts w:hint="eastAsia"/>
          <w:sz w:val="24"/>
          <w:szCs w:val="24"/>
          <w:lang w:val="en-US" w:eastAsia="zh-CN"/>
        </w:rPr>
      </w:pPr>
      <w:r>
        <w:rPr>
          <w:rFonts w:hint="default"/>
          <w:sz w:val="24"/>
          <w:szCs w:val="24"/>
          <w:lang w:val="en-US" w:eastAsia="zh-CN"/>
        </w:rPr>
        <w:t>参考文献</w:t>
      </w:r>
    </w:p>
    <w:p>
      <w:pPr>
        <w:rPr>
          <w:sz w:val="24"/>
          <w:szCs w:val="24"/>
        </w:rPr>
      </w:pPr>
      <w:r>
        <w:rPr>
          <w:rFonts w:hint="default"/>
          <w:sz w:val="24"/>
          <w:szCs w:val="24"/>
          <w:lang w:val="en-US" w:eastAsia="zh-CN"/>
        </w:rPr>
        <w:t>1.孙利平.企业组织德行领导的内容结构及其相关研究。暨南大学博土论文，2008。</w:t>
      </w:r>
    </w:p>
    <w:p>
      <w:pPr>
        <w:rPr>
          <w:sz w:val="24"/>
          <w:szCs w:val="24"/>
        </w:rPr>
      </w:pPr>
      <w:r>
        <w:rPr>
          <w:rFonts w:hint="default"/>
          <w:sz w:val="24"/>
          <w:szCs w:val="24"/>
          <w:lang w:val="en-US" w:eastAsia="zh-CN"/>
        </w:rPr>
        <w:t>2.聂光辉.工作场所欺负内容结构及其相关研究。河南大学硕士论文，2009。</w:t>
      </w:r>
    </w:p>
    <w:p>
      <w:pPr>
        <w:rPr>
          <w:sz w:val="24"/>
          <w:szCs w:val="24"/>
        </w:rPr>
      </w:pPr>
      <w:r>
        <w:rPr>
          <w:rFonts w:hint="default"/>
          <w:sz w:val="24"/>
          <w:szCs w:val="24"/>
          <w:lang w:val="en-US" w:eastAsia="zh-CN"/>
        </w:rPr>
        <w:t>3.姚艳红、李源.工作压力下员工偏离行为问卷的初步编制。中国临床心理学。2011.6。</w:t>
      </w:r>
    </w:p>
    <w:p>
      <w:pPr>
        <w:rPr>
          <w:sz w:val="24"/>
          <w:szCs w:val="24"/>
        </w:rPr>
      </w:pPr>
      <w:r>
        <w:rPr>
          <w:rFonts w:hint="default"/>
          <w:sz w:val="24"/>
          <w:szCs w:val="24"/>
          <w:lang w:val="en-US" w:eastAsia="zh-CN"/>
        </w:rPr>
        <w:t>4.孙婷.反生产行为及其影响因素研究。浙江大学硕士论文，2008。</w:t>
      </w:r>
    </w:p>
    <w:p>
      <w:pPr>
        <w:rPr>
          <w:sz w:val="24"/>
          <w:szCs w:val="24"/>
        </w:rPr>
      </w:pPr>
      <w:r>
        <w:rPr>
          <w:rFonts w:hint="default"/>
          <w:sz w:val="24"/>
          <w:szCs w:val="24"/>
          <w:lang w:val="en-US" w:eastAsia="zh-CN"/>
        </w:rPr>
        <w:t>5.肖友琴、程刚.企业员工反生产行为结构的实证研究。贵州师范学院学报，2012.5。</w:t>
      </w:r>
    </w:p>
    <w:p>
      <w:pPr>
        <w:rPr>
          <w:sz w:val="24"/>
          <w:szCs w:val="24"/>
        </w:rPr>
      </w:pPr>
      <w:r>
        <w:rPr>
          <w:rFonts w:hint="default"/>
          <w:sz w:val="24"/>
          <w:szCs w:val="24"/>
          <w:lang w:val="en-US" w:eastAsia="zh-CN"/>
        </w:rPr>
        <w:t>6.邹渝.厘清伦理与道德的关系。道德与文明，2004.05。</w:t>
      </w:r>
    </w:p>
    <w:p>
      <w:pPr>
        <w:rPr>
          <w:rFonts w:hint="eastAsia"/>
          <w:sz w:val="24"/>
          <w:szCs w:val="24"/>
          <w:lang w:val="en-US" w:eastAsia="zh-CN"/>
        </w:rPr>
      </w:pPr>
      <w:r>
        <w:rPr>
          <w:rFonts w:hint="default"/>
          <w:sz w:val="24"/>
          <w:szCs w:val="24"/>
          <w:lang w:val="en-US" w:eastAsia="zh-CN"/>
        </w:rPr>
        <w:t>7.张永军.伦理型领导对员工反生产行为的影响-基于社会学习与社会交换双重视角。商业经济与管理，2012.12。</w:t>
      </w:r>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00007A87" w:usb1="80000000" w:usb2="00000008" w:usb3="00000000" w:csb0="400001FF" w:csb1="FFFF0000"/>
  </w:font>
  <w:font w:name="宋体">
    <w:panose1 w:val="02010600030101010101"/>
    <w:charset w:val="7A"/>
    <w:family w:val="auto"/>
    <w:pitch w:val="default"/>
    <w:sig w:usb0="00000003" w:usb1="080E0000" w:usb2="00000000"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T Extra">
    <w:panose1 w:val="05050102010205020202"/>
    <w:charset w:val="00"/>
    <w:family w:val="auto"/>
    <w:pitch w:val="default"/>
    <w:sig w:usb0="80000000" w:usb1="00000000" w:usb2="00000000" w:usb3="00000000" w:csb0="00000000" w:csb1="0000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XW5&#10;UtAAAAAFAQAADwAAAAAAAAABACAAAAAiAAAAZHJzL2Rvd25yZXYueG1sUEsBAhQAFAAAAAgAh07i&#10;QAR+Hmm4AQAAUAMAAA4AAAAAAAAAAQAgAAAAHw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lang w:val="en-US"/>
      </w:rPr>
      <w:t>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320A1"/>
    <w:rsid w:val="425320A1"/>
    <w:rsid w:val="4EA71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2019-06-13T02:18:00Z</dcterms:created>
  <dc:creator>Freespace@bluedream</dc:creator>
  <cp:lastModifiedBy>Freespace@bluedream</cp:lastModifiedBy>
  <dcterms:modified xsi:type="dcterms:W3CDTF">2019-06-13T02:35:47Z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