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7A1" w:rsidRDefault="003017A1" w:rsidP="00ED50D1">
      <w:pPr>
        <w:pBdr>
          <w:top w:val="none" w:sz="0" w:space="0" w:color="auto"/>
          <w:left w:val="none" w:sz="0" w:space="0" w:color="auto"/>
          <w:bottom w:val="none" w:sz="0" w:space="0" w:color="auto"/>
          <w:right w:val="none" w:sz="0" w:space="0" w:color="auto"/>
          <w:between w:val="none" w:sz="0" w:space="0" w:color="auto"/>
        </w:pBdr>
        <w:jc w:val="center"/>
        <w:rPr>
          <w:rFonts w:ascii="宋体" w:hAnsi="宋体"/>
          <w:sz w:val="36"/>
          <w:szCs w:val="36"/>
        </w:rPr>
      </w:pPr>
      <w:r>
        <w:rPr>
          <w:rFonts w:ascii="宋体" w:hAnsi="宋体" w:hint="eastAsia"/>
          <w:sz w:val="36"/>
          <w:szCs w:val="36"/>
        </w:rPr>
        <w:t>公允价值准则应用的计量难题</w:t>
      </w:r>
    </w:p>
    <w:p w:rsidR="003017A1" w:rsidRDefault="003017A1" w:rsidP="00ED50D1">
      <w:pPr>
        <w:pBdr>
          <w:top w:val="none" w:sz="0" w:space="0" w:color="auto"/>
          <w:left w:val="none" w:sz="0" w:space="0" w:color="auto"/>
          <w:bottom w:val="none" w:sz="0" w:space="0" w:color="auto"/>
          <w:right w:val="none" w:sz="0" w:space="0" w:color="auto"/>
          <w:between w:val="none" w:sz="0" w:space="0" w:color="auto"/>
        </w:pBdr>
        <w:jc w:val="center"/>
        <w:rPr>
          <w:rFonts w:ascii="宋体" w:hAnsi="宋体"/>
          <w:szCs w:val="21"/>
        </w:rPr>
      </w:pPr>
      <w:r>
        <w:rPr>
          <w:rFonts w:ascii="宋体" w:hAnsi="宋体" w:hint="eastAsia"/>
          <w:szCs w:val="21"/>
        </w:rPr>
        <w:t xml:space="preserve">                       </w:t>
      </w:r>
    </w:p>
    <w:p w:rsidR="00C9636A" w:rsidRPr="003017A1" w:rsidRDefault="003017A1" w:rsidP="00ED50D1">
      <w:pPr>
        <w:pBdr>
          <w:top w:val="none" w:sz="0" w:space="0" w:color="auto"/>
          <w:left w:val="none" w:sz="0" w:space="0" w:color="auto"/>
          <w:bottom w:val="none" w:sz="0" w:space="0" w:color="auto"/>
          <w:right w:val="none" w:sz="0" w:space="0" w:color="auto"/>
          <w:between w:val="none" w:sz="0" w:space="0" w:color="auto"/>
        </w:pBdr>
        <w:jc w:val="center"/>
        <w:rPr>
          <w:rFonts w:ascii="宋体"/>
          <w:szCs w:val="21"/>
        </w:rPr>
      </w:pPr>
      <w:r>
        <w:rPr>
          <w:rFonts w:ascii="宋体" w:hAnsi="宋体" w:hint="eastAsia"/>
          <w:szCs w:val="21"/>
        </w:rPr>
        <w:t xml:space="preserve">                           --</w:t>
      </w:r>
      <w:r w:rsidRPr="003017A1">
        <w:rPr>
          <w:rFonts w:ascii="宋体" w:hAnsi="宋体" w:hint="eastAsia"/>
          <w:szCs w:val="21"/>
        </w:rPr>
        <w:t>---</w:t>
      </w:r>
      <w:r w:rsidR="00C9636A" w:rsidRPr="003017A1">
        <w:rPr>
          <w:rFonts w:ascii="宋体" w:hAnsi="宋体" w:hint="eastAsia"/>
          <w:szCs w:val="21"/>
        </w:rPr>
        <w:t>定义公允价值计量单元的理论意义和现实选择</w:t>
      </w:r>
    </w:p>
    <w:p w:rsidR="00352C46" w:rsidRPr="00352C46" w:rsidRDefault="00352C46" w:rsidP="003313BC">
      <w:pPr>
        <w:pBdr>
          <w:top w:val="none" w:sz="0" w:space="0" w:color="auto"/>
          <w:left w:val="none" w:sz="0" w:space="0" w:color="auto"/>
          <w:bottom w:val="none" w:sz="0" w:space="0" w:color="auto"/>
          <w:right w:val="none" w:sz="0" w:space="0" w:color="auto"/>
          <w:between w:val="none" w:sz="0" w:space="0" w:color="auto"/>
        </w:pBdr>
        <w:rPr>
          <w:rFonts w:ascii="宋体"/>
          <w:sz w:val="18"/>
          <w:szCs w:val="18"/>
        </w:rPr>
      </w:pPr>
    </w:p>
    <w:p w:rsidR="00C9636A" w:rsidRDefault="00C9636A" w:rsidP="000553B3">
      <w:pPr>
        <w:pBdr>
          <w:top w:val="none" w:sz="0" w:space="0" w:color="auto"/>
          <w:left w:val="none" w:sz="0" w:space="0" w:color="auto"/>
          <w:bottom w:val="none" w:sz="0" w:space="0" w:color="auto"/>
          <w:right w:val="none" w:sz="0" w:space="0" w:color="auto"/>
          <w:between w:val="none" w:sz="0" w:space="0" w:color="auto"/>
        </w:pBdr>
        <w:spacing w:line="264" w:lineRule="auto"/>
        <w:ind w:firstLineChars="200" w:firstLine="422"/>
        <w:rPr>
          <w:rFonts w:hAnsi="宋体"/>
          <w:bCs/>
          <w:kern w:val="0"/>
          <w:szCs w:val="21"/>
        </w:rPr>
      </w:pPr>
      <w:r>
        <w:rPr>
          <w:rFonts w:ascii="楷体_GB2312" w:eastAsia="楷体_GB2312" w:hAnsi="宋体" w:hint="eastAsia"/>
          <w:b/>
          <w:bCs/>
          <w:kern w:val="0"/>
          <w:szCs w:val="21"/>
        </w:rPr>
        <w:t>摘要</w:t>
      </w:r>
      <w:r>
        <w:rPr>
          <w:rFonts w:hAnsi="宋体" w:hint="eastAsia"/>
          <w:b/>
          <w:bCs/>
          <w:kern w:val="0"/>
          <w:szCs w:val="21"/>
        </w:rPr>
        <w:t>：</w:t>
      </w:r>
      <w:r>
        <w:rPr>
          <w:rFonts w:hAnsi="宋体" w:hint="eastAsia"/>
          <w:bCs/>
          <w:kern w:val="0"/>
          <w:szCs w:val="21"/>
        </w:rPr>
        <w:t>本文在公允价值定义为“脱手价”、商品交易中公允价值</w:t>
      </w:r>
      <w:r w:rsidR="003017A1">
        <w:rPr>
          <w:rFonts w:hAnsi="宋体" w:hint="eastAsia"/>
          <w:bCs/>
          <w:kern w:val="0"/>
          <w:szCs w:val="21"/>
        </w:rPr>
        <w:t>价格与增值税</w:t>
      </w:r>
      <w:r>
        <w:rPr>
          <w:rFonts w:hAnsi="宋体" w:hint="eastAsia"/>
          <w:bCs/>
          <w:kern w:val="0"/>
          <w:szCs w:val="21"/>
        </w:rPr>
        <w:t>合并结算、而会计实务中资产入账的公允价值又剔除增值税的前提下，提出并定义了公允价值经济计量</w:t>
      </w:r>
      <w:r w:rsidR="00747BA7">
        <w:rPr>
          <w:rFonts w:hAnsi="宋体" w:hint="eastAsia"/>
          <w:bCs/>
          <w:kern w:val="0"/>
          <w:szCs w:val="21"/>
        </w:rPr>
        <w:t>单元、公允价值会计计量单元两个概念，并对</w:t>
      </w:r>
      <w:r w:rsidR="003017A1">
        <w:rPr>
          <w:rFonts w:hAnsi="宋体" w:hint="eastAsia"/>
          <w:bCs/>
          <w:kern w:val="0"/>
          <w:szCs w:val="21"/>
        </w:rPr>
        <w:t>两个单元定义中涉及的相关概念</w:t>
      </w:r>
      <w:r w:rsidR="00747BA7">
        <w:rPr>
          <w:rFonts w:hAnsi="宋体" w:hint="eastAsia"/>
          <w:bCs/>
          <w:kern w:val="0"/>
          <w:szCs w:val="21"/>
        </w:rPr>
        <w:t>渊源进行</w:t>
      </w:r>
      <w:r w:rsidR="000553B3">
        <w:rPr>
          <w:rFonts w:hAnsi="宋体" w:hint="eastAsia"/>
          <w:bCs/>
          <w:kern w:val="0"/>
          <w:szCs w:val="21"/>
        </w:rPr>
        <w:t>追溯，</w:t>
      </w:r>
      <w:r w:rsidR="003017A1">
        <w:rPr>
          <w:rFonts w:hAnsi="宋体" w:hint="eastAsia"/>
          <w:bCs/>
          <w:kern w:val="0"/>
          <w:szCs w:val="21"/>
        </w:rPr>
        <w:t>以期探究计量属性的理论支撑，另外，还</w:t>
      </w:r>
      <w:r w:rsidR="000553B3">
        <w:rPr>
          <w:rFonts w:hAnsi="宋体" w:hint="eastAsia"/>
          <w:bCs/>
          <w:kern w:val="0"/>
          <w:szCs w:val="21"/>
        </w:rPr>
        <w:t>探讨了</w:t>
      </w:r>
      <w:r>
        <w:rPr>
          <w:rFonts w:hAnsi="宋体" w:hint="eastAsia"/>
          <w:bCs/>
          <w:kern w:val="0"/>
          <w:szCs w:val="21"/>
        </w:rPr>
        <w:t>问题产生的准则根源以及为解决</w:t>
      </w:r>
      <w:r w:rsidR="003017A1">
        <w:rPr>
          <w:rFonts w:hAnsi="宋体" w:hint="eastAsia"/>
          <w:bCs/>
          <w:kern w:val="0"/>
          <w:szCs w:val="21"/>
        </w:rPr>
        <w:t>会计</w:t>
      </w:r>
      <w:r>
        <w:rPr>
          <w:rFonts w:hAnsi="宋体" w:hint="eastAsia"/>
          <w:bCs/>
          <w:kern w:val="0"/>
          <w:szCs w:val="21"/>
        </w:rPr>
        <w:t>实务处理，现实无奈的选择。</w:t>
      </w:r>
    </w:p>
    <w:p w:rsidR="00C9636A" w:rsidRDefault="00C9636A" w:rsidP="000553B3">
      <w:pPr>
        <w:pBdr>
          <w:top w:val="none" w:sz="0" w:space="0" w:color="auto"/>
          <w:left w:val="none" w:sz="0" w:space="0" w:color="auto"/>
          <w:bottom w:val="none" w:sz="0" w:space="0" w:color="auto"/>
          <w:right w:val="none" w:sz="0" w:space="0" w:color="auto"/>
          <w:between w:val="none" w:sz="0" w:space="0" w:color="auto"/>
        </w:pBdr>
        <w:spacing w:line="264" w:lineRule="auto"/>
        <w:ind w:firstLineChars="200" w:firstLine="420"/>
        <w:rPr>
          <w:kern w:val="0"/>
          <w:szCs w:val="21"/>
          <w:highlight w:val="white"/>
        </w:rPr>
      </w:pPr>
      <w:r>
        <w:rPr>
          <w:rFonts w:hAnsi="宋体" w:hint="eastAsia"/>
          <w:bCs/>
          <w:kern w:val="0"/>
          <w:szCs w:val="21"/>
        </w:rPr>
        <w:t>本文的</w:t>
      </w:r>
      <w:r>
        <w:rPr>
          <w:rFonts w:hint="eastAsia"/>
          <w:kern w:val="0"/>
          <w:szCs w:val="21"/>
          <w:highlight w:val="white"/>
        </w:rPr>
        <w:t>研究意义，一方面对公允价值准则</w:t>
      </w:r>
      <w:r w:rsidR="00747BA7">
        <w:rPr>
          <w:rFonts w:hint="eastAsia"/>
          <w:kern w:val="0"/>
          <w:szCs w:val="21"/>
          <w:highlight w:val="white"/>
        </w:rPr>
        <w:t>在我国</w:t>
      </w:r>
      <w:r w:rsidR="003017A1">
        <w:rPr>
          <w:rFonts w:hint="eastAsia"/>
          <w:kern w:val="0"/>
          <w:szCs w:val="21"/>
          <w:highlight w:val="white"/>
        </w:rPr>
        <w:t>的实施，提出了具体的</w:t>
      </w:r>
      <w:r>
        <w:rPr>
          <w:rFonts w:hint="eastAsia"/>
          <w:kern w:val="0"/>
          <w:szCs w:val="21"/>
          <w:highlight w:val="white"/>
        </w:rPr>
        <w:t>解释，即区分公允</w:t>
      </w:r>
      <w:r w:rsidR="00747BA7">
        <w:rPr>
          <w:rFonts w:hint="eastAsia"/>
          <w:kern w:val="0"/>
          <w:szCs w:val="21"/>
          <w:highlight w:val="white"/>
        </w:rPr>
        <w:t>价值不同的计量单元；另一方面，指出研究问题必须从实际出发，从</w:t>
      </w:r>
      <w:r w:rsidR="003017A1">
        <w:rPr>
          <w:rFonts w:hint="eastAsia"/>
          <w:kern w:val="0"/>
          <w:szCs w:val="21"/>
          <w:highlight w:val="white"/>
        </w:rPr>
        <w:t>我国</w:t>
      </w:r>
      <w:r>
        <w:rPr>
          <w:rFonts w:hint="eastAsia"/>
          <w:kern w:val="0"/>
          <w:szCs w:val="21"/>
          <w:highlight w:val="white"/>
        </w:rPr>
        <w:t>国情出发；</w:t>
      </w:r>
      <w:r w:rsidR="003017A1">
        <w:rPr>
          <w:rFonts w:hint="eastAsia"/>
          <w:kern w:val="0"/>
          <w:szCs w:val="21"/>
          <w:highlight w:val="white"/>
        </w:rPr>
        <w:t>相关影响：</w:t>
      </w:r>
      <w:r>
        <w:rPr>
          <w:rFonts w:hint="eastAsia"/>
          <w:kern w:val="0"/>
          <w:szCs w:val="21"/>
          <w:highlight w:val="white"/>
        </w:rPr>
        <w:t>会计上，由于增值税不计入资产价值、不计入收入总额，</w:t>
      </w:r>
      <w:r w:rsidR="003017A1">
        <w:rPr>
          <w:rFonts w:hint="eastAsia"/>
          <w:kern w:val="0"/>
          <w:szCs w:val="21"/>
          <w:highlight w:val="white"/>
        </w:rPr>
        <w:t>没有进入利润表，</w:t>
      </w:r>
      <w:r>
        <w:rPr>
          <w:rFonts w:hint="eastAsia"/>
          <w:kern w:val="0"/>
          <w:szCs w:val="21"/>
          <w:highlight w:val="white"/>
        </w:rPr>
        <w:t>因而有观点认为</w:t>
      </w:r>
      <w:r w:rsidR="00747BA7">
        <w:rPr>
          <w:rFonts w:hint="eastAsia"/>
          <w:kern w:val="0"/>
          <w:szCs w:val="21"/>
          <w:highlight w:val="white"/>
        </w:rPr>
        <w:t>，</w:t>
      </w:r>
      <w:r w:rsidR="003017A1">
        <w:rPr>
          <w:rFonts w:hint="eastAsia"/>
          <w:kern w:val="0"/>
          <w:szCs w:val="21"/>
          <w:highlight w:val="white"/>
        </w:rPr>
        <w:t>增值税不影响税负，可以全面转嫁。</w:t>
      </w:r>
      <w:r>
        <w:rPr>
          <w:rFonts w:hint="eastAsia"/>
          <w:kern w:val="0"/>
          <w:szCs w:val="21"/>
          <w:highlight w:val="white"/>
        </w:rPr>
        <w:t>这些观点，在</w:t>
      </w:r>
      <w:r w:rsidR="00747BA7">
        <w:rPr>
          <w:rFonts w:hint="eastAsia"/>
          <w:kern w:val="0"/>
          <w:szCs w:val="21"/>
          <w:highlight w:val="white"/>
        </w:rPr>
        <w:t>“营改增”</w:t>
      </w:r>
      <w:r>
        <w:rPr>
          <w:rFonts w:hint="eastAsia"/>
          <w:kern w:val="0"/>
          <w:szCs w:val="21"/>
          <w:highlight w:val="white"/>
        </w:rPr>
        <w:t>的</w:t>
      </w:r>
      <w:r w:rsidR="003017A1">
        <w:rPr>
          <w:rFonts w:hint="eastAsia"/>
          <w:kern w:val="0"/>
          <w:szCs w:val="21"/>
          <w:highlight w:val="white"/>
        </w:rPr>
        <w:t>税制</w:t>
      </w:r>
      <w:r>
        <w:rPr>
          <w:rFonts w:hint="eastAsia"/>
          <w:kern w:val="0"/>
          <w:szCs w:val="21"/>
          <w:highlight w:val="white"/>
        </w:rPr>
        <w:t>背景下，都有进一步的研究价值和值得商榷的空间。</w:t>
      </w:r>
    </w:p>
    <w:p w:rsidR="00C9636A" w:rsidRDefault="00C9636A" w:rsidP="00F455D2">
      <w:pPr>
        <w:pBdr>
          <w:top w:val="none" w:sz="0" w:space="0" w:color="auto"/>
          <w:left w:val="none" w:sz="0" w:space="0" w:color="auto"/>
          <w:bottom w:val="none" w:sz="0" w:space="0" w:color="auto"/>
          <w:right w:val="none" w:sz="0" w:space="0" w:color="auto"/>
          <w:between w:val="none" w:sz="0" w:space="0" w:color="auto"/>
        </w:pBdr>
        <w:spacing w:line="264" w:lineRule="auto"/>
        <w:ind w:firstLineChars="196" w:firstLine="413"/>
        <w:rPr>
          <w:rFonts w:ascii="楷体_GB2312" w:eastAsia="楷体_GB2312" w:hAnsi="宋体" w:cs="宋体"/>
          <w:kern w:val="0"/>
          <w:szCs w:val="21"/>
        </w:rPr>
      </w:pPr>
      <w:r>
        <w:rPr>
          <w:rFonts w:ascii="楷体_GB2312" w:eastAsia="楷体_GB2312" w:hAnsi="宋体" w:cs="宋体" w:hint="eastAsia"/>
          <w:b/>
          <w:kern w:val="0"/>
          <w:szCs w:val="21"/>
        </w:rPr>
        <w:t>关键词：</w:t>
      </w:r>
      <w:r>
        <w:rPr>
          <w:rFonts w:ascii="楷体_GB2312" w:eastAsia="楷体_GB2312" w:hAnsi="宋体" w:cs="宋体" w:hint="eastAsia"/>
          <w:kern w:val="0"/>
          <w:szCs w:val="21"/>
        </w:rPr>
        <w:t>会计学科属性</w:t>
      </w:r>
      <w:r w:rsidR="002F5E3A">
        <w:rPr>
          <w:rFonts w:ascii="楷体_GB2312" w:eastAsia="楷体_GB2312" w:hAnsi="宋体" w:cs="宋体" w:hint="eastAsia"/>
          <w:kern w:val="0"/>
          <w:szCs w:val="21"/>
        </w:rPr>
        <w:t xml:space="preserve"> </w:t>
      </w:r>
      <w:r>
        <w:rPr>
          <w:rFonts w:ascii="楷体_GB2312" w:eastAsia="楷体_GB2312" w:hAnsi="宋体" w:cs="宋体" w:hint="eastAsia"/>
          <w:kern w:val="0"/>
          <w:szCs w:val="21"/>
        </w:rPr>
        <w:t>公允价值经济计量单元</w:t>
      </w:r>
      <w:r w:rsidR="002F5E3A">
        <w:rPr>
          <w:rFonts w:ascii="楷体_GB2312" w:eastAsia="楷体_GB2312" w:hAnsi="宋体" w:cs="宋体" w:hint="eastAsia"/>
          <w:kern w:val="0"/>
          <w:szCs w:val="21"/>
        </w:rPr>
        <w:t xml:space="preserve"> </w:t>
      </w:r>
      <w:r>
        <w:rPr>
          <w:rFonts w:ascii="楷体_GB2312" w:eastAsia="楷体_GB2312" w:hAnsi="宋体" w:cs="宋体" w:hint="eastAsia"/>
          <w:kern w:val="0"/>
          <w:szCs w:val="21"/>
        </w:rPr>
        <w:t>公允价值会计计量单元</w:t>
      </w:r>
    </w:p>
    <w:p w:rsidR="005A13B0" w:rsidRDefault="00C9636A" w:rsidP="00F455D2">
      <w:pPr>
        <w:pBdr>
          <w:top w:val="none" w:sz="0" w:space="0" w:color="auto"/>
          <w:left w:val="none" w:sz="0" w:space="0" w:color="auto"/>
          <w:bottom w:val="none" w:sz="0" w:space="0" w:color="auto"/>
          <w:right w:val="none" w:sz="0" w:space="0" w:color="auto"/>
          <w:between w:val="none" w:sz="0" w:space="0" w:color="auto"/>
        </w:pBdr>
        <w:spacing w:line="264" w:lineRule="auto"/>
        <w:ind w:firstLineChars="196" w:firstLine="413"/>
        <w:rPr>
          <w:rFonts w:ascii="楷体_GB2312" w:eastAsia="楷体_GB2312" w:hAnsi="宋体" w:cs="宋体"/>
          <w:b/>
          <w:kern w:val="0"/>
          <w:szCs w:val="21"/>
        </w:rPr>
      </w:pPr>
      <w:r>
        <w:rPr>
          <w:rFonts w:ascii="楷体_GB2312" w:eastAsia="楷体_GB2312" w:hAnsi="宋体" w:cs="宋体" w:hint="eastAsia"/>
          <w:b/>
          <w:kern w:val="0"/>
          <w:szCs w:val="21"/>
        </w:rPr>
        <w:t>中图分类号：</w:t>
      </w:r>
      <w:r>
        <w:rPr>
          <w:rFonts w:ascii="楷体_GB2312" w:eastAsia="楷体_GB2312" w:hAnsi="宋体" w:cs="宋体"/>
          <w:kern w:val="0"/>
          <w:szCs w:val="21"/>
        </w:rPr>
        <w:t xml:space="preserve">F230  </w:t>
      </w:r>
      <w:r>
        <w:rPr>
          <w:rFonts w:ascii="楷体_GB2312" w:eastAsia="楷体_GB2312" w:hAnsi="宋体" w:cs="宋体" w:hint="eastAsia"/>
          <w:b/>
          <w:kern w:val="0"/>
          <w:szCs w:val="21"/>
        </w:rPr>
        <w:t>文献标识码：</w:t>
      </w:r>
      <w:r>
        <w:rPr>
          <w:rFonts w:ascii="楷体_GB2312" w:eastAsia="楷体_GB2312" w:hAnsi="宋体" w:cs="宋体"/>
          <w:kern w:val="0"/>
          <w:szCs w:val="21"/>
        </w:rPr>
        <w:t xml:space="preserve">A  </w:t>
      </w:r>
      <w:r>
        <w:rPr>
          <w:rFonts w:ascii="楷体_GB2312" w:eastAsia="楷体_GB2312" w:hAnsi="宋体" w:cs="宋体" w:hint="eastAsia"/>
          <w:b/>
          <w:kern w:val="0"/>
          <w:szCs w:val="21"/>
        </w:rPr>
        <w:t>文章编号：</w:t>
      </w:r>
    </w:p>
    <w:p w:rsidR="005A13B0" w:rsidRDefault="005A13B0" w:rsidP="005A13B0">
      <w:pPr>
        <w:pBdr>
          <w:top w:val="none" w:sz="0" w:space="0" w:color="auto"/>
          <w:left w:val="none" w:sz="0" w:space="0" w:color="auto"/>
          <w:bottom w:val="none" w:sz="0" w:space="0" w:color="auto"/>
          <w:right w:val="none" w:sz="0" w:space="0" w:color="auto"/>
          <w:between w:val="none" w:sz="0" w:space="0" w:color="auto"/>
        </w:pBdr>
        <w:spacing w:line="264" w:lineRule="auto"/>
        <w:ind w:firstLineChars="196" w:firstLine="412"/>
        <w:rPr>
          <w:rFonts w:ascii="宋体" w:hAnsi="宋体"/>
          <w:bCs/>
          <w:szCs w:val="21"/>
        </w:rPr>
      </w:pPr>
    </w:p>
    <w:p w:rsidR="00C9636A" w:rsidRPr="009305F2" w:rsidRDefault="005A13B0" w:rsidP="00080C25">
      <w:pPr>
        <w:pBdr>
          <w:top w:val="none" w:sz="0" w:space="0" w:color="auto"/>
          <w:left w:val="none" w:sz="0" w:space="0" w:color="auto"/>
          <w:bottom w:val="none" w:sz="0" w:space="0" w:color="auto"/>
          <w:right w:val="none" w:sz="0" w:space="0" w:color="auto"/>
          <w:between w:val="none" w:sz="0" w:space="0" w:color="auto"/>
        </w:pBdr>
        <w:ind w:firstLineChars="196" w:firstLine="412"/>
        <w:rPr>
          <w:rFonts w:asciiTheme="minorEastAsia" w:eastAsiaTheme="minorEastAsia" w:hAnsiTheme="minorEastAsia" w:cs="宋体"/>
          <w:b/>
          <w:kern w:val="0"/>
          <w:szCs w:val="21"/>
        </w:rPr>
      </w:pPr>
      <w:r w:rsidRPr="009305F2">
        <w:rPr>
          <w:rFonts w:asciiTheme="minorEastAsia" w:eastAsiaTheme="minorEastAsia" w:hAnsiTheme="minorEastAsia" w:hint="eastAsia"/>
          <w:bCs/>
          <w:szCs w:val="21"/>
        </w:rPr>
        <w:t>主流观点认为：公允价值的计量不含增值税，定义为“脱手价”，增值税属于税法范畴，与公允价值计量并不相关。但本人经研究认为，尽管公允价值定义为“脱手价”，但现实商品交易和服务中</w:t>
      </w:r>
      <w:r w:rsidR="003017A1">
        <w:rPr>
          <w:rFonts w:asciiTheme="minorEastAsia" w:eastAsiaTheme="minorEastAsia" w:hAnsiTheme="minorEastAsia" w:hint="eastAsia"/>
          <w:bCs/>
          <w:szCs w:val="21"/>
        </w:rPr>
        <w:t>价格和增值税</w:t>
      </w:r>
      <w:r w:rsidRPr="009305F2">
        <w:rPr>
          <w:rFonts w:asciiTheme="minorEastAsia" w:eastAsiaTheme="minorEastAsia" w:hAnsiTheme="minorEastAsia" w:hint="eastAsia"/>
          <w:bCs/>
          <w:szCs w:val="21"/>
        </w:rPr>
        <w:t>合并结算、增值税</w:t>
      </w:r>
      <w:r w:rsidR="003017A1">
        <w:rPr>
          <w:rFonts w:asciiTheme="minorEastAsia" w:eastAsiaTheme="minorEastAsia" w:hAnsiTheme="minorEastAsia" w:hint="eastAsia"/>
          <w:bCs/>
          <w:szCs w:val="21"/>
        </w:rPr>
        <w:t>是</w:t>
      </w:r>
      <w:r w:rsidRPr="009305F2">
        <w:rPr>
          <w:rFonts w:asciiTheme="minorEastAsia" w:eastAsiaTheme="minorEastAsia" w:hAnsiTheme="minorEastAsia" w:hint="eastAsia"/>
          <w:bCs/>
          <w:szCs w:val="21"/>
        </w:rPr>
        <w:t>包含在总结算金额</w:t>
      </w:r>
      <w:r w:rsidR="003017A1">
        <w:rPr>
          <w:rFonts w:asciiTheme="minorEastAsia" w:eastAsiaTheme="minorEastAsia" w:hAnsiTheme="minorEastAsia" w:hint="eastAsia"/>
          <w:bCs/>
          <w:szCs w:val="21"/>
        </w:rPr>
        <w:t>之</w:t>
      </w:r>
      <w:r w:rsidRPr="009305F2">
        <w:rPr>
          <w:rFonts w:asciiTheme="minorEastAsia" w:eastAsiaTheme="minorEastAsia" w:hAnsiTheme="minorEastAsia" w:hint="eastAsia"/>
          <w:bCs/>
          <w:szCs w:val="21"/>
        </w:rPr>
        <w:t>中</w:t>
      </w:r>
      <w:r w:rsidR="003017A1">
        <w:rPr>
          <w:rFonts w:asciiTheme="minorEastAsia" w:eastAsiaTheme="minorEastAsia" w:hAnsiTheme="minorEastAsia" w:hint="eastAsia"/>
          <w:bCs/>
          <w:szCs w:val="21"/>
        </w:rPr>
        <w:t>的</w:t>
      </w:r>
      <w:r w:rsidRPr="009305F2">
        <w:rPr>
          <w:rFonts w:asciiTheme="minorEastAsia" w:eastAsiaTheme="minorEastAsia" w:hAnsiTheme="minorEastAsia" w:hint="eastAsia"/>
          <w:bCs/>
          <w:szCs w:val="21"/>
        </w:rPr>
        <w:t>，</w:t>
      </w:r>
      <w:r w:rsidR="003017A1">
        <w:rPr>
          <w:rFonts w:asciiTheme="minorEastAsia" w:eastAsiaTheme="minorEastAsia" w:hAnsiTheme="minorEastAsia" w:hint="eastAsia"/>
          <w:bCs/>
          <w:szCs w:val="21"/>
        </w:rPr>
        <w:t>它</w:t>
      </w:r>
      <w:r w:rsidRPr="009305F2">
        <w:rPr>
          <w:rFonts w:asciiTheme="minorEastAsia" w:eastAsiaTheme="minorEastAsia" w:hAnsiTheme="minorEastAsia" w:hint="eastAsia"/>
          <w:bCs/>
          <w:szCs w:val="21"/>
        </w:rPr>
        <w:t>是“脱手价”的</w:t>
      </w:r>
      <w:r w:rsidR="003017A1">
        <w:rPr>
          <w:rFonts w:asciiTheme="minorEastAsia" w:eastAsiaTheme="minorEastAsia" w:hAnsiTheme="minorEastAsia" w:hint="eastAsia"/>
          <w:bCs/>
          <w:szCs w:val="21"/>
        </w:rPr>
        <w:t>重要组成</w:t>
      </w:r>
      <w:r w:rsidRPr="009305F2">
        <w:rPr>
          <w:rFonts w:asciiTheme="minorEastAsia" w:eastAsiaTheme="minorEastAsia" w:hAnsiTheme="minorEastAsia" w:hint="eastAsia"/>
          <w:bCs/>
          <w:szCs w:val="21"/>
        </w:rPr>
        <w:t>。并且，会计核算中，资产和收入要素确认，要求价格与增值税分开，而负债、如应付账款则不要求价税分开，在这样的前提下，各具体准则中公允价值计量的统一表述，实务计量中经常出现两种不同的计量结果。为了解决公允价值计量思想的混乱，也为了给实务工作者提供明确的指南，亟需完善现行公允价值准则。</w:t>
      </w:r>
    </w:p>
    <w:p w:rsidR="00986256" w:rsidRPr="009305F2" w:rsidRDefault="007F6E61" w:rsidP="00080C25">
      <w:pPr>
        <w:pStyle w:val="a3"/>
        <w:numPr>
          <w:ilvl w:val="0"/>
          <w:numId w:val="13"/>
        </w:num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b/>
          <w:kern w:val="0"/>
          <w:szCs w:val="21"/>
        </w:rPr>
      </w:pPr>
      <w:r w:rsidRPr="009305F2">
        <w:rPr>
          <w:rFonts w:asciiTheme="minorEastAsia" w:eastAsiaTheme="minorEastAsia" w:hAnsiTheme="minorEastAsia" w:cs="宋体" w:hint="eastAsia"/>
          <w:b/>
          <w:kern w:val="0"/>
          <w:szCs w:val="21"/>
        </w:rPr>
        <w:t>引言</w:t>
      </w:r>
    </w:p>
    <w:p w:rsidR="008E5372" w:rsidRPr="009305F2" w:rsidRDefault="008E5372" w:rsidP="00080C25">
      <w:pPr>
        <w:pBdr>
          <w:top w:val="none" w:sz="0" w:space="0" w:color="auto"/>
          <w:left w:val="none" w:sz="0" w:space="0" w:color="auto"/>
          <w:bottom w:val="none" w:sz="0" w:space="0" w:color="auto"/>
          <w:right w:val="none" w:sz="0" w:space="0" w:color="auto"/>
          <w:between w:val="none" w:sz="0" w:space="0" w:color="auto"/>
        </w:pBdr>
        <w:ind w:firstLineChars="200" w:firstLine="420"/>
        <w:rPr>
          <w:rFonts w:asciiTheme="minorEastAsia" w:eastAsiaTheme="minorEastAsia" w:hAnsiTheme="minorEastAsia" w:cs="仿宋_GB2312"/>
          <w:szCs w:val="21"/>
        </w:rPr>
      </w:pPr>
      <w:r w:rsidRPr="009305F2">
        <w:rPr>
          <w:rFonts w:asciiTheme="minorEastAsia" w:eastAsiaTheme="minorEastAsia" w:hAnsiTheme="minorEastAsia" w:cs="仿宋_GB2312" w:hint="eastAsia"/>
          <w:szCs w:val="21"/>
        </w:rPr>
        <w:t>我国现行会计准则中，统一表述的公允价值，</w:t>
      </w:r>
      <w:r w:rsidR="00FD0D20" w:rsidRPr="009305F2">
        <w:rPr>
          <w:rFonts w:asciiTheme="minorEastAsia" w:eastAsiaTheme="minorEastAsia" w:hAnsiTheme="minorEastAsia" w:cs="仿宋_GB2312" w:hint="eastAsia"/>
          <w:szCs w:val="21"/>
        </w:rPr>
        <w:t>会计</w:t>
      </w:r>
      <w:r w:rsidRPr="009305F2">
        <w:rPr>
          <w:rFonts w:asciiTheme="minorEastAsia" w:eastAsiaTheme="minorEastAsia" w:hAnsiTheme="minorEastAsia" w:cs="仿宋_GB2312" w:hint="eastAsia"/>
          <w:szCs w:val="21"/>
        </w:rPr>
        <w:t>实务中</w:t>
      </w:r>
      <w:r w:rsidR="00FD0D20" w:rsidRPr="009305F2">
        <w:rPr>
          <w:rFonts w:asciiTheme="minorEastAsia" w:eastAsiaTheme="minorEastAsia" w:hAnsiTheme="minorEastAsia" w:cs="仿宋_GB2312" w:hint="eastAsia"/>
          <w:szCs w:val="21"/>
        </w:rPr>
        <w:t>的</w:t>
      </w:r>
      <w:r w:rsidR="008D4E25" w:rsidRPr="009305F2">
        <w:rPr>
          <w:rFonts w:asciiTheme="minorEastAsia" w:eastAsiaTheme="minorEastAsia" w:hAnsiTheme="minorEastAsia" w:cs="仿宋_GB2312" w:hint="eastAsia"/>
          <w:szCs w:val="21"/>
        </w:rPr>
        <w:t>计量金额表现：</w:t>
      </w:r>
      <w:r w:rsidRPr="009305F2">
        <w:rPr>
          <w:rFonts w:asciiTheme="minorEastAsia" w:eastAsiaTheme="minorEastAsia" w:hAnsiTheme="minorEastAsia" w:cs="仿宋_GB2312" w:hint="eastAsia"/>
          <w:szCs w:val="21"/>
        </w:rPr>
        <w:t>有时含有增值税，有时不含</w:t>
      </w:r>
      <w:r w:rsidR="008D4E25" w:rsidRPr="009305F2">
        <w:rPr>
          <w:rFonts w:asciiTheme="minorEastAsia" w:eastAsiaTheme="minorEastAsia" w:hAnsiTheme="minorEastAsia" w:cs="仿宋_GB2312" w:hint="eastAsia"/>
          <w:szCs w:val="21"/>
        </w:rPr>
        <w:t>。</w:t>
      </w:r>
      <w:r w:rsidRPr="009305F2">
        <w:rPr>
          <w:rFonts w:asciiTheme="minorEastAsia" w:eastAsiaTheme="minorEastAsia" w:hAnsiTheme="minorEastAsia" w:cs="仿宋_GB2312" w:hint="eastAsia"/>
          <w:szCs w:val="21"/>
        </w:rPr>
        <w:t>在缺</w:t>
      </w:r>
      <w:r w:rsidR="005A13B0" w:rsidRPr="009305F2">
        <w:rPr>
          <w:rFonts w:asciiTheme="minorEastAsia" w:eastAsiaTheme="minorEastAsia" w:hAnsiTheme="minorEastAsia" w:cs="仿宋_GB2312" w:hint="eastAsia"/>
          <w:szCs w:val="21"/>
        </w:rPr>
        <w:t>少具体指南解释的情况下，容易导致实务工作者的困惑</w:t>
      </w:r>
      <w:r w:rsidRPr="009305F2">
        <w:rPr>
          <w:rFonts w:asciiTheme="minorEastAsia" w:eastAsiaTheme="minorEastAsia" w:hAnsiTheme="minorEastAsia" w:cs="仿宋_GB2312" w:hint="eastAsia"/>
          <w:szCs w:val="21"/>
        </w:rPr>
        <w:t>。</w:t>
      </w:r>
    </w:p>
    <w:p w:rsidR="008E5372" w:rsidRPr="009305F2" w:rsidRDefault="008E5372" w:rsidP="00080C25">
      <w:pPr>
        <w:pBdr>
          <w:top w:val="none" w:sz="0" w:space="0" w:color="auto"/>
          <w:left w:val="none" w:sz="0" w:space="0" w:color="auto"/>
          <w:bottom w:val="none" w:sz="0" w:space="0" w:color="auto"/>
          <w:right w:val="none" w:sz="0" w:space="0" w:color="auto"/>
          <w:between w:val="none" w:sz="0" w:space="0" w:color="auto"/>
        </w:pBdr>
        <w:ind w:firstLineChars="200" w:firstLine="420"/>
        <w:rPr>
          <w:rFonts w:asciiTheme="minorEastAsia" w:eastAsiaTheme="minorEastAsia" w:hAnsiTheme="minorEastAsia"/>
          <w:szCs w:val="21"/>
        </w:rPr>
      </w:pPr>
      <w:r w:rsidRPr="009305F2">
        <w:rPr>
          <w:rFonts w:asciiTheme="minorEastAsia" w:eastAsiaTheme="minorEastAsia" w:hAnsiTheme="minorEastAsia"/>
          <w:szCs w:val="21"/>
        </w:rPr>
        <w:t>1</w:t>
      </w:r>
      <w:r w:rsidRPr="009305F2">
        <w:rPr>
          <w:rFonts w:asciiTheme="minorEastAsia" w:eastAsiaTheme="minorEastAsia" w:hAnsiTheme="minorEastAsia" w:hint="eastAsia"/>
          <w:szCs w:val="21"/>
        </w:rPr>
        <w:t>、债务重组准则中的公允价值表述</w:t>
      </w:r>
    </w:p>
    <w:p w:rsidR="008E5372" w:rsidRPr="009305F2" w:rsidRDefault="008E5372" w:rsidP="00080C25">
      <w:pPr>
        <w:pBdr>
          <w:top w:val="none" w:sz="0" w:space="0" w:color="auto"/>
          <w:left w:val="none" w:sz="0" w:space="0" w:color="auto"/>
          <w:bottom w:val="none" w:sz="0" w:space="0" w:color="auto"/>
          <w:right w:val="none" w:sz="0" w:space="0" w:color="auto"/>
          <w:between w:val="none" w:sz="0" w:space="0" w:color="auto"/>
        </w:pBdr>
        <w:ind w:right="17" w:firstLineChars="200" w:firstLine="420"/>
        <w:rPr>
          <w:rFonts w:asciiTheme="minorEastAsia" w:eastAsiaTheme="minorEastAsia" w:hAnsiTheme="minorEastAsia"/>
          <w:szCs w:val="21"/>
        </w:rPr>
      </w:pPr>
      <w:r w:rsidRPr="009305F2">
        <w:rPr>
          <w:rFonts w:asciiTheme="minorEastAsia" w:eastAsiaTheme="minorEastAsia" w:hAnsiTheme="minorEastAsia" w:hint="eastAsia"/>
          <w:szCs w:val="21"/>
        </w:rPr>
        <w:t>债务重组准则中的债务人：“债务人以非现金资产清偿债务的，债务人应当将重组债务的账面价值与转让的非现金资产</w:t>
      </w:r>
      <w:r w:rsidRPr="009305F2">
        <w:rPr>
          <w:rFonts w:asciiTheme="minorEastAsia" w:eastAsiaTheme="minorEastAsia" w:hAnsiTheme="minorEastAsia" w:hint="eastAsia"/>
          <w:szCs w:val="21"/>
          <w:u w:val="single"/>
        </w:rPr>
        <w:t>公允价值</w:t>
      </w:r>
      <w:r w:rsidRPr="009305F2">
        <w:rPr>
          <w:rFonts w:asciiTheme="minorEastAsia" w:eastAsiaTheme="minorEastAsia" w:hAnsiTheme="minorEastAsia" w:hint="eastAsia"/>
          <w:szCs w:val="21"/>
        </w:rPr>
        <w:t>之间的差额，计入当期损益。转让的非现金资产</w:t>
      </w:r>
      <w:r w:rsidRPr="009305F2">
        <w:rPr>
          <w:rFonts w:asciiTheme="minorEastAsia" w:eastAsiaTheme="minorEastAsia" w:hAnsiTheme="minorEastAsia" w:hint="eastAsia"/>
          <w:szCs w:val="21"/>
          <w:u w:val="single"/>
        </w:rPr>
        <w:t>公允价值</w:t>
      </w:r>
      <w:r w:rsidRPr="009305F2">
        <w:rPr>
          <w:rFonts w:asciiTheme="minorEastAsia" w:eastAsiaTheme="minorEastAsia" w:hAnsiTheme="minorEastAsia" w:hint="eastAsia"/>
          <w:szCs w:val="21"/>
        </w:rPr>
        <w:t>与其账面价值之间的差额，计入当期损益。”</w:t>
      </w:r>
    </w:p>
    <w:p w:rsidR="008E5372" w:rsidRPr="009305F2" w:rsidRDefault="008E5372" w:rsidP="003017A1">
      <w:pPr>
        <w:pBdr>
          <w:top w:val="none" w:sz="0" w:space="0" w:color="auto"/>
          <w:left w:val="none" w:sz="0" w:space="0" w:color="auto"/>
          <w:bottom w:val="none" w:sz="0" w:space="0" w:color="auto"/>
          <w:right w:val="none" w:sz="0" w:space="0" w:color="auto"/>
          <w:between w:val="none" w:sz="0" w:space="0" w:color="auto"/>
        </w:pBdr>
        <w:ind w:firstLineChars="200" w:firstLine="420"/>
        <w:rPr>
          <w:rFonts w:asciiTheme="minorEastAsia" w:eastAsiaTheme="minorEastAsia" w:hAnsiTheme="minorEastAsia" w:cs="Tahoma"/>
          <w:szCs w:val="21"/>
        </w:rPr>
      </w:pPr>
      <w:r w:rsidRPr="009305F2">
        <w:rPr>
          <w:rFonts w:asciiTheme="minorEastAsia" w:eastAsiaTheme="minorEastAsia" w:hAnsiTheme="minorEastAsia" w:hint="eastAsia"/>
          <w:szCs w:val="21"/>
        </w:rPr>
        <w:t>债务重组准则中的债权人：“</w:t>
      </w:r>
      <w:r w:rsidRPr="009305F2">
        <w:rPr>
          <w:rFonts w:asciiTheme="minorEastAsia" w:eastAsiaTheme="minorEastAsia" w:hAnsiTheme="minorEastAsia" w:cs="Tahoma" w:hint="eastAsia"/>
          <w:szCs w:val="21"/>
        </w:rPr>
        <w:t>债权人应当对接受的非现金资产按其</w:t>
      </w:r>
      <w:r w:rsidRPr="009305F2">
        <w:rPr>
          <w:rFonts w:asciiTheme="minorEastAsia" w:eastAsiaTheme="minorEastAsia" w:hAnsiTheme="minorEastAsia" w:cs="Tahoma" w:hint="eastAsia"/>
          <w:szCs w:val="21"/>
          <w:u w:val="single"/>
        </w:rPr>
        <w:t>公允价值</w:t>
      </w:r>
      <w:r w:rsidRPr="009305F2">
        <w:rPr>
          <w:rFonts w:asciiTheme="minorEastAsia" w:eastAsiaTheme="minorEastAsia" w:hAnsiTheme="minorEastAsia" w:cs="Tahoma" w:hint="eastAsia"/>
          <w:szCs w:val="21"/>
        </w:rPr>
        <w:t>入账，重组债权的账面余额与接受的非现金资产的</w:t>
      </w:r>
      <w:r w:rsidRPr="009305F2">
        <w:rPr>
          <w:rFonts w:asciiTheme="minorEastAsia" w:eastAsiaTheme="minorEastAsia" w:hAnsiTheme="minorEastAsia" w:cs="Tahoma" w:hint="eastAsia"/>
          <w:szCs w:val="21"/>
          <w:u w:val="single"/>
        </w:rPr>
        <w:t>公允价值</w:t>
      </w:r>
      <w:r w:rsidRPr="009305F2">
        <w:rPr>
          <w:rFonts w:asciiTheme="minorEastAsia" w:eastAsiaTheme="minorEastAsia" w:hAnsiTheme="minorEastAsia" w:cs="Tahoma" w:hint="eastAsia"/>
          <w:szCs w:val="21"/>
        </w:rPr>
        <w:t>之间的差额，计入当期损益。”</w:t>
      </w:r>
    </w:p>
    <w:p w:rsidR="00B25262" w:rsidRPr="009305F2" w:rsidRDefault="008E5372"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Tahoma"/>
          <w:szCs w:val="21"/>
        </w:rPr>
      </w:pPr>
      <w:r w:rsidRPr="009305F2">
        <w:rPr>
          <w:rFonts w:asciiTheme="minorEastAsia" w:eastAsiaTheme="minorEastAsia" w:hAnsiTheme="minorEastAsia" w:cs="Tahoma" w:hint="eastAsia"/>
          <w:szCs w:val="21"/>
        </w:rPr>
        <w:t>上述划线四次提到的</w:t>
      </w:r>
      <w:r w:rsidR="00B25262" w:rsidRPr="009305F2">
        <w:rPr>
          <w:rFonts w:asciiTheme="minorEastAsia" w:eastAsiaTheme="minorEastAsia" w:hAnsiTheme="minorEastAsia" w:cs="Tahoma" w:hint="eastAsia"/>
          <w:szCs w:val="21"/>
        </w:rPr>
        <w:t>非现金资产的</w:t>
      </w:r>
      <w:r w:rsidRPr="009305F2">
        <w:rPr>
          <w:rFonts w:asciiTheme="minorEastAsia" w:eastAsiaTheme="minorEastAsia" w:hAnsiTheme="minorEastAsia" w:cs="Tahoma" w:hint="eastAsia"/>
          <w:szCs w:val="21"/>
        </w:rPr>
        <w:t>公允价值，仔细分析，不难发现，</w:t>
      </w:r>
      <w:r w:rsidR="00B25262" w:rsidRPr="009305F2">
        <w:rPr>
          <w:rFonts w:asciiTheme="minorEastAsia" w:eastAsiaTheme="minorEastAsia" w:hAnsiTheme="minorEastAsia" w:cs="Tahoma" w:hint="eastAsia"/>
          <w:szCs w:val="21"/>
        </w:rPr>
        <w:t>第一和最后一次提到的公允价值含有增值税，其余两次提到的公允价值不含增值税。</w:t>
      </w:r>
    </w:p>
    <w:p w:rsidR="007F6E61" w:rsidRPr="009305F2" w:rsidRDefault="00B25262"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宋体"/>
          <w:b/>
          <w:kern w:val="0"/>
          <w:szCs w:val="21"/>
        </w:rPr>
      </w:pPr>
      <w:r w:rsidRPr="009305F2">
        <w:rPr>
          <w:rFonts w:asciiTheme="minorEastAsia" w:eastAsiaTheme="minorEastAsia" w:hAnsiTheme="minorEastAsia" w:cs="Tahoma" w:hint="eastAsia"/>
          <w:szCs w:val="21"/>
        </w:rPr>
        <w:t>一个具体准则，上下文之间，提到的同一概念，计量结果却不相同。</w:t>
      </w:r>
      <w:r w:rsidR="002850B0" w:rsidRPr="009305F2">
        <w:rPr>
          <w:rFonts w:asciiTheme="minorEastAsia" w:eastAsiaTheme="minorEastAsia" w:hAnsiTheme="minorEastAsia" w:cs="Tahoma" w:hint="eastAsia"/>
          <w:szCs w:val="21"/>
        </w:rPr>
        <w:t>而且，这样的准则</w:t>
      </w:r>
      <w:r w:rsidR="003017A1" w:rsidRPr="009305F2">
        <w:rPr>
          <w:rFonts w:asciiTheme="minorEastAsia" w:eastAsiaTheme="minorEastAsia" w:hAnsiTheme="minorEastAsia" w:cs="Tahoma" w:hint="eastAsia"/>
          <w:szCs w:val="21"/>
        </w:rPr>
        <w:t>还</w:t>
      </w:r>
      <w:r w:rsidR="002850B0" w:rsidRPr="009305F2">
        <w:rPr>
          <w:rFonts w:asciiTheme="minorEastAsia" w:eastAsiaTheme="minorEastAsia" w:hAnsiTheme="minorEastAsia" w:cs="Tahoma" w:hint="eastAsia"/>
          <w:szCs w:val="21"/>
        </w:rPr>
        <w:t>不只一个，典型的有非货币资产交换、租赁、企业合并准则，</w:t>
      </w:r>
      <w:r w:rsidR="003017A1">
        <w:rPr>
          <w:rFonts w:asciiTheme="minorEastAsia" w:eastAsiaTheme="minorEastAsia" w:hAnsiTheme="minorEastAsia" w:cs="Tahoma" w:hint="eastAsia"/>
          <w:szCs w:val="21"/>
        </w:rPr>
        <w:t>此外，</w:t>
      </w:r>
      <w:r w:rsidR="002850B0" w:rsidRPr="009305F2">
        <w:rPr>
          <w:rFonts w:asciiTheme="minorEastAsia" w:eastAsiaTheme="minorEastAsia" w:hAnsiTheme="minorEastAsia" w:cs="Tahoma" w:hint="eastAsia"/>
          <w:szCs w:val="21"/>
        </w:rPr>
        <w:t>其他准则也</w:t>
      </w:r>
      <w:r w:rsidR="003017A1" w:rsidRPr="009305F2">
        <w:rPr>
          <w:rFonts w:asciiTheme="minorEastAsia" w:eastAsiaTheme="minorEastAsia" w:hAnsiTheme="minorEastAsia" w:cs="Tahoma" w:hint="eastAsia"/>
          <w:szCs w:val="21"/>
        </w:rPr>
        <w:t>存在</w:t>
      </w:r>
      <w:r w:rsidR="002850B0" w:rsidRPr="009305F2">
        <w:rPr>
          <w:rFonts w:asciiTheme="minorEastAsia" w:eastAsiaTheme="minorEastAsia" w:hAnsiTheme="minorEastAsia" w:cs="Tahoma" w:hint="eastAsia"/>
          <w:szCs w:val="21"/>
        </w:rPr>
        <w:t>不同程度的</w:t>
      </w:r>
      <w:r w:rsidR="003313BC">
        <w:rPr>
          <w:rFonts w:asciiTheme="minorEastAsia" w:eastAsiaTheme="minorEastAsia" w:hAnsiTheme="minorEastAsia" w:cs="Tahoma" w:hint="eastAsia"/>
          <w:szCs w:val="21"/>
        </w:rPr>
        <w:t>相同情况</w:t>
      </w:r>
      <w:r w:rsidR="002850B0" w:rsidRPr="009305F2">
        <w:rPr>
          <w:rFonts w:asciiTheme="minorEastAsia" w:eastAsiaTheme="minorEastAsia" w:hAnsiTheme="minorEastAsia" w:cs="Tahoma" w:hint="eastAsia"/>
          <w:szCs w:val="21"/>
        </w:rPr>
        <w:t>，那么</w:t>
      </w:r>
      <w:r w:rsidR="003313BC">
        <w:rPr>
          <w:rFonts w:asciiTheme="minorEastAsia" w:eastAsiaTheme="minorEastAsia" w:hAnsiTheme="minorEastAsia" w:cs="Tahoma" w:hint="eastAsia"/>
          <w:szCs w:val="21"/>
        </w:rPr>
        <w:t>这种情况为什么存在、是否合理、</w:t>
      </w:r>
      <w:r w:rsidRPr="009305F2">
        <w:rPr>
          <w:rFonts w:asciiTheme="minorEastAsia" w:eastAsiaTheme="minorEastAsia" w:hAnsiTheme="minorEastAsia" w:cs="Tahoma" w:hint="eastAsia"/>
          <w:szCs w:val="21"/>
        </w:rPr>
        <w:t>应该继续存在下去吗？</w:t>
      </w:r>
    </w:p>
    <w:p w:rsidR="00B25262" w:rsidRPr="009305F2" w:rsidRDefault="00B25262" w:rsidP="00080C25">
      <w:p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kern w:val="0"/>
          <w:szCs w:val="21"/>
        </w:rPr>
      </w:pPr>
      <w:r w:rsidRPr="009305F2">
        <w:rPr>
          <w:rFonts w:asciiTheme="minorEastAsia" w:eastAsiaTheme="minorEastAsia" w:hAnsiTheme="minorEastAsia" w:cs="宋体" w:hint="eastAsia"/>
          <w:kern w:val="0"/>
          <w:szCs w:val="21"/>
        </w:rPr>
        <w:t xml:space="preserve">    </w:t>
      </w:r>
      <w:r w:rsidR="00AD2116" w:rsidRPr="009305F2">
        <w:rPr>
          <w:rFonts w:asciiTheme="minorEastAsia" w:eastAsiaTheme="minorEastAsia" w:hAnsiTheme="minorEastAsia" w:cs="宋体" w:hint="eastAsia"/>
          <w:kern w:val="0"/>
          <w:szCs w:val="21"/>
        </w:rPr>
        <w:t>自</w:t>
      </w:r>
      <w:r w:rsidRPr="009305F2">
        <w:rPr>
          <w:rFonts w:asciiTheme="minorEastAsia" w:eastAsiaTheme="minorEastAsia" w:hAnsiTheme="minorEastAsia" w:cs="宋体" w:hint="eastAsia"/>
          <w:kern w:val="0"/>
          <w:szCs w:val="21"/>
        </w:rPr>
        <w:t>公允价值准则问世以来，在所有会计的研究文章、相关教材和考试参考书中，似乎都默认为公允价值不含增值税，</w:t>
      </w:r>
      <w:r w:rsidR="00AD2116" w:rsidRPr="009305F2">
        <w:rPr>
          <w:rFonts w:asciiTheme="minorEastAsia" w:eastAsiaTheme="minorEastAsia" w:hAnsiTheme="minorEastAsia" w:cs="宋体" w:hint="eastAsia"/>
          <w:kern w:val="0"/>
          <w:szCs w:val="21"/>
        </w:rPr>
        <w:t>公允价值的计量与增值税无关，增值税属于税法范畴。</w:t>
      </w:r>
      <w:r w:rsidR="00FD0D20" w:rsidRPr="009305F2">
        <w:rPr>
          <w:rFonts w:asciiTheme="minorEastAsia" w:eastAsiaTheme="minorEastAsia" w:hAnsiTheme="minorEastAsia" w:cs="宋体" w:hint="eastAsia"/>
          <w:kern w:val="0"/>
          <w:szCs w:val="21"/>
        </w:rPr>
        <w:t>会计实务中，尽量回避出现公允价值包含增值税的尴尬现象，因此，只要提</w:t>
      </w:r>
      <w:r w:rsidR="002850B0" w:rsidRPr="009305F2">
        <w:rPr>
          <w:rFonts w:asciiTheme="minorEastAsia" w:eastAsiaTheme="minorEastAsia" w:hAnsiTheme="minorEastAsia" w:cs="宋体" w:hint="eastAsia"/>
          <w:kern w:val="0"/>
          <w:szCs w:val="21"/>
        </w:rPr>
        <w:t>到</w:t>
      </w:r>
      <w:r w:rsidR="00FD0D20" w:rsidRPr="009305F2">
        <w:rPr>
          <w:rFonts w:asciiTheme="minorEastAsia" w:eastAsiaTheme="minorEastAsia" w:hAnsiTheme="minorEastAsia" w:cs="宋体" w:hint="eastAsia"/>
          <w:kern w:val="0"/>
          <w:szCs w:val="21"/>
        </w:rPr>
        <w:t>公允价值是否包含增值税</w:t>
      </w:r>
      <w:r w:rsidR="002850B0" w:rsidRPr="009305F2">
        <w:rPr>
          <w:rFonts w:asciiTheme="minorEastAsia" w:eastAsiaTheme="minorEastAsia" w:hAnsiTheme="minorEastAsia" w:cs="宋体" w:hint="eastAsia"/>
          <w:kern w:val="0"/>
          <w:szCs w:val="21"/>
        </w:rPr>
        <w:t>的问题</w:t>
      </w:r>
      <w:r w:rsidR="00FD0D20" w:rsidRPr="009305F2">
        <w:rPr>
          <w:rFonts w:asciiTheme="minorEastAsia" w:eastAsiaTheme="minorEastAsia" w:hAnsiTheme="minorEastAsia" w:cs="宋体" w:hint="eastAsia"/>
          <w:kern w:val="0"/>
          <w:szCs w:val="21"/>
        </w:rPr>
        <w:t>，似乎就是“大逆不道”，所有研究也就很难找到相关注释和参考。</w:t>
      </w:r>
    </w:p>
    <w:p w:rsidR="002850B0" w:rsidRPr="009305F2" w:rsidRDefault="002850B0" w:rsidP="00080C25">
      <w:p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kern w:val="0"/>
          <w:szCs w:val="21"/>
        </w:rPr>
      </w:pPr>
      <w:r w:rsidRPr="003313BC">
        <w:rPr>
          <w:rFonts w:asciiTheme="minorEastAsia" w:eastAsiaTheme="minorEastAsia" w:hAnsiTheme="minorEastAsia" w:cs="宋体" w:hint="eastAsia"/>
          <w:b/>
          <w:kern w:val="0"/>
          <w:szCs w:val="21"/>
        </w:rPr>
        <w:t xml:space="preserve">  </w:t>
      </w:r>
      <w:r w:rsidRPr="003313BC">
        <w:rPr>
          <w:rFonts w:asciiTheme="minorEastAsia" w:eastAsiaTheme="minorEastAsia" w:hAnsiTheme="minorEastAsia" w:cs="宋体" w:hint="eastAsia"/>
          <w:kern w:val="0"/>
          <w:szCs w:val="21"/>
        </w:rPr>
        <w:t xml:space="preserve">  </w:t>
      </w:r>
      <w:r w:rsidR="00AA60FE" w:rsidRPr="003313BC">
        <w:rPr>
          <w:rFonts w:asciiTheme="minorEastAsia" w:eastAsiaTheme="minorEastAsia" w:hAnsiTheme="minorEastAsia" w:cs="宋体" w:hint="eastAsia"/>
          <w:kern w:val="0"/>
          <w:szCs w:val="21"/>
        </w:rPr>
        <w:t>2016年5月，随着</w:t>
      </w:r>
      <w:r w:rsidR="00506FE1" w:rsidRPr="003313BC">
        <w:rPr>
          <w:rFonts w:asciiTheme="minorEastAsia" w:eastAsiaTheme="minorEastAsia" w:hAnsiTheme="minorEastAsia" w:cs="宋体" w:hint="eastAsia"/>
          <w:kern w:val="0"/>
          <w:szCs w:val="21"/>
        </w:rPr>
        <w:t>“营改增”</w:t>
      </w:r>
      <w:r w:rsidR="00AA60FE" w:rsidRPr="003313BC">
        <w:rPr>
          <w:rFonts w:asciiTheme="minorEastAsia" w:eastAsiaTheme="minorEastAsia" w:hAnsiTheme="minorEastAsia" w:cs="宋体" w:hint="eastAsia"/>
          <w:kern w:val="0"/>
          <w:szCs w:val="21"/>
        </w:rPr>
        <w:t>政策的落地</w:t>
      </w:r>
      <w:r w:rsidR="00506FE1" w:rsidRPr="003313BC">
        <w:rPr>
          <w:rFonts w:asciiTheme="minorEastAsia" w:eastAsiaTheme="minorEastAsia" w:hAnsiTheme="minorEastAsia" w:cs="宋体" w:hint="eastAsia"/>
          <w:kern w:val="0"/>
          <w:szCs w:val="21"/>
        </w:rPr>
        <w:t>，根据</w:t>
      </w:r>
      <w:r w:rsidR="00506FE1" w:rsidRPr="003313BC">
        <w:rPr>
          <w:rFonts w:asciiTheme="minorEastAsia" w:eastAsiaTheme="minorEastAsia" w:hAnsiTheme="minorEastAsia" w:hint="eastAsia"/>
          <w:spacing w:val="7"/>
          <w:szCs w:val="21"/>
        </w:rPr>
        <w:t>（财税〔2016〕36号）增值税会计处理规定，</w:t>
      </w:r>
      <w:r w:rsidR="00D509D8" w:rsidRPr="003313BC">
        <w:rPr>
          <w:rFonts w:asciiTheme="minorEastAsia" w:eastAsiaTheme="minorEastAsia" w:hAnsiTheme="minorEastAsia" w:hint="eastAsia"/>
          <w:spacing w:val="7"/>
          <w:szCs w:val="21"/>
        </w:rPr>
        <w:t>和</w:t>
      </w:r>
      <w:r w:rsidR="00506FE1" w:rsidRPr="003313BC">
        <w:rPr>
          <w:rFonts w:asciiTheme="minorEastAsia" w:eastAsiaTheme="minorEastAsia" w:hAnsiTheme="minorEastAsia" w:hint="eastAsia"/>
          <w:spacing w:val="7"/>
          <w:szCs w:val="21"/>
        </w:rPr>
        <w:t>（财税〔2016〕140号）</w:t>
      </w:r>
      <w:r w:rsidR="00506FE1" w:rsidRPr="003313BC">
        <w:rPr>
          <w:rFonts w:asciiTheme="minorEastAsia" w:eastAsiaTheme="minorEastAsia" w:hAnsiTheme="minorEastAsia" w:hint="eastAsia"/>
          <w:szCs w:val="21"/>
          <w:shd w:val="clear" w:color="auto" w:fill="FFFFFF"/>
        </w:rPr>
        <w:t>关于明确金融、房地产开发、教育辅助服务等增值税政策的通知，以及</w:t>
      </w:r>
      <w:r w:rsidR="00506FE1" w:rsidRPr="003313BC">
        <w:rPr>
          <w:rFonts w:asciiTheme="minorEastAsia" w:eastAsiaTheme="minorEastAsia" w:hAnsiTheme="minorEastAsia" w:hint="eastAsia"/>
          <w:spacing w:val="7"/>
          <w:szCs w:val="21"/>
        </w:rPr>
        <w:t>（财税〔2017〕2号）</w:t>
      </w:r>
      <w:r w:rsidR="00506FE1" w:rsidRPr="003313BC">
        <w:rPr>
          <w:rStyle w:val="a4"/>
          <w:rFonts w:asciiTheme="minorEastAsia" w:eastAsiaTheme="minorEastAsia" w:hAnsiTheme="minorEastAsia" w:hint="eastAsia"/>
          <w:b w:val="0"/>
          <w:spacing w:val="7"/>
          <w:szCs w:val="21"/>
        </w:rPr>
        <w:t>关于资管产品增值税政策有关问题的补充通知，综合汇总以上三个文件，</w:t>
      </w:r>
      <w:r w:rsidR="00C34F77" w:rsidRPr="003313BC">
        <w:rPr>
          <w:rFonts w:asciiTheme="minorEastAsia" w:eastAsiaTheme="minorEastAsia" w:hAnsiTheme="minorEastAsia" w:cs="宋体" w:hint="eastAsia"/>
          <w:kern w:val="0"/>
          <w:szCs w:val="21"/>
        </w:rPr>
        <w:t>一个新的问题出现了：</w:t>
      </w:r>
      <w:r w:rsidR="00506FE1" w:rsidRPr="003313BC">
        <w:rPr>
          <w:rFonts w:asciiTheme="minorEastAsia" w:eastAsiaTheme="minorEastAsia" w:hAnsiTheme="minorEastAsia" w:cs="宋体" w:hint="eastAsia"/>
          <w:kern w:val="0"/>
          <w:szCs w:val="21"/>
        </w:rPr>
        <w:t>一</w:t>
      </w:r>
      <w:r w:rsidR="00506FE1" w:rsidRPr="009305F2">
        <w:rPr>
          <w:rFonts w:asciiTheme="minorEastAsia" w:eastAsiaTheme="minorEastAsia" w:hAnsiTheme="minorEastAsia" w:cs="宋体" w:hint="eastAsia"/>
          <w:kern w:val="0"/>
          <w:szCs w:val="21"/>
        </w:rPr>
        <w:t>般工业制造业、商品流通</w:t>
      </w:r>
      <w:r w:rsidR="00DC3003" w:rsidRPr="009305F2">
        <w:rPr>
          <w:rFonts w:asciiTheme="minorEastAsia" w:eastAsiaTheme="minorEastAsia" w:hAnsiTheme="minorEastAsia" w:cs="宋体" w:hint="eastAsia"/>
          <w:kern w:val="0"/>
          <w:szCs w:val="21"/>
        </w:rPr>
        <w:t>行业</w:t>
      </w:r>
      <w:r w:rsidR="00506FE1" w:rsidRPr="009305F2">
        <w:rPr>
          <w:rFonts w:asciiTheme="minorEastAsia" w:eastAsiaTheme="minorEastAsia" w:hAnsiTheme="minorEastAsia" w:cs="宋体" w:hint="eastAsia"/>
          <w:kern w:val="0"/>
          <w:szCs w:val="21"/>
        </w:rPr>
        <w:t>中增值税</w:t>
      </w:r>
      <w:r w:rsidR="00DC3003" w:rsidRPr="009305F2">
        <w:rPr>
          <w:rFonts w:asciiTheme="minorEastAsia" w:eastAsiaTheme="minorEastAsia" w:hAnsiTheme="minorEastAsia" w:cs="宋体" w:hint="eastAsia"/>
          <w:kern w:val="0"/>
          <w:szCs w:val="21"/>
        </w:rPr>
        <w:t>和销售价格</w:t>
      </w:r>
      <w:r w:rsidR="00506FE1" w:rsidRPr="009305F2">
        <w:rPr>
          <w:rFonts w:asciiTheme="minorEastAsia" w:eastAsiaTheme="minorEastAsia" w:hAnsiTheme="minorEastAsia" w:cs="宋体" w:hint="eastAsia"/>
          <w:kern w:val="0"/>
          <w:szCs w:val="21"/>
        </w:rPr>
        <w:t>价税分开，</w:t>
      </w:r>
      <w:r w:rsidR="00DC3003" w:rsidRPr="009305F2">
        <w:rPr>
          <w:rFonts w:asciiTheme="minorEastAsia" w:eastAsiaTheme="minorEastAsia" w:hAnsiTheme="minorEastAsia" w:cs="宋体" w:hint="eastAsia"/>
          <w:kern w:val="0"/>
          <w:szCs w:val="21"/>
        </w:rPr>
        <w:t>增值税纳税申报，销项、进项税款相抵</w:t>
      </w:r>
      <w:r w:rsidR="00506FE1" w:rsidRPr="009305F2">
        <w:rPr>
          <w:rFonts w:asciiTheme="minorEastAsia" w:eastAsiaTheme="minorEastAsia" w:hAnsiTheme="minorEastAsia" w:cs="宋体" w:hint="eastAsia"/>
          <w:kern w:val="0"/>
          <w:szCs w:val="21"/>
        </w:rPr>
        <w:t>的</w:t>
      </w:r>
      <w:r w:rsidR="00C34F77" w:rsidRPr="009305F2">
        <w:rPr>
          <w:rFonts w:asciiTheme="minorEastAsia" w:eastAsiaTheme="minorEastAsia" w:hAnsiTheme="minorEastAsia" w:cs="宋体" w:hint="eastAsia"/>
          <w:kern w:val="0"/>
          <w:szCs w:val="21"/>
        </w:rPr>
        <w:t>计税模式；在金融商品转让中</w:t>
      </w:r>
      <w:r w:rsidR="00DC3003" w:rsidRPr="009305F2">
        <w:rPr>
          <w:rFonts w:asciiTheme="minorEastAsia" w:eastAsiaTheme="minorEastAsia" w:hAnsiTheme="minorEastAsia" w:cs="宋体" w:hint="eastAsia"/>
          <w:kern w:val="0"/>
          <w:szCs w:val="21"/>
        </w:rPr>
        <w:t>受到了挑战，变革调整为</w:t>
      </w:r>
      <w:r w:rsidR="00C34F77" w:rsidRPr="009305F2">
        <w:rPr>
          <w:rFonts w:asciiTheme="minorEastAsia" w:eastAsiaTheme="minorEastAsia" w:hAnsiTheme="minorEastAsia" w:cs="宋体" w:hint="eastAsia"/>
          <w:kern w:val="0"/>
          <w:szCs w:val="21"/>
        </w:rPr>
        <w:t>以其盈亏相抵后的余额作为销售额</w:t>
      </w:r>
      <w:r w:rsidR="0077384A" w:rsidRPr="009305F2">
        <w:rPr>
          <w:rFonts w:asciiTheme="minorEastAsia" w:eastAsiaTheme="minorEastAsia" w:hAnsiTheme="minorEastAsia" w:cs="宋体" w:hint="eastAsia"/>
          <w:kern w:val="0"/>
          <w:szCs w:val="21"/>
        </w:rPr>
        <w:t>的账务处理模式；这样一</w:t>
      </w:r>
      <w:r w:rsidR="00C34F77" w:rsidRPr="009305F2">
        <w:rPr>
          <w:rFonts w:asciiTheme="minorEastAsia" w:eastAsiaTheme="minorEastAsia" w:hAnsiTheme="minorEastAsia" w:cs="宋体" w:hint="eastAsia"/>
          <w:kern w:val="0"/>
          <w:szCs w:val="21"/>
        </w:rPr>
        <w:t>来，转让金融商品的销售额就不可避免的要包含增值税，计税方法，也从原来主流的扣税法，调整为</w:t>
      </w:r>
      <w:r w:rsidR="00D509D8" w:rsidRPr="009305F2">
        <w:rPr>
          <w:rFonts w:asciiTheme="minorEastAsia" w:eastAsiaTheme="minorEastAsia" w:hAnsiTheme="minorEastAsia" w:cs="宋体" w:hint="eastAsia"/>
          <w:kern w:val="0"/>
          <w:szCs w:val="21"/>
        </w:rPr>
        <w:t>类似</w:t>
      </w:r>
      <w:r w:rsidR="0077384A" w:rsidRPr="009305F2">
        <w:rPr>
          <w:rFonts w:asciiTheme="minorEastAsia" w:eastAsiaTheme="minorEastAsia" w:hAnsiTheme="minorEastAsia" w:cs="宋体" w:hint="eastAsia"/>
          <w:kern w:val="0"/>
          <w:szCs w:val="21"/>
        </w:rPr>
        <w:t>增值税</w:t>
      </w:r>
      <w:r w:rsidR="00C34F77" w:rsidRPr="009305F2">
        <w:rPr>
          <w:rFonts w:asciiTheme="minorEastAsia" w:eastAsiaTheme="minorEastAsia" w:hAnsiTheme="minorEastAsia" w:cs="宋体" w:hint="eastAsia"/>
          <w:kern w:val="0"/>
          <w:szCs w:val="21"/>
        </w:rPr>
        <w:t>基本原理的</w:t>
      </w:r>
      <w:r w:rsidR="0077384A" w:rsidRPr="009305F2">
        <w:rPr>
          <w:rFonts w:asciiTheme="minorEastAsia" w:eastAsiaTheme="minorEastAsia" w:hAnsiTheme="minorEastAsia" w:cs="宋体" w:hint="eastAsia"/>
          <w:kern w:val="0"/>
          <w:szCs w:val="21"/>
        </w:rPr>
        <w:t>“扣额法”</w:t>
      </w:r>
      <w:r w:rsidR="00C34F77" w:rsidRPr="009305F2">
        <w:rPr>
          <w:rFonts w:asciiTheme="minorEastAsia" w:eastAsiaTheme="minorEastAsia" w:hAnsiTheme="minorEastAsia" w:cs="宋体" w:hint="eastAsia"/>
          <w:kern w:val="0"/>
          <w:szCs w:val="21"/>
        </w:rPr>
        <w:t>-</w:t>
      </w:r>
      <w:r w:rsidR="00C34F77" w:rsidRPr="009305F2">
        <w:rPr>
          <w:rFonts w:asciiTheme="minorEastAsia" w:eastAsiaTheme="minorEastAsia" w:hAnsiTheme="minorEastAsia" w:cs="宋体" w:hint="eastAsia"/>
          <w:kern w:val="0"/>
          <w:szCs w:val="21"/>
        </w:rPr>
        <w:lastRenderedPageBreak/>
        <w:t>--即含税的售价和成本先相抵，</w:t>
      </w:r>
      <w:r w:rsidR="00D509D8" w:rsidRPr="009305F2">
        <w:rPr>
          <w:rFonts w:asciiTheme="minorEastAsia" w:eastAsiaTheme="minorEastAsia" w:hAnsiTheme="minorEastAsia" w:cs="宋体" w:hint="eastAsia"/>
          <w:kern w:val="0"/>
          <w:szCs w:val="21"/>
        </w:rPr>
        <w:t>而后再</w:t>
      </w:r>
      <w:r w:rsidR="00C34F77" w:rsidRPr="009305F2">
        <w:rPr>
          <w:rFonts w:asciiTheme="minorEastAsia" w:eastAsiaTheme="minorEastAsia" w:hAnsiTheme="minorEastAsia" w:cs="宋体" w:hint="eastAsia"/>
          <w:kern w:val="0"/>
          <w:szCs w:val="21"/>
        </w:rPr>
        <w:t>进行价税剥离</w:t>
      </w:r>
      <w:r w:rsidR="00D509D8" w:rsidRPr="009305F2">
        <w:rPr>
          <w:rFonts w:asciiTheme="minorEastAsia" w:eastAsiaTheme="minorEastAsia" w:hAnsiTheme="minorEastAsia" w:cs="宋体" w:hint="eastAsia"/>
          <w:kern w:val="0"/>
          <w:szCs w:val="21"/>
        </w:rPr>
        <w:t>。这样，</w:t>
      </w:r>
      <w:r w:rsidR="0077384A" w:rsidRPr="009305F2">
        <w:rPr>
          <w:rFonts w:asciiTheme="minorEastAsia" w:eastAsiaTheme="minorEastAsia" w:hAnsiTheme="minorEastAsia" w:cs="宋体" w:hint="eastAsia"/>
          <w:kern w:val="0"/>
          <w:szCs w:val="21"/>
        </w:rPr>
        <w:t>销售价格不含增值税的提法，在金融商品的转让价格中彻底失效，公允价值不含增值税的“主流认识”再次受到质疑。</w:t>
      </w:r>
    </w:p>
    <w:p w:rsidR="006A47F0" w:rsidRPr="009305F2" w:rsidRDefault="006A47F0" w:rsidP="00080C25">
      <w:pPr>
        <w:pBdr>
          <w:top w:val="none" w:sz="0" w:space="0" w:color="auto"/>
          <w:left w:val="none" w:sz="0" w:space="0" w:color="auto"/>
          <w:bottom w:val="none" w:sz="0" w:space="0" w:color="auto"/>
          <w:right w:val="none" w:sz="0" w:space="0" w:color="auto"/>
          <w:between w:val="none" w:sz="0" w:space="0" w:color="auto"/>
        </w:pBdr>
        <w:ind w:firstLineChars="200" w:firstLine="420"/>
        <w:rPr>
          <w:rFonts w:asciiTheme="minorEastAsia" w:eastAsiaTheme="minorEastAsia" w:hAnsiTheme="minorEastAsia" w:cs="宋体"/>
          <w:kern w:val="0"/>
          <w:szCs w:val="21"/>
        </w:rPr>
      </w:pPr>
      <w:r w:rsidRPr="009305F2">
        <w:rPr>
          <w:rFonts w:asciiTheme="minorEastAsia" w:eastAsiaTheme="minorEastAsia" w:hAnsiTheme="minorEastAsia" w:cs="宋体" w:hint="eastAsia"/>
          <w:kern w:val="0"/>
          <w:szCs w:val="21"/>
        </w:rPr>
        <w:t>为了系统解决以上提出的问题，笔者结合工作实际，参考经济学科相关的资产和收入要素的初始内涵，提出并定义了公允价值经济计量单元和公允价值会计计量单元</w:t>
      </w:r>
      <w:r w:rsidR="003A278E" w:rsidRPr="009305F2">
        <w:rPr>
          <w:rFonts w:asciiTheme="minorEastAsia" w:eastAsiaTheme="minorEastAsia" w:hAnsiTheme="minorEastAsia" w:cs="宋体" w:hint="eastAsia"/>
          <w:kern w:val="0"/>
          <w:szCs w:val="21"/>
        </w:rPr>
        <w:t>这样一组概念</w:t>
      </w:r>
      <w:r w:rsidRPr="009305F2">
        <w:rPr>
          <w:rFonts w:asciiTheme="minorEastAsia" w:eastAsiaTheme="minorEastAsia" w:hAnsiTheme="minorEastAsia" w:cs="宋体" w:hint="eastAsia"/>
          <w:kern w:val="0"/>
          <w:szCs w:val="21"/>
        </w:rPr>
        <w:t>，希望</w:t>
      </w:r>
      <w:r w:rsidR="003A278E" w:rsidRPr="009305F2">
        <w:rPr>
          <w:rFonts w:asciiTheme="minorEastAsia" w:eastAsiaTheme="minorEastAsia" w:hAnsiTheme="minorEastAsia" w:cs="宋体" w:hint="eastAsia"/>
          <w:kern w:val="0"/>
          <w:szCs w:val="21"/>
        </w:rPr>
        <w:t>能够</w:t>
      </w:r>
      <w:r w:rsidRPr="009305F2">
        <w:rPr>
          <w:rFonts w:asciiTheme="minorEastAsia" w:eastAsiaTheme="minorEastAsia" w:hAnsiTheme="minorEastAsia" w:cs="宋体" w:hint="eastAsia"/>
          <w:kern w:val="0"/>
          <w:szCs w:val="21"/>
        </w:rPr>
        <w:t>理清实务工作者</w:t>
      </w:r>
      <w:r w:rsidR="007F727E" w:rsidRPr="009305F2">
        <w:rPr>
          <w:rFonts w:asciiTheme="minorEastAsia" w:eastAsiaTheme="minorEastAsia" w:hAnsiTheme="minorEastAsia" w:cs="宋体" w:hint="eastAsia"/>
          <w:kern w:val="0"/>
          <w:szCs w:val="21"/>
        </w:rPr>
        <w:t>的</w:t>
      </w:r>
      <w:r w:rsidRPr="009305F2">
        <w:rPr>
          <w:rFonts w:asciiTheme="minorEastAsia" w:eastAsiaTheme="minorEastAsia" w:hAnsiTheme="minorEastAsia" w:cs="宋体" w:hint="eastAsia"/>
          <w:kern w:val="0"/>
          <w:szCs w:val="21"/>
        </w:rPr>
        <w:t>思想混乱，</w:t>
      </w:r>
      <w:r w:rsidR="003A278E" w:rsidRPr="009305F2">
        <w:rPr>
          <w:rFonts w:asciiTheme="minorEastAsia" w:eastAsiaTheme="minorEastAsia" w:hAnsiTheme="minorEastAsia" w:cs="宋体" w:hint="eastAsia"/>
          <w:kern w:val="0"/>
          <w:szCs w:val="21"/>
        </w:rPr>
        <w:t>对于会计具体实务中的公允价值，</w:t>
      </w:r>
      <w:r w:rsidR="007F727E" w:rsidRPr="009305F2">
        <w:rPr>
          <w:rFonts w:asciiTheme="minorEastAsia" w:eastAsiaTheme="minorEastAsia" w:hAnsiTheme="minorEastAsia" w:cs="宋体" w:hint="eastAsia"/>
          <w:kern w:val="0"/>
          <w:szCs w:val="21"/>
        </w:rPr>
        <w:t>在是否包含增值税的问题方面，</w:t>
      </w:r>
      <w:r w:rsidR="003313BC">
        <w:rPr>
          <w:rFonts w:asciiTheme="minorEastAsia" w:eastAsiaTheme="minorEastAsia" w:hAnsiTheme="minorEastAsia" w:cs="宋体" w:hint="eastAsia"/>
          <w:kern w:val="0"/>
          <w:szCs w:val="21"/>
        </w:rPr>
        <w:t>提供</w:t>
      </w:r>
      <w:r w:rsidRPr="009305F2">
        <w:rPr>
          <w:rFonts w:asciiTheme="minorEastAsia" w:eastAsiaTheme="minorEastAsia" w:hAnsiTheme="minorEastAsia" w:cs="宋体" w:hint="eastAsia"/>
          <w:kern w:val="0"/>
          <w:szCs w:val="21"/>
        </w:rPr>
        <w:t>明确的计量</w:t>
      </w:r>
      <w:r w:rsidR="003313BC">
        <w:rPr>
          <w:rFonts w:asciiTheme="minorEastAsia" w:eastAsiaTheme="minorEastAsia" w:hAnsiTheme="minorEastAsia" w:cs="宋体" w:hint="eastAsia"/>
          <w:kern w:val="0"/>
          <w:szCs w:val="21"/>
        </w:rPr>
        <w:t>指引</w:t>
      </w:r>
      <w:r w:rsidR="003A278E" w:rsidRPr="009305F2">
        <w:rPr>
          <w:rFonts w:asciiTheme="minorEastAsia" w:eastAsiaTheme="minorEastAsia" w:hAnsiTheme="minorEastAsia" w:cs="宋体" w:hint="eastAsia"/>
          <w:kern w:val="0"/>
          <w:szCs w:val="21"/>
        </w:rPr>
        <w:t>。</w:t>
      </w:r>
    </w:p>
    <w:p w:rsidR="00C9636A" w:rsidRPr="009305F2" w:rsidRDefault="008D4E25" w:rsidP="00080C25">
      <w:pPr>
        <w:pBdr>
          <w:top w:val="none" w:sz="0" w:space="0" w:color="auto"/>
          <w:left w:val="none" w:sz="0" w:space="0" w:color="auto"/>
          <w:bottom w:val="none" w:sz="0" w:space="0" w:color="auto"/>
          <w:right w:val="none" w:sz="0" w:space="0" w:color="auto"/>
          <w:between w:val="none" w:sz="0" w:space="0" w:color="auto"/>
        </w:pBdr>
        <w:ind w:firstLineChars="196" w:firstLine="413"/>
        <w:rPr>
          <w:rFonts w:asciiTheme="minorEastAsia" w:eastAsiaTheme="minorEastAsia" w:hAnsiTheme="minorEastAsia" w:cs="宋体"/>
          <w:b/>
          <w:szCs w:val="21"/>
        </w:rPr>
      </w:pPr>
      <w:r w:rsidRPr="009305F2">
        <w:rPr>
          <w:rFonts w:asciiTheme="minorEastAsia" w:eastAsiaTheme="minorEastAsia" w:hAnsiTheme="minorEastAsia" w:cs="宋体" w:hint="eastAsia"/>
          <w:b/>
          <w:szCs w:val="21"/>
        </w:rPr>
        <w:t>二、</w:t>
      </w:r>
      <w:r w:rsidR="00C9636A" w:rsidRPr="009305F2">
        <w:rPr>
          <w:rFonts w:asciiTheme="minorEastAsia" w:eastAsiaTheme="minorEastAsia" w:hAnsiTheme="minorEastAsia" w:cs="宋体" w:hint="eastAsia"/>
          <w:b/>
          <w:szCs w:val="21"/>
        </w:rPr>
        <w:t>公允价值经济计量单元与公允价值会计计量单元</w:t>
      </w:r>
    </w:p>
    <w:p w:rsidR="00C9636A" w:rsidRPr="009305F2" w:rsidRDefault="00C9636A"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仿宋_GB2312"/>
          <w:szCs w:val="21"/>
        </w:rPr>
      </w:pPr>
      <w:r w:rsidRPr="009305F2">
        <w:rPr>
          <w:rFonts w:asciiTheme="minorEastAsia" w:eastAsiaTheme="minorEastAsia" w:hAnsiTheme="minorEastAsia" w:cs="仿宋_GB2312" w:hint="eastAsia"/>
          <w:szCs w:val="21"/>
        </w:rPr>
        <w:t>公允价值经济计量单元，是指在经济交往中，公允条件下，不同会计主体交易时的资产成交价格，是交易双方共同认可的成交总金额，是资产的脱手价格（这个计量单元包含增值税）。这是公允价值计量的经济属性、自然属性。</w:t>
      </w:r>
    </w:p>
    <w:p w:rsidR="00C9636A" w:rsidRPr="009305F2" w:rsidRDefault="00C9636A"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仿宋_GB2312"/>
          <w:szCs w:val="21"/>
        </w:rPr>
      </w:pPr>
      <w:r w:rsidRPr="009305F2">
        <w:rPr>
          <w:rFonts w:asciiTheme="minorEastAsia" w:eastAsiaTheme="minorEastAsia" w:hAnsiTheme="minorEastAsia" w:cs="仿宋_GB2312" w:hint="eastAsia"/>
          <w:szCs w:val="21"/>
        </w:rPr>
        <w:t>公允价值会计计量单元，是会计主体内，在资产的保有环节，对进入主体资产的成交价格，进行二次计量的结果。由于价税分开确认的制度安排（一般纳税人），进入主体的资产成交价格，被分解为资产的入账价格和待抵扣增值税两个单元。分解后的资产入账价格，称为公允价值的会计计量单元，增值税，作为一项待抵扣资产单独确认。这是公允价值计量的管理属性、社会属性。具体如图</w:t>
      </w:r>
      <w:r w:rsidR="00AD3B00">
        <w:rPr>
          <w:rFonts w:asciiTheme="minorEastAsia" w:eastAsiaTheme="minorEastAsia" w:hAnsiTheme="minorEastAsia" w:cs="仿宋_GB2312" w:hint="eastAsia"/>
          <w:szCs w:val="21"/>
        </w:rPr>
        <w:t>1</w:t>
      </w:r>
      <w:r w:rsidRPr="009305F2">
        <w:rPr>
          <w:rFonts w:asciiTheme="minorEastAsia" w:eastAsiaTheme="minorEastAsia" w:hAnsiTheme="minorEastAsia" w:cs="仿宋_GB2312" w:hint="eastAsia"/>
          <w:szCs w:val="21"/>
        </w:rPr>
        <w:t>所示：</w:t>
      </w:r>
    </w:p>
    <w:p w:rsidR="00C9636A" w:rsidRPr="00ED50D1" w:rsidRDefault="00735AF0" w:rsidP="007F727E">
      <w:pPr>
        <w:pBdr>
          <w:top w:val="none" w:sz="0" w:space="0" w:color="auto"/>
          <w:left w:val="none" w:sz="0" w:space="0" w:color="auto"/>
          <w:bottom w:val="none" w:sz="0" w:space="0" w:color="auto"/>
          <w:right w:val="none" w:sz="0" w:space="0" w:color="auto"/>
          <w:between w:val="none" w:sz="0" w:space="0" w:color="auto"/>
        </w:pBdr>
        <w:spacing w:line="264" w:lineRule="auto"/>
        <w:ind w:leftChars="-473" w:left="-283" w:hangingChars="338" w:hanging="710"/>
        <w:jc w:val="left"/>
        <w:rPr>
          <w:rFonts w:ascii="宋体" w:eastAsia="仿宋_GB2312" w:cs="仿宋_GB2312"/>
          <w:szCs w:val="21"/>
        </w:rPr>
      </w:pPr>
      <w:r w:rsidRPr="00735AF0">
        <w:rPr>
          <w:color w:val="FF0000"/>
        </w:rPr>
      </w:r>
      <w:r w:rsidRPr="00735AF0">
        <w:rPr>
          <w:color w:val="FF0000"/>
        </w:rPr>
        <w:pict>
          <v:group id="_x0000_s1026" editas="canvas" style="width:518.7pt;height:265.2pt;mso-position-horizontal-relative:char;mso-position-vertical-relative:line" coordorigin="2362,413" coordsize="9021,46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413;width:9021;height:46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519;top:3402;width:1093;height:408">
              <v:textbox style="mso-next-textbox:#_x0000_s1028">
                <w:txbxContent>
                  <w:p w:rsidR="00C9636A" w:rsidRPr="00B6409B"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sidRPr="00184DA3">
                      <w:rPr>
                        <w:rFonts w:hint="eastAsia"/>
                        <w:sz w:val="18"/>
                        <w:szCs w:val="18"/>
                      </w:rPr>
                      <w:t>销项增值税</w:t>
                    </w:r>
                  </w:p>
                </w:txbxContent>
              </v:textbox>
            </v:shape>
            <v:shape id="_x0000_s1029" type="#_x0000_t202" style="position:absolute;left:2675;top:2587;width:938;height:410">
              <v:textbox style="mso-next-textbox:#_x0000_s1029">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sidRPr="00184DA3">
                      <w:rPr>
                        <w:rFonts w:hint="eastAsia"/>
                        <w:sz w:val="18"/>
                        <w:szCs w:val="18"/>
                      </w:rPr>
                      <w:t>销售价格</w:t>
                    </w:r>
                  </w:p>
                </w:txbxContent>
              </v:textbox>
            </v:shape>
            <v:line id="_x0000_s1030" style="position:absolute" from="3614,2859" to="4084,3131">
              <v:stroke endarrow="block"/>
            </v:line>
            <v:line id="_x0000_s1031" style="position:absolute;flip:y" from="3614,3131" to="4084,3538">
              <v:stroke endarrow="block"/>
            </v:line>
            <v:shape id="_x0000_s1032" type="#_x0000_t202" style="position:absolute;left:4084;top:2995;width:939;height:407">
              <v:textbox style="mso-next-textbox:#_x0000_s1032">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Pr>
                        <w:rFonts w:hint="eastAsia"/>
                        <w:sz w:val="18"/>
                        <w:szCs w:val="18"/>
                      </w:rPr>
                      <w:t>脱手</w:t>
                    </w:r>
                    <w:r w:rsidRPr="00184DA3">
                      <w:rPr>
                        <w:rFonts w:hint="eastAsia"/>
                        <w:sz w:val="18"/>
                        <w:szCs w:val="18"/>
                      </w:rPr>
                      <w:t>价格</w:t>
                    </w:r>
                  </w:p>
                </w:txbxContent>
              </v:textbox>
            </v:shape>
            <v:line id="_x0000_s1033" style="position:absolute" from="5023,3267" to="5493,3673">
              <v:stroke endarrow="block"/>
            </v:line>
            <v:line id="_x0000_s1034" style="position:absolute;flip:y" from="5023,2723" to="5493,3132">
              <v:stroke endarrow="block"/>
            </v:line>
            <v:shape id="_x0000_s1035" type="#_x0000_t202" style="position:absolute;left:5493;top:3402;width:1092;height:410">
              <v:textbox style="mso-next-textbox:#_x0000_s1035">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Pr>
                        <w:rFonts w:hint="eastAsia"/>
                        <w:sz w:val="18"/>
                        <w:szCs w:val="18"/>
                      </w:rPr>
                      <w:t>待抵</w:t>
                    </w:r>
                    <w:r w:rsidRPr="00184DA3">
                      <w:rPr>
                        <w:rFonts w:hint="eastAsia"/>
                        <w:sz w:val="18"/>
                        <w:szCs w:val="18"/>
                      </w:rPr>
                      <w:t>增值税</w:t>
                    </w:r>
                  </w:p>
                </w:txbxContent>
              </v:textbox>
            </v:shape>
            <v:shape id="_x0000_s1036" type="#_x0000_t202" style="position:absolute;left:5493;top:2587;width:1251;height:409">
              <v:textbox style="mso-next-textbox:#_x0000_s1036">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Pr>
                        <w:rFonts w:hint="eastAsia"/>
                        <w:sz w:val="18"/>
                        <w:szCs w:val="18"/>
                      </w:rPr>
                      <w:t>资产入账价格</w:t>
                    </w:r>
                  </w:p>
                </w:txbxContent>
              </v:textbox>
            </v:shape>
            <v:shape id="_x0000_s1037" type="#_x0000_t202" style="position:absolute;left:7058;top:3402;width:1094;height:411">
              <v:textbox style="mso-next-textbox:#_x0000_s1037">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sidRPr="00184DA3">
                      <w:rPr>
                        <w:rFonts w:hint="eastAsia"/>
                        <w:sz w:val="18"/>
                        <w:szCs w:val="18"/>
                      </w:rPr>
                      <w:t>销项增值税</w:t>
                    </w:r>
                  </w:p>
                </w:txbxContent>
              </v:textbox>
            </v:shape>
            <v:shape id="_x0000_s1038" type="#_x0000_t202" style="position:absolute;left:7214;top:2587;width:939;height:409">
              <v:textbox style="mso-next-textbox:#_x0000_s1038">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sidRPr="00184DA3">
                      <w:rPr>
                        <w:rFonts w:hint="eastAsia"/>
                        <w:sz w:val="18"/>
                        <w:szCs w:val="18"/>
                      </w:rPr>
                      <w:t>销售价格</w:t>
                    </w:r>
                  </w:p>
                </w:txbxContent>
              </v:textbox>
            </v:shape>
            <v:line id="_x0000_s1039" style="position:absolute" from="6745,2859" to="7214,2860"/>
            <v:line id="_x0000_s1040" style="position:absolute" from="6588,3674" to="7058,3675"/>
            <v:line id="_x0000_s1041" style="position:absolute" from="2519,2180" to="3771,2180"/>
            <v:line id="_x0000_s1042" style="position:absolute" from="3771,2180" to="3772,4218"/>
            <v:line id="_x0000_s1043" style="position:absolute" from="2519,4218" to="3770,4219"/>
            <v:line id="_x0000_s1044" style="position:absolute" from="5179,2180" to="5180,4218"/>
            <v:line id="_x0000_s1045" style="position:absolute" from="5179,2180" to="8310,2181"/>
            <v:line id="_x0000_s1046" style="position:absolute" from="5179,4218" to="8310,4219"/>
            <v:line id="_x0000_s1047" style="position:absolute" from="8310,2180" to="8312,4218"/>
            <v:line id="_x0000_s1048" style="position:absolute" from="8154,2859" to="8624,3131">
              <v:stroke endarrow="block"/>
            </v:line>
            <v:line id="_x0000_s1049" style="position:absolute;flip:y" from="8154,3131" to="8625,3537">
              <v:stroke endarrow="block"/>
            </v:line>
            <v:shape id="_x0000_s1050" type="#_x0000_t202" style="position:absolute;left:8623;top:2995;width:938;height:407">
              <v:textbox style="mso-next-textbox:#_x0000_s1050">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Pr>
                        <w:rFonts w:hint="eastAsia"/>
                        <w:sz w:val="18"/>
                        <w:szCs w:val="18"/>
                      </w:rPr>
                      <w:t>脱手</w:t>
                    </w:r>
                    <w:r w:rsidRPr="00184DA3">
                      <w:rPr>
                        <w:rFonts w:hint="eastAsia"/>
                        <w:sz w:val="18"/>
                        <w:szCs w:val="18"/>
                      </w:rPr>
                      <w:t>价格</w:t>
                    </w:r>
                  </w:p>
                </w:txbxContent>
              </v:textbox>
            </v:shape>
            <v:line id="_x0000_s1051" style="position:absolute;flip:y" from="9562,2723" to="10033,3132">
              <v:stroke endarrow="block"/>
            </v:line>
            <v:line id="_x0000_s1052" style="position:absolute" from="9562,3267" to="10033,3673">
              <v:stroke endarrow="block"/>
            </v:line>
            <v:line id="_x0000_s1053" style="position:absolute" from="9719,2180" to="9721,4218"/>
            <v:shape id="_x0000_s1054" type="#_x0000_t202" style="position:absolute;left:10032;top:3402;width:1093;height:412">
              <v:textbox style="mso-next-textbox:#_x0000_s1054">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Pr>
                        <w:rFonts w:hint="eastAsia"/>
                        <w:sz w:val="18"/>
                        <w:szCs w:val="18"/>
                      </w:rPr>
                      <w:t>待抵</w:t>
                    </w:r>
                    <w:r w:rsidRPr="00184DA3">
                      <w:rPr>
                        <w:rFonts w:hint="eastAsia"/>
                        <w:sz w:val="18"/>
                        <w:szCs w:val="18"/>
                      </w:rPr>
                      <w:t>增值税</w:t>
                    </w:r>
                  </w:p>
                </w:txbxContent>
              </v:textbox>
            </v:shape>
            <v:shape id="_x0000_s1055" type="#_x0000_t202" style="position:absolute;left:10032;top:2587;width:1250;height:409">
              <v:textbox style="mso-next-textbox:#_x0000_s1055">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Pr>
                        <w:rFonts w:hint="eastAsia"/>
                        <w:sz w:val="18"/>
                        <w:szCs w:val="18"/>
                      </w:rPr>
                      <w:t>资产入账价格</w:t>
                    </w:r>
                  </w:p>
                </w:txbxContent>
              </v:textbox>
            </v:shape>
            <v:line id="_x0000_s1056" style="position:absolute" from="9719,4218" to="11284,4218"/>
            <v:line id="_x0000_s1057" style="position:absolute" from="9719,2180" to="11284,2180"/>
            <v:line id="_x0000_s1058" style="position:absolute;flip:y" from="4553,1907" to="4554,2994">
              <v:stroke endarrow="block"/>
            </v:line>
            <v:line id="_x0000_s1059" style="position:absolute;flip:x y" from="7635,1907" to="7636,2587">
              <v:stroke endarrow="block"/>
            </v:line>
            <v:line id="_x0000_s1060" style="position:absolute;flip:y" from="6164,1909" to="6165,2591">
              <v:stroke endarrow="block"/>
            </v:line>
            <v:shape id="_x0000_s1061" type="#_x0000_t202" style="position:absolute;left:5962;top:1300;width:1878;height:609">
              <v:textbox style="mso-next-textbox:#_x0000_s1061">
                <w:txbxContent>
                  <w:p w:rsidR="00C9636A" w:rsidRDefault="00C9636A" w:rsidP="003313BC">
                    <w:pPr>
                      <w:pBdr>
                        <w:top w:val="none" w:sz="0" w:space="0" w:color="auto"/>
                        <w:left w:val="none" w:sz="0" w:space="0" w:color="auto"/>
                        <w:bottom w:val="none" w:sz="0" w:space="0" w:color="auto"/>
                        <w:right w:val="none" w:sz="0" w:space="0" w:color="auto"/>
                        <w:between w:val="none" w:sz="0" w:space="0" w:color="auto"/>
                      </w:pBdr>
                      <w:spacing w:line="276" w:lineRule="auto"/>
                      <w:rPr>
                        <w:sz w:val="18"/>
                        <w:szCs w:val="18"/>
                      </w:rPr>
                    </w:pPr>
                    <w:r>
                      <w:rPr>
                        <w:rFonts w:hint="eastAsia"/>
                        <w:sz w:val="18"/>
                        <w:szCs w:val="18"/>
                      </w:rPr>
                      <w:t>公允价值会计计量单元</w:t>
                    </w:r>
                  </w:p>
                  <w:p w:rsidR="003313BC" w:rsidRPr="00184DA3" w:rsidRDefault="003313BC" w:rsidP="003313BC">
                    <w:pPr>
                      <w:pBdr>
                        <w:top w:val="none" w:sz="0" w:space="0" w:color="auto"/>
                        <w:left w:val="none" w:sz="0" w:space="0" w:color="auto"/>
                        <w:bottom w:val="none" w:sz="0" w:space="0" w:color="auto"/>
                        <w:right w:val="none" w:sz="0" w:space="0" w:color="auto"/>
                        <w:between w:val="none" w:sz="0" w:space="0" w:color="auto"/>
                      </w:pBdr>
                      <w:spacing w:line="276" w:lineRule="auto"/>
                      <w:rPr>
                        <w:sz w:val="18"/>
                        <w:szCs w:val="18"/>
                      </w:rPr>
                    </w:pPr>
                    <w:r>
                      <w:rPr>
                        <w:rFonts w:hint="eastAsia"/>
                        <w:sz w:val="18"/>
                        <w:szCs w:val="18"/>
                      </w:rPr>
                      <w:t xml:space="preserve">              </w:t>
                    </w:r>
                    <w:r>
                      <w:rPr>
                        <w:rFonts w:hint="eastAsia"/>
                        <w:sz w:val="18"/>
                        <w:szCs w:val="18"/>
                      </w:rPr>
                      <w:t>管理属性</w:t>
                    </w:r>
                  </w:p>
                </w:txbxContent>
              </v:textbox>
            </v:shape>
            <v:line id="_x0000_s1062" style="position:absolute;flip:y" from="9093,1907" to="9094,2997">
              <v:stroke endarrow="block"/>
            </v:line>
            <v:shape id="_x0000_s1063" type="#_x0000_t202" style="position:absolute;left:3614;top:1300;width:1879;height:608">
              <v:textbox style="mso-next-textbox:#_x0000_s1063">
                <w:txbxContent>
                  <w:p w:rsidR="00C9636A" w:rsidRDefault="00C9636A" w:rsidP="003313BC">
                    <w:pPr>
                      <w:pBdr>
                        <w:top w:val="none" w:sz="0" w:space="0" w:color="auto"/>
                        <w:left w:val="none" w:sz="0" w:space="0" w:color="auto"/>
                        <w:bottom w:val="none" w:sz="0" w:space="0" w:color="auto"/>
                        <w:right w:val="none" w:sz="0" w:space="0" w:color="auto"/>
                        <w:between w:val="none" w:sz="0" w:space="0" w:color="auto"/>
                      </w:pBdr>
                      <w:spacing w:line="276" w:lineRule="auto"/>
                      <w:rPr>
                        <w:sz w:val="18"/>
                        <w:szCs w:val="18"/>
                      </w:rPr>
                    </w:pPr>
                    <w:r>
                      <w:rPr>
                        <w:rFonts w:hint="eastAsia"/>
                        <w:sz w:val="18"/>
                        <w:szCs w:val="18"/>
                      </w:rPr>
                      <w:t>公允价值</w:t>
                    </w:r>
                    <w:r w:rsidRPr="0076261F">
                      <w:rPr>
                        <w:rFonts w:hint="eastAsia"/>
                        <w:sz w:val="18"/>
                        <w:szCs w:val="18"/>
                      </w:rPr>
                      <w:t>经济计量</w:t>
                    </w:r>
                    <w:r>
                      <w:rPr>
                        <w:rFonts w:hint="eastAsia"/>
                        <w:sz w:val="18"/>
                        <w:szCs w:val="18"/>
                      </w:rPr>
                      <w:t>单元</w:t>
                    </w:r>
                  </w:p>
                  <w:p w:rsidR="003313BC" w:rsidRPr="00184DA3" w:rsidRDefault="003313BC" w:rsidP="003313BC">
                    <w:pPr>
                      <w:pBdr>
                        <w:top w:val="none" w:sz="0" w:space="0" w:color="auto"/>
                        <w:left w:val="none" w:sz="0" w:space="0" w:color="auto"/>
                        <w:bottom w:val="none" w:sz="0" w:space="0" w:color="auto"/>
                        <w:right w:val="none" w:sz="0" w:space="0" w:color="auto"/>
                        <w:between w:val="none" w:sz="0" w:space="0" w:color="auto"/>
                      </w:pBdr>
                      <w:spacing w:line="276" w:lineRule="auto"/>
                      <w:rPr>
                        <w:sz w:val="18"/>
                        <w:szCs w:val="18"/>
                      </w:rPr>
                    </w:pPr>
                    <w:r>
                      <w:rPr>
                        <w:rFonts w:hint="eastAsia"/>
                        <w:sz w:val="18"/>
                        <w:szCs w:val="18"/>
                      </w:rPr>
                      <w:t xml:space="preserve">            </w:t>
                    </w:r>
                    <w:r>
                      <w:rPr>
                        <w:rFonts w:hint="eastAsia"/>
                        <w:sz w:val="18"/>
                        <w:szCs w:val="18"/>
                      </w:rPr>
                      <w:t>自然属性</w:t>
                    </w:r>
                  </w:p>
                </w:txbxContent>
              </v:textbox>
            </v:shape>
            <v:shape id="_x0000_s1064" type="#_x0000_t202" style="position:absolute;left:8087;top:1300;width:1879;height:609">
              <v:textbox style="mso-next-textbox:#_x0000_s1064">
                <w:txbxContent>
                  <w:p w:rsidR="00C9636A" w:rsidRDefault="00C9636A" w:rsidP="003313BC">
                    <w:pPr>
                      <w:pBdr>
                        <w:top w:val="none" w:sz="0" w:space="0" w:color="auto"/>
                        <w:left w:val="none" w:sz="0" w:space="0" w:color="auto"/>
                        <w:bottom w:val="none" w:sz="0" w:space="0" w:color="auto"/>
                        <w:right w:val="none" w:sz="0" w:space="0" w:color="auto"/>
                        <w:between w:val="none" w:sz="0" w:space="0" w:color="auto"/>
                      </w:pBdr>
                      <w:spacing w:line="276" w:lineRule="auto"/>
                      <w:rPr>
                        <w:sz w:val="18"/>
                        <w:szCs w:val="18"/>
                      </w:rPr>
                    </w:pPr>
                    <w:r>
                      <w:rPr>
                        <w:rFonts w:hint="eastAsia"/>
                        <w:sz w:val="18"/>
                        <w:szCs w:val="18"/>
                      </w:rPr>
                      <w:t>公允价值</w:t>
                    </w:r>
                    <w:r w:rsidRPr="0076261F">
                      <w:rPr>
                        <w:rFonts w:hint="eastAsia"/>
                        <w:sz w:val="18"/>
                        <w:szCs w:val="18"/>
                      </w:rPr>
                      <w:t>经济</w:t>
                    </w:r>
                    <w:r>
                      <w:rPr>
                        <w:rFonts w:hint="eastAsia"/>
                        <w:sz w:val="18"/>
                        <w:szCs w:val="18"/>
                      </w:rPr>
                      <w:t>计量单元</w:t>
                    </w:r>
                  </w:p>
                  <w:p w:rsidR="003313BC" w:rsidRPr="00184DA3" w:rsidRDefault="003313BC" w:rsidP="003313BC">
                    <w:pPr>
                      <w:pBdr>
                        <w:top w:val="none" w:sz="0" w:space="0" w:color="auto"/>
                        <w:left w:val="none" w:sz="0" w:space="0" w:color="auto"/>
                        <w:bottom w:val="none" w:sz="0" w:space="0" w:color="auto"/>
                        <w:right w:val="none" w:sz="0" w:space="0" w:color="auto"/>
                        <w:between w:val="none" w:sz="0" w:space="0" w:color="auto"/>
                      </w:pBdr>
                      <w:spacing w:line="276" w:lineRule="auto"/>
                      <w:rPr>
                        <w:sz w:val="18"/>
                        <w:szCs w:val="18"/>
                      </w:rPr>
                    </w:pPr>
                    <w:r>
                      <w:rPr>
                        <w:rFonts w:hint="eastAsia"/>
                        <w:sz w:val="18"/>
                        <w:szCs w:val="18"/>
                      </w:rPr>
                      <w:t xml:space="preserve">              </w:t>
                    </w:r>
                    <w:r>
                      <w:rPr>
                        <w:rFonts w:hint="eastAsia"/>
                        <w:sz w:val="18"/>
                        <w:szCs w:val="18"/>
                      </w:rPr>
                      <w:t>自然属性</w:t>
                    </w:r>
                  </w:p>
                </w:txbxContent>
              </v:textbox>
            </v:shape>
            <v:line id="_x0000_s1065" style="position:absolute" from="6745,4218" to="6746,4490">
              <v:stroke endarrow="block"/>
            </v:line>
            <v:line id="_x0000_s1066" style="position:absolute" from="3145,4218" to="3146,4490">
              <v:stroke endarrow="block"/>
            </v:line>
            <v:line id="_x0000_s1067" style="position:absolute" from="10658,4218" to="10659,4490">
              <v:stroke endarrow="block"/>
            </v:line>
            <v:shape id="_x0000_s1068" type="#_x0000_t202" style="position:absolute;left:6275;top:4490;width:1094;height:410">
              <v:textbox style="mso-next-textbox:#_x0000_s1068">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Pr>
                        <w:rFonts w:hint="eastAsia"/>
                        <w:sz w:val="18"/>
                        <w:szCs w:val="18"/>
                      </w:rPr>
                      <w:t>会计主体</w:t>
                    </w:r>
                    <w:r>
                      <w:rPr>
                        <w:sz w:val="18"/>
                        <w:szCs w:val="18"/>
                      </w:rPr>
                      <w:t>B</w:t>
                    </w:r>
                  </w:p>
                </w:txbxContent>
              </v:textbox>
            </v:shape>
            <v:shape id="_x0000_s1069" type="#_x0000_t202" style="position:absolute;left:2519;top:4490;width:1094;height:409">
              <v:textbox style="mso-next-textbox:#_x0000_s1069">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Pr>
                        <w:rFonts w:hint="eastAsia"/>
                        <w:sz w:val="18"/>
                        <w:szCs w:val="18"/>
                      </w:rPr>
                      <w:t>会计主体</w:t>
                    </w:r>
                    <w:r>
                      <w:rPr>
                        <w:sz w:val="18"/>
                        <w:szCs w:val="18"/>
                      </w:rPr>
                      <w:t>A</w:t>
                    </w:r>
                  </w:p>
                </w:txbxContent>
              </v:textbox>
            </v:shape>
            <v:shape id="_x0000_s1070" type="#_x0000_t202" style="position:absolute;left:10032;top:4489;width:1095;height:411">
              <v:textbox style="mso-next-textbox:#_x0000_s1070">
                <w:txbxContent>
                  <w:p w:rsidR="00C9636A" w:rsidRPr="00184DA3"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Pr>
                        <w:rFonts w:hint="eastAsia"/>
                        <w:sz w:val="18"/>
                        <w:szCs w:val="18"/>
                      </w:rPr>
                      <w:t>会计主体</w:t>
                    </w:r>
                    <w:r>
                      <w:rPr>
                        <w:sz w:val="18"/>
                        <w:szCs w:val="18"/>
                      </w:rPr>
                      <w:t>C</w:t>
                    </w:r>
                  </w:p>
                </w:txbxContent>
              </v:textbox>
            </v:shape>
            <v:line id="_x0000_s1071" style="position:absolute;flip:y" from="6902,956" to="6903,1300">
              <v:stroke endarrow="block"/>
            </v:line>
            <v:line id="_x0000_s1072" style="position:absolute;flip:y" from="4741,956" to="4742,1300">
              <v:stroke endarrow="block"/>
            </v:line>
            <v:line id="_x0000_s1073" style="position:absolute;flip:x y" from="8979,956" to="8980,1300">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74" type="#_x0000_t63" style="position:absolute;left:6275;top:2995;width:1096;height:419;rotation:11407055fd" adj="3752,26681">
              <v:textbox style="mso-next-textbox:#_x0000_s1074">
                <w:txbxContent>
                  <w:p w:rsidR="00C9636A" w:rsidRPr="0097277E" w:rsidRDefault="00C9636A" w:rsidP="00310C57">
                    <w:pPr>
                      <w:pBdr>
                        <w:top w:val="none" w:sz="0" w:space="0" w:color="auto"/>
                        <w:left w:val="none" w:sz="0" w:space="0" w:color="auto"/>
                        <w:bottom w:val="none" w:sz="0" w:space="0" w:color="auto"/>
                        <w:right w:val="none" w:sz="0" w:space="0" w:color="auto"/>
                        <w:between w:val="none" w:sz="0" w:space="0" w:color="auto"/>
                      </w:pBdr>
                      <w:rPr>
                        <w:sz w:val="18"/>
                        <w:szCs w:val="18"/>
                      </w:rPr>
                    </w:pPr>
                    <w:r w:rsidRPr="00310C57">
                      <w:rPr>
                        <w:rFonts w:hint="eastAsia"/>
                        <w:spacing w:val="-10"/>
                        <w:sz w:val="15"/>
                        <w:szCs w:val="15"/>
                      </w:rPr>
                      <w:t>加工销</w:t>
                    </w:r>
                    <w:r w:rsidRPr="00310C57">
                      <w:rPr>
                        <w:rFonts w:hint="eastAsia"/>
                        <w:sz w:val="15"/>
                        <w:szCs w:val="15"/>
                      </w:rPr>
                      <w:t>售</w:t>
                    </w:r>
                  </w:p>
                </w:txbxContent>
              </v:textbox>
              <o:callout v:ext="edit" on="t" lengthspecified="t"/>
            </v:shape>
            <v:shape id="_x0000_s1075" type="#_x0000_t63" style="position:absolute;left:5962;top:3810;width:1252;height:408;rotation:180" adj="4949,28107">
              <v:textbox style="mso-next-textbox:#_x0000_s1075">
                <w:txbxContent>
                  <w:p w:rsidR="00C9636A" w:rsidRPr="0097277E" w:rsidRDefault="00C9636A" w:rsidP="00310C57">
                    <w:pPr>
                      <w:pBdr>
                        <w:top w:val="none" w:sz="0" w:space="0" w:color="auto"/>
                        <w:left w:val="none" w:sz="0" w:space="0" w:color="auto"/>
                        <w:bottom w:val="none" w:sz="0" w:space="0" w:color="auto"/>
                        <w:right w:val="none" w:sz="0" w:space="0" w:color="auto"/>
                        <w:between w:val="none" w:sz="0" w:space="0" w:color="auto"/>
                      </w:pBdr>
                      <w:rPr>
                        <w:spacing w:val="-10"/>
                        <w:sz w:val="18"/>
                        <w:szCs w:val="18"/>
                      </w:rPr>
                    </w:pPr>
                    <w:r w:rsidRPr="0097277E">
                      <w:rPr>
                        <w:rFonts w:hint="eastAsia"/>
                        <w:spacing w:val="-10"/>
                        <w:sz w:val="18"/>
                        <w:szCs w:val="18"/>
                      </w:rPr>
                      <w:t>单独计</w:t>
                    </w:r>
                    <w:r>
                      <w:rPr>
                        <w:rFonts w:hint="eastAsia"/>
                        <w:spacing w:val="-10"/>
                        <w:sz w:val="18"/>
                        <w:szCs w:val="18"/>
                      </w:rPr>
                      <w:t>税差</w:t>
                    </w:r>
                  </w:p>
                </w:txbxContent>
              </v:textbox>
              <o:callout v:ext="edit" on="t" lengthspecified="t"/>
            </v:shape>
            <v:shape id="_x0000_s1076" type="#_x0000_t202" style="position:absolute;left:4201;top:548;width:5419;height:410">
              <v:textbox style="mso-next-textbox:#_x0000_s1076">
                <w:txbxContent>
                  <w:p w:rsidR="00C9636A" w:rsidRPr="009F211F" w:rsidRDefault="009F211F" w:rsidP="009F211F">
                    <w:pPr>
                      <w:pBdr>
                        <w:top w:val="none" w:sz="0" w:space="0" w:color="auto"/>
                        <w:left w:val="none" w:sz="0" w:space="0" w:color="auto"/>
                        <w:bottom w:val="none" w:sz="0" w:space="0" w:color="auto"/>
                        <w:right w:val="none" w:sz="0" w:space="0" w:color="auto"/>
                        <w:between w:val="none" w:sz="0" w:space="0" w:color="auto"/>
                      </w:pBdr>
                      <w:jc w:val="distribute"/>
                      <w:rPr>
                        <w:b/>
                        <w:sz w:val="18"/>
                        <w:szCs w:val="18"/>
                      </w:rPr>
                    </w:pPr>
                    <w:r w:rsidRPr="009F211F">
                      <w:rPr>
                        <w:rFonts w:hint="eastAsia"/>
                        <w:b/>
                        <w:sz w:val="18"/>
                        <w:szCs w:val="18"/>
                      </w:rPr>
                      <w:t xml:space="preserve">   </w:t>
                    </w:r>
                    <w:r w:rsidR="00C9636A" w:rsidRPr="009F211F">
                      <w:rPr>
                        <w:rFonts w:hint="eastAsia"/>
                        <w:b/>
                        <w:sz w:val="18"/>
                        <w:szCs w:val="18"/>
                      </w:rPr>
                      <w:t>公允价值计量</w:t>
                    </w:r>
                    <w:r w:rsidR="007F727E">
                      <w:rPr>
                        <w:rFonts w:hint="eastAsia"/>
                        <w:b/>
                        <w:sz w:val="18"/>
                        <w:szCs w:val="18"/>
                      </w:rPr>
                      <w:t>属性</w:t>
                    </w:r>
                  </w:p>
                </w:txbxContent>
              </v:textbox>
            </v:shape>
            <w10:wrap type="none"/>
            <w10:anchorlock/>
          </v:group>
        </w:pict>
      </w:r>
    </w:p>
    <w:p w:rsidR="00C9636A" w:rsidRPr="00847DD7" w:rsidRDefault="00C9636A" w:rsidP="00F455D2">
      <w:pPr>
        <w:pBdr>
          <w:top w:val="none" w:sz="0" w:space="0" w:color="auto"/>
          <w:left w:val="none" w:sz="0" w:space="0" w:color="auto"/>
          <w:bottom w:val="none" w:sz="0" w:space="0" w:color="auto"/>
          <w:right w:val="none" w:sz="0" w:space="0" w:color="auto"/>
          <w:between w:val="none" w:sz="0" w:space="0" w:color="auto"/>
        </w:pBdr>
        <w:spacing w:line="264" w:lineRule="auto"/>
        <w:ind w:firstLineChars="1000" w:firstLine="2100"/>
      </w:pPr>
      <w:r w:rsidRPr="00847DD7">
        <w:rPr>
          <w:rFonts w:hint="eastAsia"/>
        </w:rPr>
        <w:t>图</w:t>
      </w:r>
      <w:r>
        <w:t>1</w:t>
      </w:r>
      <w:r w:rsidRPr="00847DD7">
        <w:rPr>
          <w:rFonts w:hint="eastAsia"/>
        </w:rPr>
        <w:t>：公允价值计量单</w:t>
      </w:r>
      <w:r>
        <w:rPr>
          <w:rFonts w:hint="eastAsia"/>
        </w:rPr>
        <w:t>元与会计主体</w:t>
      </w:r>
      <w:r w:rsidRPr="00847DD7">
        <w:rPr>
          <w:rFonts w:hint="eastAsia"/>
        </w:rPr>
        <w:t>关系图</w:t>
      </w:r>
    </w:p>
    <w:p w:rsidR="007F727E" w:rsidRPr="00080C25" w:rsidRDefault="007F727E" w:rsidP="00080C25">
      <w:p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b/>
          <w:kern w:val="0"/>
          <w:szCs w:val="21"/>
        </w:rPr>
      </w:pPr>
    </w:p>
    <w:p w:rsidR="007F727E" w:rsidRPr="00080C25" w:rsidRDefault="007F727E" w:rsidP="00080C25">
      <w:pPr>
        <w:pStyle w:val="a3"/>
        <w:numPr>
          <w:ilvl w:val="0"/>
          <w:numId w:val="22"/>
        </w:num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b/>
          <w:kern w:val="0"/>
          <w:szCs w:val="21"/>
        </w:rPr>
      </w:pPr>
      <w:r w:rsidRPr="00080C25">
        <w:rPr>
          <w:rFonts w:asciiTheme="minorEastAsia" w:eastAsiaTheme="minorEastAsia" w:hAnsiTheme="minorEastAsia" w:cs="宋体" w:hint="eastAsia"/>
          <w:b/>
          <w:kern w:val="0"/>
          <w:szCs w:val="21"/>
        </w:rPr>
        <w:t>释义</w:t>
      </w:r>
      <w:r w:rsidR="003313BC">
        <w:rPr>
          <w:rFonts w:asciiTheme="minorEastAsia" w:eastAsiaTheme="minorEastAsia" w:hAnsiTheme="minorEastAsia" w:cs="宋体" w:hint="eastAsia"/>
          <w:b/>
          <w:kern w:val="0"/>
          <w:szCs w:val="21"/>
        </w:rPr>
        <w:t>计量单元定义中的</w:t>
      </w:r>
      <w:r w:rsidR="008D4E25" w:rsidRPr="00080C25">
        <w:rPr>
          <w:rFonts w:asciiTheme="minorEastAsia" w:eastAsiaTheme="minorEastAsia" w:hAnsiTheme="minorEastAsia" w:cs="宋体" w:hint="eastAsia"/>
          <w:b/>
          <w:kern w:val="0"/>
          <w:szCs w:val="21"/>
        </w:rPr>
        <w:t>相关</w:t>
      </w:r>
      <w:r w:rsidRPr="00080C25">
        <w:rPr>
          <w:rFonts w:asciiTheme="minorEastAsia" w:eastAsiaTheme="minorEastAsia" w:hAnsiTheme="minorEastAsia" w:cs="宋体" w:hint="eastAsia"/>
          <w:b/>
          <w:kern w:val="0"/>
          <w:szCs w:val="21"/>
        </w:rPr>
        <w:t>名词</w:t>
      </w:r>
      <w:r w:rsidR="008D4E25" w:rsidRPr="00080C25">
        <w:rPr>
          <w:rFonts w:asciiTheme="minorEastAsia" w:eastAsiaTheme="minorEastAsia" w:hAnsiTheme="minorEastAsia" w:cs="宋体" w:hint="eastAsia"/>
          <w:b/>
          <w:kern w:val="0"/>
          <w:szCs w:val="21"/>
        </w:rPr>
        <w:t>--</w:t>
      </w:r>
      <w:r w:rsidRPr="00080C25">
        <w:rPr>
          <w:rFonts w:asciiTheme="minorEastAsia" w:eastAsiaTheme="minorEastAsia" w:hAnsiTheme="minorEastAsia" w:cs="宋体" w:hint="eastAsia"/>
          <w:b/>
          <w:kern w:val="0"/>
          <w:szCs w:val="21"/>
        </w:rPr>
        <w:t>公允价值</w:t>
      </w:r>
    </w:p>
    <w:p w:rsidR="007F727E" w:rsidRPr="00080C25" w:rsidRDefault="007F727E"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我国公允价值准则的定义是（</w:t>
      </w:r>
      <w:r w:rsidRPr="00080C25">
        <w:rPr>
          <w:rFonts w:asciiTheme="minorEastAsia" w:eastAsiaTheme="minorEastAsia" w:hAnsiTheme="minorEastAsia"/>
          <w:szCs w:val="21"/>
        </w:rPr>
        <w:t>CAS39</w:t>
      </w:r>
      <w:r w:rsidRPr="00080C25">
        <w:rPr>
          <w:rFonts w:asciiTheme="minorEastAsia" w:eastAsiaTheme="minorEastAsia" w:hAnsiTheme="minorEastAsia" w:hint="eastAsia"/>
          <w:szCs w:val="21"/>
        </w:rPr>
        <w:t>）：“公允价值，是指市场参与者在计量日发生的有序交易中，出售一项资产所能收到或者转移一项负债所需</w:t>
      </w:r>
      <w:r w:rsidRPr="00080C25">
        <w:rPr>
          <w:rFonts w:asciiTheme="minorEastAsia" w:eastAsiaTheme="minorEastAsia" w:hAnsiTheme="minorEastAsia" w:hint="eastAsia"/>
          <w:szCs w:val="21"/>
          <w:u w:val="single"/>
        </w:rPr>
        <w:t>支付的价格</w:t>
      </w:r>
      <w:r w:rsidRPr="00080C25">
        <w:rPr>
          <w:rFonts w:asciiTheme="minorEastAsia" w:eastAsiaTheme="minorEastAsia" w:hAnsiTheme="minorEastAsia" w:hint="eastAsia"/>
          <w:szCs w:val="21"/>
        </w:rPr>
        <w:t>”</w:t>
      </w:r>
      <w:r w:rsidRPr="00080C25">
        <w:rPr>
          <w:rFonts w:asciiTheme="minorEastAsia" w:eastAsiaTheme="minorEastAsia" w:hAnsiTheme="minorEastAsia"/>
          <w:szCs w:val="21"/>
        </w:rPr>
        <w:t>(39</w:t>
      </w:r>
      <w:r w:rsidRPr="00080C25">
        <w:rPr>
          <w:rFonts w:asciiTheme="minorEastAsia" w:eastAsiaTheme="minorEastAsia" w:hAnsiTheme="minorEastAsia" w:hint="eastAsia"/>
          <w:szCs w:val="21"/>
        </w:rPr>
        <w:t>号准则第一章第二条</w:t>
      </w:r>
      <w:r w:rsidRPr="00080C25">
        <w:rPr>
          <w:rFonts w:asciiTheme="minorEastAsia" w:eastAsiaTheme="minorEastAsia" w:hAnsiTheme="minorEastAsia"/>
          <w:szCs w:val="21"/>
        </w:rPr>
        <w:t>)</w:t>
      </w:r>
    </w:p>
    <w:p w:rsidR="007F727E" w:rsidRPr="00080C25" w:rsidRDefault="007F727E"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bCs/>
          <w:i/>
          <w:iCs/>
          <w:szCs w:val="21"/>
        </w:rPr>
      </w:pPr>
      <w:r w:rsidRPr="00080C25">
        <w:rPr>
          <w:rFonts w:asciiTheme="minorEastAsia" w:eastAsiaTheme="minorEastAsia" w:hAnsiTheme="minorEastAsia" w:hint="eastAsia"/>
          <w:szCs w:val="21"/>
        </w:rPr>
        <w:t>国际会计准则理事会的定义是（</w:t>
      </w:r>
      <w:r w:rsidRPr="00080C25">
        <w:rPr>
          <w:rFonts w:asciiTheme="minorEastAsia" w:eastAsiaTheme="minorEastAsia" w:hAnsiTheme="minorEastAsia"/>
          <w:szCs w:val="21"/>
        </w:rPr>
        <w:t>IFRS13</w:t>
      </w:r>
      <w:r w:rsidRPr="00080C25">
        <w:rPr>
          <w:rFonts w:asciiTheme="minorEastAsia" w:eastAsiaTheme="minorEastAsia" w:hAnsiTheme="minorEastAsia" w:hint="eastAsia"/>
          <w:szCs w:val="21"/>
        </w:rPr>
        <w:t>）：公允价值是在计量日的有序交易中，市场参与者之间出售一项资产所能收到或转移一项负债将会</w:t>
      </w:r>
      <w:r w:rsidRPr="00080C25">
        <w:rPr>
          <w:rFonts w:asciiTheme="minorEastAsia" w:eastAsiaTheme="minorEastAsia" w:hAnsiTheme="minorEastAsia" w:hint="eastAsia"/>
          <w:szCs w:val="21"/>
          <w:u w:val="single"/>
        </w:rPr>
        <w:t>支付的</w:t>
      </w:r>
      <w:r w:rsidRPr="00080C25">
        <w:rPr>
          <w:rFonts w:asciiTheme="minorEastAsia" w:eastAsiaTheme="minorEastAsia" w:hAnsiTheme="minorEastAsia" w:hint="eastAsia"/>
          <w:bCs/>
          <w:iCs/>
          <w:szCs w:val="21"/>
          <w:u w:val="single"/>
        </w:rPr>
        <w:t>价格</w:t>
      </w:r>
      <w:r w:rsidRPr="00080C25">
        <w:rPr>
          <w:rFonts w:asciiTheme="minorEastAsia" w:eastAsiaTheme="minorEastAsia" w:hAnsiTheme="minorEastAsia" w:hint="eastAsia"/>
          <w:bCs/>
          <w:iCs/>
          <w:szCs w:val="21"/>
        </w:rPr>
        <w:t>（退出价格）</w:t>
      </w:r>
    </w:p>
    <w:p w:rsidR="007F727E" w:rsidRPr="00080C25" w:rsidRDefault="007F727E"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美国会计准则委员会的定义是（</w:t>
      </w:r>
      <w:r w:rsidRPr="00080C25">
        <w:rPr>
          <w:rFonts w:asciiTheme="minorEastAsia" w:eastAsiaTheme="minorEastAsia" w:hAnsiTheme="minorEastAsia"/>
          <w:szCs w:val="21"/>
        </w:rPr>
        <w:t>SFAS15</w:t>
      </w:r>
      <w:r w:rsidRPr="00080C25">
        <w:rPr>
          <w:rFonts w:asciiTheme="minorEastAsia" w:eastAsiaTheme="minorEastAsia" w:hAnsiTheme="minorEastAsia" w:hint="eastAsia"/>
          <w:szCs w:val="21"/>
        </w:rPr>
        <w:t>7）：公允价值是指在计量日市场参与者之间的有序交易中，出售资产收到的或转让负债</w:t>
      </w:r>
      <w:r w:rsidRPr="00080C25">
        <w:rPr>
          <w:rFonts w:asciiTheme="minorEastAsia" w:eastAsiaTheme="minorEastAsia" w:hAnsiTheme="minorEastAsia" w:hint="eastAsia"/>
          <w:szCs w:val="21"/>
          <w:u w:val="single"/>
        </w:rPr>
        <w:t>支付的价格</w:t>
      </w:r>
      <w:r w:rsidRPr="00080C25">
        <w:rPr>
          <w:rFonts w:asciiTheme="minorEastAsia" w:eastAsiaTheme="minorEastAsia" w:hAnsiTheme="minorEastAsia" w:hint="eastAsia"/>
          <w:szCs w:val="21"/>
        </w:rPr>
        <w:t>。</w:t>
      </w:r>
    </w:p>
    <w:p w:rsidR="007F727E" w:rsidRPr="00080C25" w:rsidRDefault="007F727E"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三者定义的表述虽然略有差异，但其本质完全相同。公允价值都是“</w:t>
      </w:r>
      <w:r w:rsidRPr="00080C25">
        <w:rPr>
          <w:rFonts w:asciiTheme="minorEastAsia" w:eastAsiaTheme="minorEastAsia" w:hAnsiTheme="minorEastAsia" w:hint="eastAsia"/>
          <w:szCs w:val="21"/>
          <w:u w:val="single"/>
        </w:rPr>
        <w:t>出售资产收到的或转让负债支付的价格”</w:t>
      </w:r>
      <w:r w:rsidRPr="00080C25">
        <w:rPr>
          <w:rFonts w:asciiTheme="minorEastAsia" w:eastAsiaTheme="minorEastAsia" w:hAnsiTheme="minorEastAsia" w:hint="eastAsia"/>
          <w:szCs w:val="21"/>
        </w:rPr>
        <w:t>。</w:t>
      </w:r>
      <w:r w:rsidRPr="00080C25">
        <w:rPr>
          <w:rFonts w:asciiTheme="minorEastAsia" w:eastAsiaTheme="minorEastAsia" w:hAnsiTheme="minorEastAsia"/>
          <w:szCs w:val="21"/>
        </w:rPr>
        <w:t xml:space="preserve"> IFRS13</w:t>
      </w:r>
      <w:r w:rsidRPr="00080C25">
        <w:rPr>
          <w:rFonts w:asciiTheme="minorEastAsia" w:eastAsiaTheme="minorEastAsia" w:hAnsiTheme="minorEastAsia" w:hint="eastAsia"/>
          <w:szCs w:val="21"/>
        </w:rPr>
        <w:t>和</w:t>
      </w:r>
      <w:r w:rsidRPr="00080C25">
        <w:rPr>
          <w:rFonts w:asciiTheme="minorEastAsia" w:eastAsiaTheme="minorEastAsia" w:hAnsiTheme="minorEastAsia"/>
          <w:szCs w:val="21"/>
        </w:rPr>
        <w:t>SFAS15</w:t>
      </w:r>
      <w:r w:rsidRPr="00080C25">
        <w:rPr>
          <w:rFonts w:asciiTheme="minorEastAsia" w:eastAsiaTheme="minorEastAsia" w:hAnsiTheme="minorEastAsia" w:hint="eastAsia"/>
          <w:szCs w:val="21"/>
        </w:rPr>
        <w:t>7的英文表述完全相同（</w:t>
      </w:r>
      <w:r w:rsidRPr="00080C25">
        <w:rPr>
          <w:rFonts w:asciiTheme="minorEastAsia" w:eastAsiaTheme="minorEastAsia" w:hAnsiTheme="minorEastAsia"/>
          <w:bCs/>
          <w:iCs/>
          <w:kern w:val="0"/>
          <w:szCs w:val="21"/>
        </w:rPr>
        <w:t>“The price that would be received to sell an asset or paid to transfer a liability in an orderly transaction between market participants at the measurement date.”</w:t>
      </w:r>
      <w:r w:rsidRPr="00080C25">
        <w:rPr>
          <w:rFonts w:asciiTheme="minorEastAsia" w:eastAsiaTheme="minorEastAsia" w:hAnsiTheme="minorEastAsia" w:hint="eastAsia"/>
          <w:szCs w:val="21"/>
        </w:rPr>
        <w:t>），只是中文翻译不同。</w:t>
      </w:r>
    </w:p>
    <w:p w:rsidR="00333465" w:rsidRPr="00080C25" w:rsidRDefault="00333465"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试析一项购销业务中的公允价值，交易双方都是增值税一般纳税人，税率都是</w:t>
      </w:r>
      <w:r w:rsidRPr="00080C25">
        <w:rPr>
          <w:rFonts w:asciiTheme="minorEastAsia" w:eastAsiaTheme="minorEastAsia" w:hAnsiTheme="minorEastAsia"/>
          <w:szCs w:val="21"/>
        </w:rPr>
        <w:t>1</w:t>
      </w:r>
      <w:r w:rsidRPr="00080C25">
        <w:rPr>
          <w:rFonts w:asciiTheme="minorEastAsia" w:eastAsiaTheme="minorEastAsia" w:hAnsiTheme="minorEastAsia" w:hint="eastAsia"/>
          <w:szCs w:val="21"/>
        </w:rPr>
        <w:t>3</w:t>
      </w:r>
      <w:r w:rsidRPr="00080C25">
        <w:rPr>
          <w:rFonts w:asciiTheme="minorEastAsia" w:eastAsiaTheme="minorEastAsia" w:hAnsiTheme="minorEastAsia"/>
          <w:szCs w:val="21"/>
        </w:rPr>
        <w:t>%</w:t>
      </w:r>
      <w:r w:rsidRPr="00080C25">
        <w:rPr>
          <w:rFonts w:asciiTheme="minorEastAsia" w:eastAsiaTheme="minorEastAsia" w:hAnsiTheme="minorEastAsia" w:hint="eastAsia"/>
          <w:szCs w:val="21"/>
        </w:rPr>
        <w:t>，市场环境有效，购买方付出</w:t>
      </w:r>
      <w:r w:rsidRPr="00080C25">
        <w:rPr>
          <w:rFonts w:asciiTheme="minorEastAsia" w:eastAsiaTheme="minorEastAsia" w:hAnsiTheme="minorEastAsia"/>
          <w:szCs w:val="21"/>
        </w:rPr>
        <w:t>11</w:t>
      </w:r>
      <w:r w:rsidRPr="00080C25">
        <w:rPr>
          <w:rFonts w:asciiTheme="minorEastAsia" w:eastAsiaTheme="minorEastAsia" w:hAnsiTheme="minorEastAsia" w:hint="eastAsia"/>
          <w:szCs w:val="21"/>
        </w:rPr>
        <w:t>3</w:t>
      </w:r>
      <w:r w:rsidRPr="00080C25">
        <w:rPr>
          <w:rFonts w:asciiTheme="minorEastAsia" w:eastAsiaTheme="minorEastAsia" w:hAnsiTheme="minorEastAsia"/>
          <w:szCs w:val="21"/>
        </w:rPr>
        <w:t>0</w:t>
      </w:r>
      <w:r w:rsidRPr="00080C25">
        <w:rPr>
          <w:rFonts w:asciiTheme="minorEastAsia" w:eastAsiaTheme="minorEastAsia" w:hAnsiTheme="minorEastAsia" w:hint="eastAsia"/>
          <w:szCs w:val="21"/>
        </w:rPr>
        <w:t>元的价税总代价，销售方收到</w:t>
      </w:r>
      <w:r w:rsidRPr="00080C25">
        <w:rPr>
          <w:rFonts w:asciiTheme="minorEastAsia" w:eastAsiaTheme="minorEastAsia" w:hAnsiTheme="minorEastAsia"/>
          <w:szCs w:val="21"/>
        </w:rPr>
        <w:t>11</w:t>
      </w:r>
      <w:r w:rsidRPr="00080C25">
        <w:rPr>
          <w:rFonts w:asciiTheme="minorEastAsia" w:eastAsiaTheme="minorEastAsia" w:hAnsiTheme="minorEastAsia" w:hint="eastAsia"/>
          <w:szCs w:val="21"/>
        </w:rPr>
        <w:t>3</w:t>
      </w:r>
      <w:r w:rsidRPr="00080C25">
        <w:rPr>
          <w:rFonts w:asciiTheme="minorEastAsia" w:eastAsiaTheme="minorEastAsia" w:hAnsiTheme="minorEastAsia"/>
          <w:szCs w:val="21"/>
        </w:rPr>
        <w:t>0</w:t>
      </w:r>
      <w:r w:rsidRPr="00080C25">
        <w:rPr>
          <w:rFonts w:asciiTheme="minorEastAsia" w:eastAsiaTheme="minorEastAsia" w:hAnsiTheme="minorEastAsia" w:hint="eastAsia"/>
          <w:szCs w:val="21"/>
        </w:rPr>
        <w:t>元的总对价；会计实务中，购买方计入资产成本的公允价值是</w:t>
      </w:r>
      <w:r w:rsidRPr="00080C25">
        <w:rPr>
          <w:rFonts w:asciiTheme="minorEastAsia" w:eastAsiaTheme="minorEastAsia" w:hAnsiTheme="minorEastAsia"/>
          <w:szCs w:val="21"/>
        </w:rPr>
        <w:t>1000</w:t>
      </w:r>
      <w:r w:rsidR="0094504C" w:rsidRPr="00080C25">
        <w:rPr>
          <w:rFonts w:asciiTheme="minorEastAsia" w:eastAsiaTheme="minorEastAsia" w:hAnsiTheme="minorEastAsia" w:hint="eastAsia"/>
          <w:szCs w:val="21"/>
        </w:rPr>
        <w:t>元；</w:t>
      </w:r>
      <w:r w:rsidRPr="00080C25">
        <w:rPr>
          <w:rFonts w:asciiTheme="minorEastAsia" w:eastAsiaTheme="minorEastAsia" w:hAnsiTheme="minorEastAsia"/>
          <w:szCs w:val="21"/>
        </w:rPr>
        <w:t xml:space="preserve"> 11</w:t>
      </w:r>
      <w:r w:rsidRPr="00080C25">
        <w:rPr>
          <w:rFonts w:asciiTheme="minorEastAsia" w:eastAsiaTheme="minorEastAsia" w:hAnsiTheme="minorEastAsia" w:hint="eastAsia"/>
          <w:szCs w:val="21"/>
        </w:rPr>
        <w:t>3</w:t>
      </w:r>
      <w:r w:rsidRPr="00080C25">
        <w:rPr>
          <w:rFonts w:asciiTheme="minorEastAsia" w:eastAsiaTheme="minorEastAsia" w:hAnsiTheme="minorEastAsia"/>
          <w:szCs w:val="21"/>
        </w:rPr>
        <w:t>0</w:t>
      </w:r>
      <w:r w:rsidRPr="00080C25">
        <w:rPr>
          <w:rFonts w:asciiTheme="minorEastAsia" w:eastAsiaTheme="minorEastAsia" w:hAnsiTheme="minorEastAsia" w:hint="eastAsia"/>
          <w:szCs w:val="21"/>
        </w:rPr>
        <w:t>元不是资产的公允价值吗？</w:t>
      </w:r>
      <w:r w:rsidRPr="00080C25">
        <w:rPr>
          <w:rFonts w:asciiTheme="minorEastAsia" w:eastAsiaTheme="minorEastAsia" w:hAnsiTheme="minorEastAsia"/>
          <w:szCs w:val="21"/>
        </w:rPr>
        <w:t xml:space="preserve"> </w:t>
      </w:r>
      <w:r w:rsidRPr="00080C25">
        <w:rPr>
          <w:rFonts w:asciiTheme="minorEastAsia" w:eastAsiaTheme="minorEastAsia" w:hAnsiTheme="minorEastAsia" w:hint="eastAsia"/>
          <w:szCs w:val="21"/>
        </w:rPr>
        <w:t>按照</w:t>
      </w:r>
      <w:r w:rsidR="0094504C" w:rsidRPr="00080C25">
        <w:rPr>
          <w:rFonts w:asciiTheme="minorEastAsia" w:eastAsiaTheme="minorEastAsia" w:hAnsiTheme="minorEastAsia" w:hint="eastAsia"/>
          <w:szCs w:val="21"/>
        </w:rPr>
        <w:t>上述</w:t>
      </w:r>
      <w:r w:rsidRPr="00080C25">
        <w:rPr>
          <w:rFonts w:asciiTheme="minorEastAsia" w:eastAsiaTheme="minorEastAsia" w:hAnsiTheme="minorEastAsia" w:hint="eastAsia"/>
          <w:szCs w:val="21"/>
        </w:rPr>
        <w:t>定义，</w:t>
      </w:r>
      <w:r w:rsidR="0094504C" w:rsidRPr="00080C25">
        <w:rPr>
          <w:rFonts w:asciiTheme="minorEastAsia" w:eastAsiaTheme="minorEastAsia" w:hAnsiTheme="minorEastAsia" w:hint="eastAsia"/>
          <w:szCs w:val="21"/>
        </w:rPr>
        <w:t>本</w:t>
      </w:r>
      <w:r w:rsidRPr="00080C25">
        <w:rPr>
          <w:rFonts w:asciiTheme="minorEastAsia" w:eastAsiaTheme="minorEastAsia" w:hAnsiTheme="minorEastAsia" w:hint="eastAsia"/>
          <w:szCs w:val="21"/>
        </w:rPr>
        <w:t>案例</w:t>
      </w:r>
      <w:r w:rsidRPr="00080C25">
        <w:rPr>
          <w:rFonts w:asciiTheme="minorEastAsia" w:eastAsiaTheme="minorEastAsia" w:hAnsiTheme="minorEastAsia" w:hint="eastAsia"/>
          <w:szCs w:val="21"/>
        </w:rPr>
        <w:lastRenderedPageBreak/>
        <w:t>的清偿金额或结算价格，即</w:t>
      </w:r>
      <w:r w:rsidRPr="00080C25">
        <w:rPr>
          <w:rFonts w:asciiTheme="minorEastAsia" w:eastAsiaTheme="minorEastAsia" w:hAnsiTheme="minorEastAsia" w:hint="eastAsia"/>
          <w:szCs w:val="21"/>
          <w:u w:val="single"/>
        </w:rPr>
        <w:t>支付的价格</w:t>
      </w:r>
      <w:r w:rsidRPr="00080C25">
        <w:rPr>
          <w:rFonts w:asciiTheme="minorEastAsia" w:eastAsiaTheme="minorEastAsia" w:hAnsiTheme="minorEastAsia" w:hint="eastAsia"/>
          <w:szCs w:val="21"/>
        </w:rPr>
        <w:t>不是</w:t>
      </w:r>
      <w:r w:rsidRPr="00080C25">
        <w:rPr>
          <w:rFonts w:asciiTheme="minorEastAsia" w:eastAsiaTheme="minorEastAsia" w:hAnsiTheme="minorEastAsia"/>
          <w:szCs w:val="21"/>
        </w:rPr>
        <w:t>11</w:t>
      </w:r>
      <w:r w:rsidRPr="00080C25">
        <w:rPr>
          <w:rFonts w:asciiTheme="minorEastAsia" w:eastAsiaTheme="minorEastAsia" w:hAnsiTheme="minorEastAsia" w:hint="eastAsia"/>
          <w:szCs w:val="21"/>
        </w:rPr>
        <w:t>3</w:t>
      </w:r>
      <w:r w:rsidRPr="00080C25">
        <w:rPr>
          <w:rFonts w:asciiTheme="minorEastAsia" w:eastAsiaTheme="minorEastAsia" w:hAnsiTheme="minorEastAsia"/>
          <w:szCs w:val="21"/>
        </w:rPr>
        <w:t>0</w:t>
      </w:r>
      <w:r w:rsidRPr="00080C25">
        <w:rPr>
          <w:rFonts w:asciiTheme="minorEastAsia" w:eastAsiaTheme="minorEastAsia" w:hAnsiTheme="minorEastAsia" w:hint="eastAsia"/>
          <w:szCs w:val="21"/>
        </w:rPr>
        <w:t>元吗？，</w:t>
      </w:r>
      <w:r w:rsidR="003313BC">
        <w:rPr>
          <w:rFonts w:asciiTheme="minorEastAsia" w:eastAsiaTheme="minorEastAsia" w:hAnsiTheme="minorEastAsia" w:hint="eastAsia"/>
          <w:szCs w:val="21"/>
        </w:rPr>
        <w:t>如果是，为什么会计中认定为资产</w:t>
      </w:r>
      <w:r w:rsidRPr="00080C25">
        <w:rPr>
          <w:rFonts w:asciiTheme="minorEastAsia" w:eastAsiaTheme="minorEastAsia" w:hAnsiTheme="minorEastAsia" w:hint="eastAsia"/>
          <w:szCs w:val="21"/>
        </w:rPr>
        <w:t>公允价值</w:t>
      </w:r>
      <w:r w:rsidR="003313BC">
        <w:rPr>
          <w:rFonts w:asciiTheme="minorEastAsia" w:eastAsiaTheme="minorEastAsia" w:hAnsiTheme="minorEastAsia" w:hint="eastAsia"/>
          <w:szCs w:val="21"/>
        </w:rPr>
        <w:t>的</w:t>
      </w:r>
      <w:r w:rsidRPr="00080C25">
        <w:rPr>
          <w:rFonts w:asciiTheme="minorEastAsia" w:eastAsiaTheme="minorEastAsia" w:hAnsiTheme="minorEastAsia" w:hint="eastAsia"/>
          <w:szCs w:val="21"/>
        </w:rPr>
        <w:t>入账</w:t>
      </w:r>
      <w:r w:rsidR="003313BC">
        <w:rPr>
          <w:rFonts w:asciiTheme="minorEastAsia" w:eastAsiaTheme="minorEastAsia" w:hAnsiTheme="minorEastAsia" w:hint="eastAsia"/>
          <w:szCs w:val="21"/>
        </w:rPr>
        <w:t>金额却是1000元</w:t>
      </w:r>
      <w:r w:rsidRPr="00080C25">
        <w:rPr>
          <w:rFonts w:asciiTheme="minorEastAsia" w:eastAsiaTheme="minorEastAsia" w:hAnsiTheme="minorEastAsia" w:hint="eastAsia"/>
          <w:szCs w:val="21"/>
        </w:rPr>
        <w:t>？</w:t>
      </w:r>
    </w:p>
    <w:p w:rsidR="00333465" w:rsidRPr="00080C25" w:rsidRDefault="00333465"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销售方面，收到的款项同样是</w:t>
      </w:r>
      <w:r w:rsidRPr="00080C25">
        <w:rPr>
          <w:rFonts w:asciiTheme="minorEastAsia" w:eastAsiaTheme="minorEastAsia" w:hAnsiTheme="minorEastAsia"/>
          <w:szCs w:val="21"/>
        </w:rPr>
        <w:t>11</w:t>
      </w:r>
      <w:r w:rsidRPr="00080C25">
        <w:rPr>
          <w:rFonts w:asciiTheme="minorEastAsia" w:eastAsiaTheme="minorEastAsia" w:hAnsiTheme="minorEastAsia" w:hint="eastAsia"/>
          <w:szCs w:val="21"/>
        </w:rPr>
        <w:t>3</w:t>
      </w:r>
      <w:r w:rsidRPr="00080C25">
        <w:rPr>
          <w:rFonts w:asciiTheme="minorEastAsia" w:eastAsiaTheme="minorEastAsia" w:hAnsiTheme="minorEastAsia"/>
          <w:szCs w:val="21"/>
        </w:rPr>
        <w:t>0</w:t>
      </w:r>
      <w:r w:rsidRPr="00080C25">
        <w:rPr>
          <w:rFonts w:asciiTheme="minorEastAsia" w:eastAsiaTheme="minorEastAsia" w:hAnsiTheme="minorEastAsia" w:hint="eastAsia"/>
          <w:szCs w:val="21"/>
        </w:rPr>
        <w:t>元，为什么计入会计收入的金额也是</w:t>
      </w:r>
      <w:r w:rsidRPr="00080C25">
        <w:rPr>
          <w:rFonts w:asciiTheme="minorEastAsia" w:eastAsiaTheme="minorEastAsia" w:hAnsiTheme="minorEastAsia"/>
          <w:szCs w:val="21"/>
        </w:rPr>
        <w:t>1000</w:t>
      </w:r>
      <w:r w:rsidRPr="00080C25">
        <w:rPr>
          <w:rFonts w:asciiTheme="minorEastAsia" w:eastAsiaTheme="minorEastAsia" w:hAnsiTheme="minorEastAsia" w:hint="eastAsia"/>
          <w:szCs w:val="21"/>
        </w:rPr>
        <w:t>元；另外，假设双方没有现金结算，债务人将该负债全部转让，转让负债的公允价值，即所转让的金额依然是</w:t>
      </w:r>
      <w:r w:rsidRPr="00080C25">
        <w:rPr>
          <w:rFonts w:asciiTheme="minorEastAsia" w:eastAsiaTheme="minorEastAsia" w:hAnsiTheme="minorEastAsia"/>
          <w:szCs w:val="21"/>
        </w:rPr>
        <w:t>11</w:t>
      </w:r>
      <w:r w:rsidRPr="00080C25">
        <w:rPr>
          <w:rFonts w:asciiTheme="minorEastAsia" w:eastAsiaTheme="minorEastAsia" w:hAnsiTheme="minorEastAsia" w:hint="eastAsia"/>
          <w:szCs w:val="21"/>
        </w:rPr>
        <w:t>3</w:t>
      </w:r>
      <w:r w:rsidRPr="00080C25">
        <w:rPr>
          <w:rFonts w:asciiTheme="minorEastAsia" w:eastAsiaTheme="minorEastAsia" w:hAnsiTheme="minorEastAsia"/>
          <w:szCs w:val="21"/>
        </w:rPr>
        <w:t>0</w:t>
      </w:r>
      <w:r w:rsidRPr="00080C25">
        <w:rPr>
          <w:rFonts w:asciiTheme="minorEastAsia" w:eastAsiaTheme="minorEastAsia" w:hAnsiTheme="minorEastAsia" w:hint="eastAsia"/>
          <w:szCs w:val="21"/>
        </w:rPr>
        <w:t>元，不可能是</w:t>
      </w:r>
      <w:r w:rsidRPr="00080C25">
        <w:rPr>
          <w:rFonts w:asciiTheme="minorEastAsia" w:eastAsiaTheme="minorEastAsia" w:hAnsiTheme="minorEastAsia"/>
          <w:szCs w:val="21"/>
        </w:rPr>
        <w:t>1000</w:t>
      </w:r>
      <w:r w:rsidRPr="00080C25">
        <w:rPr>
          <w:rFonts w:asciiTheme="minorEastAsia" w:eastAsiaTheme="minorEastAsia" w:hAnsiTheme="minorEastAsia" w:hint="eastAsia"/>
          <w:szCs w:val="21"/>
        </w:rPr>
        <w:t>元。</w:t>
      </w:r>
    </w:p>
    <w:p w:rsidR="00333465" w:rsidRPr="00080C25" w:rsidRDefault="00333465"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一项资产的价值</w:t>
      </w:r>
      <w:r w:rsidR="00E77933">
        <w:rPr>
          <w:rFonts w:asciiTheme="minorEastAsia" w:eastAsiaTheme="minorEastAsia" w:hAnsiTheme="minorEastAsia" w:hint="eastAsia"/>
          <w:szCs w:val="21"/>
        </w:rPr>
        <w:t>（入账资产计量为1000元）</w:t>
      </w:r>
      <w:r w:rsidRPr="00080C25">
        <w:rPr>
          <w:rFonts w:asciiTheme="minorEastAsia" w:eastAsiaTheme="minorEastAsia" w:hAnsiTheme="minorEastAsia" w:hint="eastAsia"/>
          <w:szCs w:val="21"/>
        </w:rPr>
        <w:t>与其对应的负资产</w:t>
      </w:r>
      <w:r w:rsidRPr="00080C25">
        <w:rPr>
          <w:rFonts w:asciiTheme="minorEastAsia" w:eastAsiaTheme="minorEastAsia" w:hAnsiTheme="minorEastAsia"/>
          <w:szCs w:val="21"/>
        </w:rPr>
        <w:t>---</w:t>
      </w:r>
      <w:r w:rsidRPr="00080C25">
        <w:rPr>
          <w:rFonts w:asciiTheme="minorEastAsia" w:eastAsiaTheme="minorEastAsia" w:hAnsiTheme="minorEastAsia" w:hint="eastAsia"/>
          <w:szCs w:val="21"/>
        </w:rPr>
        <w:t>负债的价值</w:t>
      </w:r>
      <w:r w:rsidR="00E77933">
        <w:rPr>
          <w:rFonts w:asciiTheme="minorEastAsia" w:eastAsiaTheme="minorEastAsia" w:hAnsiTheme="minorEastAsia" w:hint="eastAsia"/>
          <w:szCs w:val="21"/>
        </w:rPr>
        <w:t>（价税合计1130元）</w:t>
      </w:r>
      <w:r w:rsidRPr="00080C25">
        <w:rPr>
          <w:rFonts w:asciiTheme="minorEastAsia" w:eastAsiaTheme="minorEastAsia" w:hAnsiTheme="minorEastAsia" w:hint="eastAsia"/>
          <w:szCs w:val="21"/>
        </w:rPr>
        <w:t>，计量结果会不一致？</w:t>
      </w:r>
      <w:r w:rsidRPr="00080C25">
        <w:rPr>
          <w:rFonts w:asciiTheme="minorEastAsia" w:eastAsiaTheme="minorEastAsia" w:hAnsiTheme="minorEastAsia"/>
          <w:szCs w:val="21"/>
        </w:rPr>
        <w:t>1000</w:t>
      </w:r>
      <w:r w:rsidRPr="00080C25">
        <w:rPr>
          <w:rFonts w:asciiTheme="minorEastAsia" w:eastAsiaTheme="minorEastAsia" w:hAnsiTheme="minorEastAsia" w:hint="eastAsia"/>
          <w:szCs w:val="21"/>
        </w:rPr>
        <w:t>元、</w:t>
      </w:r>
      <w:r w:rsidRPr="00080C25">
        <w:rPr>
          <w:rFonts w:asciiTheme="minorEastAsia" w:eastAsiaTheme="minorEastAsia" w:hAnsiTheme="minorEastAsia"/>
          <w:szCs w:val="21"/>
        </w:rPr>
        <w:t>11</w:t>
      </w:r>
      <w:r w:rsidRPr="00080C25">
        <w:rPr>
          <w:rFonts w:asciiTheme="minorEastAsia" w:eastAsiaTheme="minorEastAsia" w:hAnsiTheme="minorEastAsia" w:hint="eastAsia"/>
          <w:szCs w:val="21"/>
        </w:rPr>
        <w:t>3</w:t>
      </w:r>
      <w:r w:rsidRPr="00080C25">
        <w:rPr>
          <w:rFonts w:asciiTheme="minorEastAsia" w:eastAsiaTheme="minorEastAsia" w:hAnsiTheme="minorEastAsia"/>
          <w:szCs w:val="21"/>
        </w:rPr>
        <w:t>0</w:t>
      </w:r>
      <w:r w:rsidRPr="00080C25">
        <w:rPr>
          <w:rFonts w:asciiTheme="minorEastAsia" w:eastAsiaTheme="minorEastAsia" w:hAnsiTheme="minorEastAsia" w:hint="eastAsia"/>
          <w:szCs w:val="21"/>
        </w:rPr>
        <w:t>元到底哪个是该项资产的公允价值、还是两者都是？</w:t>
      </w:r>
    </w:p>
    <w:p w:rsidR="007F727E" w:rsidRPr="00080C25" w:rsidRDefault="00333465"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是会计实践问题，还是会计理论问题，公允价值的计量是否应该包含增值税呢？如果包含，该怎样包含，其理论依据是什么，现实又该如何选择，这一切为什么会与主流观点相悖，产生这个问题的根本原因又是什么，这一系列的问题，似乎应该有个明确的答案，因为一个相对完善的理论，应该有其首尾一贯的前提假设。</w:t>
      </w:r>
    </w:p>
    <w:p w:rsidR="007F727E" w:rsidRPr="00080C25" w:rsidRDefault="008D4E25" w:rsidP="00080C25">
      <w:pPr>
        <w:pStyle w:val="a3"/>
        <w:numPr>
          <w:ilvl w:val="0"/>
          <w:numId w:val="22"/>
        </w:num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b/>
          <w:kern w:val="0"/>
          <w:szCs w:val="21"/>
        </w:rPr>
      </w:pPr>
      <w:r w:rsidRPr="00080C25">
        <w:rPr>
          <w:rFonts w:asciiTheme="minorEastAsia" w:eastAsiaTheme="minorEastAsia" w:hAnsiTheme="minorEastAsia" w:cs="宋体" w:hint="eastAsia"/>
          <w:b/>
          <w:kern w:val="0"/>
          <w:szCs w:val="21"/>
        </w:rPr>
        <w:t>释义</w:t>
      </w:r>
      <w:r w:rsidR="003313BC">
        <w:rPr>
          <w:rFonts w:asciiTheme="minorEastAsia" w:eastAsiaTheme="minorEastAsia" w:hAnsiTheme="minorEastAsia" w:cs="宋体" w:hint="eastAsia"/>
          <w:b/>
          <w:kern w:val="0"/>
          <w:szCs w:val="21"/>
        </w:rPr>
        <w:t>计量单元定义中</w:t>
      </w:r>
      <w:r w:rsidRPr="00080C25">
        <w:rPr>
          <w:rFonts w:asciiTheme="minorEastAsia" w:eastAsiaTheme="minorEastAsia" w:hAnsiTheme="minorEastAsia" w:cs="宋体" w:hint="eastAsia"/>
          <w:b/>
          <w:kern w:val="0"/>
          <w:szCs w:val="21"/>
        </w:rPr>
        <w:t>相关名词--</w:t>
      </w:r>
      <w:r w:rsidR="007F727E" w:rsidRPr="00080C25">
        <w:rPr>
          <w:rFonts w:asciiTheme="minorEastAsia" w:eastAsiaTheme="minorEastAsia" w:hAnsiTheme="minorEastAsia" w:cs="宋体" w:hint="eastAsia"/>
          <w:b/>
          <w:kern w:val="0"/>
          <w:szCs w:val="21"/>
        </w:rPr>
        <w:t>经济计量与会计计量</w:t>
      </w:r>
    </w:p>
    <w:p w:rsidR="000D1836" w:rsidRPr="00E77933" w:rsidRDefault="001374A7" w:rsidP="00080C25">
      <w:pPr>
        <w:pBdr>
          <w:top w:val="none" w:sz="0" w:space="0" w:color="auto"/>
          <w:left w:val="none" w:sz="0" w:space="0" w:color="auto"/>
          <w:bottom w:val="none" w:sz="0" w:space="0" w:color="auto"/>
          <w:right w:val="none" w:sz="0" w:space="0" w:color="auto"/>
          <w:between w:val="none" w:sz="0" w:space="0" w:color="auto"/>
        </w:pBdr>
        <w:ind w:firstLine="435"/>
        <w:rPr>
          <w:rFonts w:asciiTheme="minorEastAsia" w:eastAsiaTheme="minorEastAsia" w:hAnsiTheme="minorEastAsia" w:cs="Arial"/>
          <w:szCs w:val="21"/>
          <w:shd w:val="clear" w:color="auto" w:fill="FFFFFF"/>
        </w:rPr>
      </w:pPr>
      <w:r w:rsidRPr="00E77933">
        <w:rPr>
          <w:rFonts w:asciiTheme="minorEastAsia" w:eastAsiaTheme="minorEastAsia" w:hAnsiTheme="minorEastAsia" w:cs="Arial"/>
          <w:szCs w:val="21"/>
          <w:shd w:val="clear" w:color="auto" w:fill="FFFFFF"/>
        </w:rPr>
        <w:t>经济计量</w:t>
      </w:r>
      <w:r w:rsidRPr="00E77933">
        <w:rPr>
          <w:rFonts w:asciiTheme="minorEastAsia" w:eastAsiaTheme="minorEastAsia" w:hAnsiTheme="minorEastAsia" w:cs="Arial" w:hint="eastAsia"/>
          <w:szCs w:val="21"/>
          <w:shd w:val="clear" w:color="auto" w:fill="FFFFFF"/>
        </w:rPr>
        <w:t>的提法源于</w:t>
      </w:r>
      <w:r w:rsidR="0094504C" w:rsidRPr="00E77933">
        <w:rPr>
          <w:rFonts w:asciiTheme="minorEastAsia" w:eastAsiaTheme="minorEastAsia" w:hAnsiTheme="minorEastAsia" w:cs="Arial"/>
          <w:szCs w:val="21"/>
          <w:shd w:val="clear" w:color="auto" w:fill="FFFFFF"/>
        </w:rPr>
        <w:t>经济计量学(Econometrics)</w:t>
      </w:r>
      <w:r w:rsidRPr="00E77933">
        <w:rPr>
          <w:rFonts w:asciiTheme="minorEastAsia" w:eastAsiaTheme="minorEastAsia" w:hAnsiTheme="minorEastAsia" w:cs="Arial" w:hint="eastAsia"/>
          <w:szCs w:val="21"/>
          <w:shd w:val="clear" w:color="auto" w:fill="FFFFFF"/>
        </w:rPr>
        <w:t>，</w:t>
      </w:r>
      <w:r w:rsidRPr="00E77933">
        <w:rPr>
          <w:rFonts w:asciiTheme="minorEastAsia" w:eastAsiaTheme="minorEastAsia" w:hAnsiTheme="minorEastAsia" w:cs="Arial"/>
          <w:szCs w:val="21"/>
          <w:shd w:val="clear" w:color="auto" w:fill="FFFFFF"/>
        </w:rPr>
        <w:t>经济计量学</w:t>
      </w:r>
      <w:r w:rsidRPr="00E77933">
        <w:rPr>
          <w:rFonts w:asciiTheme="minorEastAsia" w:eastAsiaTheme="minorEastAsia" w:hAnsiTheme="minorEastAsia" w:cs="Arial" w:hint="eastAsia"/>
          <w:szCs w:val="21"/>
          <w:shd w:val="clear" w:color="auto" w:fill="FFFFFF"/>
        </w:rPr>
        <w:t>是经济学的分支学科，</w:t>
      </w:r>
      <w:r w:rsidR="003A43A2" w:rsidRPr="00E77933">
        <w:rPr>
          <w:rFonts w:asciiTheme="minorEastAsia" w:eastAsiaTheme="minorEastAsia" w:hAnsiTheme="minorEastAsia" w:cs="Arial"/>
          <w:szCs w:val="21"/>
          <w:shd w:val="clear" w:color="auto" w:fill="FFFFFF"/>
        </w:rPr>
        <w:t>是</w:t>
      </w:r>
      <w:r w:rsidRPr="00E77933">
        <w:rPr>
          <w:rFonts w:asciiTheme="minorEastAsia" w:eastAsiaTheme="minorEastAsia" w:hAnsiTheme="minorEastAsia" w:cs="Arial" w:hint="eastAsia"/>
          <w:szCs w:val="21"/>
          <w:shd w:val="clear" w:color="auto" w:fill="FFFFFF"/>
        </w:rPr>
        <w:t>通过</w:t>
      </w:r>
      <w:r w:rsidR="003E31C1" w:rsidRPr="00E77933">
        <w:rPr>
          <w:rFonts w:asciiTheme="minorEastAsia" w:eastAsiaTheme="minorEastAsia" w:hAnsiTheme="minorEastAsia" w:cs="Arial"/>
          <w:szCs w:val="21"/>
          <w:shd w:val="clear" w:color="auto" w:fill="FFFFFF"/>
        </w:rPr>
        <w:t>计量</w:t>
      </w:r>
      <w:r w:rsidRPr="00E77933">
        <w:rPr>
          <w:rFonts w:asciiTheme="minorEastAsia" w:eastAsiaTheme="minorEastAsia" w:hAnsiTheme="minorEastAsia" w:cs="Arial" w:hint="eastAsia"/>
          <w:szCs w:val="21"/>
          <w:shd w:val="clear" w:color="auto" w:fill="FFFFFF"/>
        </w:rPr>
        <w:t>模型，来</w:t>
      </w:r>
      <w:r w:rsidR="00582004" w:rsidRPr="00E77933">
        <w:rPr>
          <w:rFonts w:asciiTheme="minorEastAsia" w:eastAsiaTheme="minorEastAsia" w:hAnsiTheme="minorEastAsia" w:cs="Arial" w:hint="eastAsia"/>
          <w:szCs w:val="21"/>
          <w:shd w:val="clear" w:color="auto" w:fill="FFFFFF"/>
        </w:rPr>
        <w:t>研究</w:t>
      </w:r>
      <w:r w:rsidRPr="00E77933">
        <w:rPr>
          <w:rFonts w:asciiTheme="minorEastAsia" w:eastAsiaTheme="minorEastAsia" w:hAnsiTheme="minorEastAsia" w:cs="Arial" w:hint="eastAsia"/>
          <w:szCs w:val="21"/>
          <w:shd w:val="clear" w:color="auto" w:fill="FFFFFF"/>
        </w:rPr>
        <w:t>宏观</w:t>
      </w:r>
      <w:r w:rsidR="003E31C1" w:rsidRPr="00E77933">
        <w:rPr>
          <w:rFonts w:asciiTheme="minorEastAsia" w:eastAsiaTheme="minorEastAsia" w:hAnsiTheme="minorEastAsia" w:cs="Arial"/>
          <w:szCs w:val="21"/>
          <w:shd w:val="clear" w:color="auto" w:fill="FFFFFF"/>
        </w:rPr>
        <w:t>经济</w:t>
      </w:r>
      <w:r w:rsidRPr="00E77933">
        <w:rPr>
          <w:rFonts w:asciiTheme="minorEastAsia" w:eastAsiaTheme="minorEastAsia" w:hAnsiTheme="minorEastAsia" w:cs="Arial" w:hint="eastAsia"/>
          <w:szCs w:val="21"/>
          <w:shd w:val="clear" w:color="auto" w:fill="FFFFFF"/>
        </w:rPr>
        <w:t>因素之间</w:t>
      </w:r>
      <w:r w:rsidRPr="00E77933">
        <w:rPr>
          <w:rFonts w:asciiTheme="minorEastAsia" w:eastAsiaTheme="minorEastAsia" w:hAnsiTheme="minorEastAsia" w:cs="Arial"/>
          <w:szCs w:val="21"/>
          <w:shd w:val="clear" w:color="auto" w:fill="FFFFFF"/>
        </w:rPr>
        <w:t>数值</w:t>
      </w:r>
      <w:r w:rsidR="003E31C1" w:rsidRPr="00E77933">
        <w:rPr>
          <w:rFonts w:asciiTheme="minorEastAsia" w:eastAsiaTheme="minorEastAsia" w:hAnsiTheme="minorEastAsia" w:cs="Arial"/>
          <w:szCs w:val="21"/>
          <w:shd w:val="clear" w:color="auto" w:fill="FFFFFF"/>
        </w:rPr>
        <w:t>关系</w:t>
      </w:r>
      <w:r w:rsidR="00582004" w:rsidRPr="00E77933">
        <w:rPr>
          <w:rFonts w:asciiTheme="minorEastAsia" w:eastAsiaTheme="minorEastAsia" w:hAnsiTheme="minorEastAsia" w:cs="Arial" w:hint="eastAsia"/>
          <w:szCs w:val="21"/>
          <w:shd w:val="clear" w:color="auto" w:fill="FFFFFF"/>
        </w:rPr>
        <w:t>的学问</w:t>
      </w:r>
      <w:r w:rsidR="003A43A2" w:rsidRPr="00E77933">
        <w:rPr>
          <w:rFonts w:asciiTheme="minorEastAsia" w:eastAsiaTheme="minorEastAsia" w:hAnsiTheme="minorEastAsia" w:cs="Arial"/>
          <w:szCs w:val="21"/>
          <w:shd w:val="clear" w:color="auto" w:fill="FFFFFF"/>
        </w:rPr>
        <w:t>，</w:t>
      </w:r>
      <w:r w:rsidR="003A43A2" w:rsidRPr="00E77933">
        <w:rPr>
          <w:rFonts w:asciiTheme="minorEastAsia" w:eastAsiaTheme="minorEastAsia" w:hAnsiTheme="minorEastAsia" w:cs="Arial" w:hint="eastAsia"/>
          <w:szCs w:val="21"/>
          <w:shd w:val="clear" w:color="auto" w:fill="FFFFFF"/>
        </w:rPr>
        <w:t>通常</w:t>
      </w:r>
      <w:r w:rsidR="00582004" w:rsidRPr="00E77933">
        <w:rPr>
          <w:rFonts w:asciiTheme="minorEastAsia" w:eastAsiaTheme="minorEastAsia" w:hAnsiTheme="minorEastAsia" w:cs="Arial" w:hint="eastAsia"/>
          <w:szCs w:val="21"/>
          <w:shd w:val="clear" w:color="auto" w:fill="FFFFFF"/>
        </w:rPr>
        <w:t>也</w:t>
      </w:r>
      <w:r w:rsidR="0094504C" w:rsidRPr="00E77933">
        <w:rPr>
          <w:rFonts w:asciiTheme="minorEastAsia" w:eastAsiaTheme="minorEastAsia" w:hAnsiTheme="minorEastAsia" w:cs="Arial"/>
          <w:szCs w:val="21"/>
          <w:shd w:val="clear" w:color="auto" w:fill="FFFFFF"/>
        </w:rPr>
        <w:t>译为</w:t>
      </w:r>
      <w:hyperlink r:id="rId8" w:tgtFrame="_blank" w:history="1">
        <w:r w:rsidR="0094504C" w:rsidRPr="00E77933">
          <w:rPr>
            <w:rStyle w:val="aa"/>
            <w:rFonts w:asciiTheme="minorEastAsia" w:eastAsiaTheme="minorEastAsia" w:hAnsiTheme="minorEastAsia" w:cs="Arial"/>
            <w:color w:val="auto"/>
            <w:szCs w:val="21"/>
            <w:u w:val="none"/>
            <w:shd w:val="clear" w:color="auto" w:fill="FFFFFF"/>
          </w:rPr>
          <w:t>计量经济学</w:t>
        </w:r>
      </w:hyperlink>
      <w:r w:rsidR="00582004" w:rsidRPr="00E77933">
        <w:rPr>
          <w:rFonts w:asciiTheme="minorEastAsia" w:eastAsiaTheme="minorEastAsia" w:hAnsiTheme="minorEastAsia" w:cs="Arial" w:hint="eastAsia"/>
          <w:szCs w:val="21"/>
          <w:shd w:val="clear" w:color="auto" w:fill="FFFFFF"/>
        </w:rPr>
        <w:t>。本文在这里提出的目的，是相对于会计计量而言的。</w:t>
      </w:r>
      <w:r w:rsidR="00E77933" w:rsidRPr="00E77933">
        <w:rPr>
          <w:rFonts w:asciiTheme="minorEastAsia" w:eastAsiaTheme="minorEastAsia" w:hAnsiTheme="minorEastAsia" w:cs="Arial" w:hint="eastAsia"/>
          <w:szCs w:val="21"/>
          <w:shd w:val="clear" w:color="auto" w:fill="FFFFFF"/>
        </w:rPr>
        <w:t>本文所提的经济计量，</w:t>
      </w:r>
      <w:r w:rsidR="00582004" w:rsidRPr="00E77933">
        <w:rPr>
          <w:rFonts w:asciiTheme="minorEastAsia" w:eastAsiaTheme="minorEastAsia" w:hAnsiTheme="minorEastAsia" w:cs="Arial" w:hint="eastAsia"/>
          <w:szCs w:val="21"/>
          <w:shd w:val="clear" w:color="auto" w:fill="FFFFFF"/>
        </w:rPr>
        <w:t>主要是指不同会计主体间，商品贸易过程中的结算计量，之所以采用经济计量提法</w:t>
      </w:r>
      <w:r w:rsidR="003B4785" w:rsidRPr="00E77933">
        <w:rPr>
          <w:rFonts w:asciiTheme="minorEastAsia" w:eastAsiaTheme="minorEastAsia" w:hAnsiTheme="minorEastAsia" w:cs="Arial" w:hint="eastAsia"/>
          <w:szCs w:val="21"/>
          <w:shd w:val="clear" w:color="auto" w:fill="FFFFFF"/>
        </w:rPr>
        <w:t>的</w:t>
      </w:r>
      <w:r w:rsidR="00582004" w:rsidRPr="00E77933">
        <w:rPr>
          <w:rFonts w:asciiTheme="minorEastAsia" w:eastAsiaTheme="minorEastAsia" w:hAnsiTheme="minorEastAsia" w:cs="Arial" w:hint="eastAsia"/>
          <w:szCs w:val="21"/>
          <w:shd w:val="clear" w:color="auto" w:fill="FFFFFF"/>
        </w:rPr>
        <w:t>另一个原因，</w:t>
      </w:r>
      <w:r w:rsidR="003B4785" w:rsidRPr="00E77933">
        <w:rPr>
          <w:rFonts w:asciiTheme="minorEastAsia" w:eastAsiaTheme="minorEastAsia" w:hAnsiTheme="minorEastAsia" w:cs="Arial" w:hint="eastAsia"/>
          <w:szCs w:val="21"/>
          <w:shd w:val="clear" w:color="auto" w:fill="FFFFFF"/>
        </w:rPr>
        <w:t>是会计学本身就是经济学的分支，其中的很多</w:t>
      </w:r>
      <w:r w:rsidR="00582004" w:rsidRPr="00E77933">
        <w:rPr>
          <w:rFonts w:asciiTheme="minorEastAsia" w:eastAsiaTheme="minorEastAsia" w:hAnsiTheme="minorEastAsia" w:cs="Arial" w:hint="eastAsia"/>
          <w:szCs w:val="21"/>
          <w:shd w:val="clear" w:color="auto" w:fill="FFFFFF"/>
        </w:rPr>
        <w:t>概念</w:t>
      </w:r>
      <w:r w:rsidR="003B4785" w:rsidRPr="00E77933">
        <w:rPr>
          <w:rFonts w:asciiTheme="minorEastAsia" w:eastAsiaTheme="minorEastAsia" w:hAnsiTheme="minorEastAsia" w:cs="Arial" w:hint="eastAsia"/>
          <w:szCs w:val="21"/>
          <w:shd w:val="clear" w:color="auto" w:fill="FFFFFF"/>
        </w:rPr>
        <w:t>都源于经济学的基本解释，比如资产、收入的最初定义</w:t>
      </w:r>
      <w:r w:rsidR="00E77933" w:rsidRPr="00E77933">
        <w:rPr>
          <w:rFonts w:asciiTheme="minorEastAsia" w:eastAsiaTheme="minorEastAsia" w:hAnsiTheme="minorEastAsia" w:cs="Arial" w:hint="eastAsia"/>
          <w:szCs w:val="21"/>
          <w:shd w:val="clear" w:color="auto" w:fill="FFFFFF"/>
        </w:rPr>
        <w:t>等等</w:t>
      </w:r>
      <w:r w:rsidR="003B4785" w:rsidRPr="00E77933">
        <w:rPr>
          <w:rFonts w:asciiTheme="minorEastAsia" w:eastAsiaTheme="minorEastAsia" w:hAnsiTheme="minorEastAsia" w:cs="Arial" w:hint="eastAsia"/>
          <w:szCs w:val="21"/>
          <w:shd w:val="clear" w:color="auto" w:fill="FFFFFF"/>
        </w:rPr>
        <w:t>，经济计量强调更多是不同主体间形成的共识价格，这个价格是全部的结算金额</w:t>
      </w:r>
      <w:r w:rsidR="00E21AC5" w:rsidRPr="00E77933">
        <w:rPr>
          <w:rFonts w:asciiTheme="minorEastAsia" w:eastAsiaTheme="minorEastAsia" w:hAnsiTheme="minorEastAsia" w:cs="Arial" w:hint="eastAsia"/>
          <w:szCs w:val="21"/>
          <w:shd w:val="clear" w:color="auto" w:fill="FFFFFF"/>
        </w:rPr>
        <w:t>，而不论会计上如何处理和列报。</w:t>
      </w:r>
    </w:p>
    <w:p w:rsidR="0094504C" w:rsidRPr="00E77933" w:rsidRDefault="00582004" w:rsidP="00080C25">
      <w:pPr>
        <w:pBdr>
          <w:top w:val="none" w:sz="0" w:space="0" w:color="auto"/>
          <w:left w:val="none" w:sz="0" w:space="0" w:color="auto"/>
          <w:bottom w:val="none" w:sz="0" w:space="0" w:color="auto"/>
          <w:right w:val="none" w:sz="0" w:space="0" w:color="auto"/>
          <w:between w:val="none" w:sz="0" w:space="0" w:color="auto"/>
        </w:pBdr>
        <w:ind w:firstLine="435"/>
        <w:rPr>
          <w:rFonts w:asciiTheme="minorEastAsia" w:eastAsiaTheme="minorEastAsia" w:hAnsiTheme="minorEastAsia" w:cs="宋体"/>
          <w:b/>
          <w:kern w:val="0"/>
          <w:szCs w:val="21"/>
        </w:rPr>
      </w:pPr>
      <w:r w:rsidRPr="00E77933">
        <w:rPr>
          <w:rFonts w:asciiTheme="minorEastAsia" w:eastAsiaTheme="minorEastAsia" w:hAnsiTheme="minorEastAsia" w:cs="Arial" w:hint="eastAsia"/>
          <w:szCs w:val="21"/>
          <w:shd w:val="clear" w:color="auto" w:fill="FFFFFF"/>
        </w:rPr>
        <w:t>会计计量</w:t>
      </w:r>
      <w:r w:rsidR="00E21AC5" w:rsidRPr="00E77933">
        <w:rPr>
          <w:rFonts w:asciiTheme="minorEastAsia" w:eastAsiaTheme="minorEastAsia" w:hAnsiTheme="minorEastAsia" w:cs="Arial" w:hint="eastAsia"/>
          <w:szCs w:val="21"/>
          <w:shd w:val="clear" w:color="auto" w:fill="FFFFFF"/>
        </w:rPr>
        <w:t>主要是以货币为计量单位，计量各项经济业务及其结果的过程，</w:t>
      </w:r>
      <w:r w:rsidR="00A35D57" w:rsidRPr="00E77933">
        <w:rPr>
          <w:rFonts w:asciiTheme="minorEastAsia" w:eastAsiaTheme="minorEastAsia" w:hAnsiTheme="minorEastAsia" w:cs="Arial" w:hint="eastAsia"/>
          <w:szCs w:val="21"/>
          <w:shd w:val="clear" w:color="auto" w:fill="FFFFFF"/>
        </w:rPr>
        <w:t>包括计量属性和计量单元的选择。</w:t>
      </w:r>
      <w:r w:rsidR="00E21AC5" w:rsidRPr="00E77933">
        <w:rPr>
          <w:rFonts w:asciiTheme="minorEastAsia" w:eastAsiaTheme="minorEastAsia" w:hAnsiTheme="minorEastAsia" w:cs="Arial" w:hint="eastAsia"/>
          <w:szCs w:val="21"/>
          <w:shd w:val="clear" w:color="auto" w:fill="FFFFFF"/>
        </w:rPr>
        <w:t>其目的是为</w:t>
      </w:r>
      <w:r w:rsidRPr="00E77933">
        <w:rPr>
          <w:rFonts w:asciiTheme="minorEastAsia" w:eastAsiaTheme="minorEastAsia" w:hAnsiTheme="minorEastAsia" w:cs="Arial" w:hint="eastAsia"/>
          <w:szCs w:val="21"/>
          <w:shd w:val="clear" w:color="auto" w:fill="FFFFFF"/>
        </w:rPr>
        <w:t>会计记录和披露服务的，会计计量可以按照会计系统的</w:t>
      </w:r>
      <w:r w:rsidR="003B4785" w:rsidRPr="00E77933">
        <w:rPr>
          <w:rFonts w:asciiTheme="minorEastAsia" w:eastAsiaTheme="minorEastAsia" w:hAnsiTheme="minorEastAsia" w:cs="Arial" w:hint="eastAsia"/>
          <w:szCs w:val="21"/>
          <w:shd w:val="clear" w:color="auto" w:fill="FFFFFF"/>
        </w:rPr>
        <w:t>设计和</w:t>
      </w:r>
      <w:r w:rsidRPr="00E77933">
        <w:rPr>
          <w:rFonts w:asciiTheme="minorEastAsia" w:eastAsiaTheme="minorEastAsia" w:hAnsiTheme="minorEastAsia" w:cs="Arial" w:hint="eastAsia"/>
          <w:szCs w:val="21"/>
          <w:shd w:val="clear" w:color="auto" w:fill="FFFFFF"/>
        </w:rPr>
        <w:t>要求</w:t>
      </w:r>
      <w:r w:rsidR="00E21AC5" w:rsidRPr="00E77933">
        <w:rPr>
          <w:rFonts w:asciiTheme="minorEastAsia" w:eastAsiaTheme="minorEastAsia" w:hAnsiTheme="minorEastAsia" w:cs="Arial" w:hint="eastAsia"/>
          <w:szCs w:val="21"/>
          <w:shd w:val="clear" w:color="auto" w:fill="FFFFFF"/>
        </w:rPr>
        <w:t>以及管理过程的需要</w:t>
      </w:r>
      <w:r w:rsidRPr="00E77933">
        <w:rPr>
          <w:rFonts w:asciiTheme="minorEastAsia" w:eastAsiaTheme="minorEastAsia" w:hAnsiTheme="minorEastAsia" w:cs="Arial" w:hint="eastAsia"/>
          <w:szCs w:val="21"/>
          <w:shd w:val="clear" w:color="auto" w:fill="FFFFFF"/>
        </w:rPr>
        <w:t>，对经济计量进行二次处理</w:t>
      </w:r>
      <w:r w:rsidR="003B4785" w:rsidRPr="00E77933">
        <w:rPr>
          <w:rFonts w:asciiTheme="minorEastAsia" w:eastAsiaTheme="minorEastAsia" w:hAnsiTheme="minorEastAsia" w:cs="Arial" w:hint="eastAsia"/>
          <w:szCs w:val="21"/>
          <w:shd w:val="clear" w:color="auto" w:fill="FFFFFF"/>
        </w:rPr>
        <w:t>。</w:t>
      </w:r>
    </w:p>
    <w:p w:rsidR="000D1836" w:rsidRPr="00080C25" w:rsidRDefault="00A35D57" w:rsidP="00080C25">
      <w:pPr>
        <w:pBdr>
          <w:top w:val="none" w:sz="0" w:space="0" w:color="auto"/>
          <w:left w:val="none" w:sz="0" w:space="0" w:color="auto"/>
          <w:bottom w:val="none" w:sz="0" w:space="0" w:color="auto"/>
          <w:right w:val="none" w:sz="0" w:space="0" w:color="auto"/>
          <w:between w:val="none" w:sz="0" w:space="0" w:color="auto"/>
        </w:pBdr>
        <w:ind w:firstLine="435"/>
        <w:rPr>
          <w:rFonts w:asciiTheme="minorEastAsia" w:eastAsiaTheme="minorEastAsia" w:hAnsiTheme="minorEastAsia" w:cs="宋体"/>
          <w:kern w:val="0"/>
          <w:szCs w:val="21"/>
        </w:rPr>
      </w:pPr>
      <w:r w:rsidRPr="00080C25">
        <w:rPr>
          <w:rFonts w:asciiTheme="minorEastAsia" w:eastAsiaTheme="minorEastAsia" w:hAnsiTheme="minorEastAsia" w:cs="宋体" w:hint="eastAsia"/>
          <w:kern w:val="0"/>
          <w:szCs w:val="21"/>
        </w:rPr>
        <w:t>据此分析，前述案例的1130元的交易价格属于经济计量，而资产入账价值的1000元则属于会计计量，是为满足会计系统的设计或者管理的需要，对经济计量的二次计量。两者从计量属性的角度看，都可以说成是资产的公允价值。</w:t>
      </w:r>
    </w:p>
    <w:p w:rsidR="00A35D57" w:rsidRPr="00080C25" w:rsidRDefault="008D4E25" w:rsidP="00080C25">
      <w:pPr>
        <w:pBdr>
          <w:top w:val="none" w:sz="0" w:space="0" w:color="auto"/>
          <w:left w:val="none" w:sz="0" w:space="0" w:color="auto"/>
          <w:bottom w:val="none" w:sz="0" w:space="0" w:color="auto"/>
          <w:right w:val="none" w:sz="0" w:space="0" w:color="auto"/>
          <w:between w:val="none" w:sz="0" w:space="0" w:color="auto"/>
        </w:pBdr>
        <w:ind w:firstLineChars="196" w:firstLine="413"/>
        <w:rPr>
          <w:rFonts w:asciiTheme="minorEastAsia" w:eastAsiaTheme="minorEastAsia" w:hAnsiTheme="minorEastAsia" w:cs="宋体"/>
          <w:b/>
          <w:kern w:val="0"/>
          <w:szCs w:val="21"/>
        </w:rPr>
      </w:pPr>
      <w:r w:rsidRPr="00080C25">
        <w:rPr>
          <w:rFonts w:asciiTheme="minorEastAsia" w:eastAsiaTheme="minorEastAsia" w:hAnsiTheme="minorEastAsia" w:cs="宋体" w:hint="eastAsia"/>
          <w:b/>
          <w:kern w:val="0"/>
          <w:szCs w:val="21"/>
        </w:rPr>
        <w:t>3、释义</w:t>
      </w:r>
      <w:r w:rsidR="003313BC">
        <w:rPr>
          <w:rFonts w:asciiTheme="minorEastAsia" w:eastAsiaTheme="minorEastAsia" w:hAnsiTheme="minorEastAsia" w:cs="宋体" w:hint="eastAsia"/>
          <w:b/>
          <w:kern w:val="0"/>
          <w:szCs w:val="21"/>
        </w:rPr>
        <w:t>计量单元定义中</w:t>
      </w:r>
      <w:r w:rsidRPr="00080C25">
        <w:rPr>
          <w:rFonts w:asciiTheme="minorEastAsia" w:eastAsiaTheme="minorEastAsia" w:hAnsiTheme="minorEastAsia" w:cs="宋体" w:hint="eastAsia"/>
          <w:b/>
          <w:kern w:val="0"/>
          <w:szCs w:val="21"/>
        </w:rPr>
        <w:t>相关名词--</w:t>
      </w:r>
      <w:r w:rsidR="00A35D57" w:rsidRPr="00080C25">
        <w:rPr>
          <w:rFonts w:asciiTheme="minorEastAsia" w:eastAsiaTheme="minorEastAsia" w:hAnsiTheme="minorEastAsia" w:hint="eastAsia"/>
          <w:b/>
          <w:szCs w:val="21"/>
        </w:rPr>
        <w:t>计量单位与计量单元</w:t>
      </w:r>
    </w:p>
    <w:p w:rsidR="00A35D57" w:rsidRPr="00080C25" w:rsidRDefault="00A35D57"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cs="FangSong_GB2312,Bold" w:hint="eastAsia"/>
          <w:bCs/>
          <w:szCs w:val="21"/>
        </w:rPr>
        <w:t>计量单位，其物理解释，</w:t>
      </w:r>
      <w:r w:rsidRPr="00080C25">
        <w:rPr>
          <w:rFonts w:asciiTheme="minorEastAsia" w:eastAsiaTheme="minorEastAsia" w:hAnsiTheme="minorEastAsia" w:cs="宋体" w:hint="eastAsia"/>
          <w:szCs w:val="21"/>
        </w:rPr>
        <w:t>是用于表示与其相比较的同种量的大小的约定定义和采用的特定量（赋予相应的名称和符号）。</w:t>
      </w:r>
      <w:r w:rsidR="008259FA" w:rsidRPr="00080C25">
        <w:rPr>
          <w:rFonts w:asciiTheme="minorEastAsia" w:eastAsiaTheme="minorEastAsia" w:hAnsiTheme="minorEastAsia" w:cs="FangSong_GB2312,Bold" w:hint="eastAsia"/>
          <w:bCs/>
          <w:szCs w:val="21"/>
        </w:rPr>
        <w:t>表达的是物质某方面的自然属性。</w:t>
      </w:r>
      <w:r w:rsidRPr="00080C25">
        <w:rPr>
          <w:rFonts w:asciiTheme="minorEastAsia" w:eastAsiaTheme="minorEastAsia" w:hAnsiTheme="minorEastAsia" w:cs="宋体" w:hint="eastAsia"/>
          <w:szCs w:val="21"/>
        </w:rPr>
        <w:t>如货币单位人民币元</w:t>
      </w:r>
      <w:r w:rsidR="008259FA" w:rsidRPr="00080C25">
        <w:rPr>
          <w:rFonts w:asciiTheme="minorEastAsia" w:eastAsiaTheme="minorEastAsia" w:hAnsiTheme="minorEastAsia" w:cs="宋体" w:hint="eastAsia"/>
          <w:szCs w:val="21"/>
        </w:rPr>
        <w:t>，表示的是物质的价值；</w:t>
      </w:r>
      <w:r w:rsidRPr="00080C25">
        <w:rPr>
          <w:rFonts w:asciiTheme="minorEastAsia" w:eastAsiaTheme="minorEastAsia" w:hAnsiTheme="minorEastAsia" w:cs="宋体" w:hint="eastAsia"/>
          <w:szCs w:val="21"/>
        </w:rPr>
        <w:t>里程单位公里</w:t>
      </w:r>
      <w:r w:rsidR="008259FA" w:rsidRPr="00080C25">
        <w:rPr>
          <w:rFonts w:asciiTheme="minorEastAsia" w:eastAsiaTheme="minorEastAsia" w:hAnsiTheme="minorEastAsia" w:cs="宋体" w:hint="eastAsia"/>
          <w:szCs w:val="21"/>
        </w:rPr>
        <w:t>，表示的是距离，</w:t>
      </w:r>
      <w:r w:rsidRPr="00080C25">
        <w:rPr>
          <w:rFonts w:asciiTheme="minorEastAsia" w:eastAsiaTheme="minorEastAsia" w:hAnsiTheme="minorEastAsia" w:cs="宋体" w:hint="eastAsia"/>
          <w:szCs w:val="21"/>
        </w:rPr>
        <w:t>重量单位公斤</w:t>
      </w:r>
      <w:r w:rsidR="008259FA" w:rsidRPr="00080C25">
        <w:rPr>
          <w:rFonts w:asciiTheme="minorEastAsia" w:eastAsiaTheme="minorEastAsia" w:hAnsiTheme="minorEastAsia" w:cs="宋体" w:hint="eastAsia"/>
          <w:szCs w:val="21"/>
        </w:rPr>
        <w:t>，表示的是质量。</w:t>
      </w:r>
      <w:r w:rsidRPr="00080C25">
        <w:rPr>
          <w:rFonts w:asciiTheme="minorEastAsia" w:eastAsiaTheme="minorEastAsia" w:hAnsiTheme="minorEastAsia" w:cs="宋体" w:hint="eastAsia"/>
          <w:szCs w:val="21"/>
        </w:rPr>
        <w:t>经济事项的计量通常都选用价值单位</w:t>
      </w:r>
      <w:r w:rsidRPr="00080C25">
        <w:rPr>
          <w:rFonts w:asciiTheme="minorEastAsia" w:eastAsiaTheme="minorEastAsia" w:hAnsiTheme="minorEastAsia" w:cs="宋体"/>
          <w:szCs w:val="21"/>
        </w:rPr>
        <w:t>----</w:t>
      </w:r>
      <w:r w:rsidRPr="00080C25">
        <w:rPr>
          <w:rFonts w:asciiTheme="minorEastAsia" w:eastAsiaTheme="minorEastAsia" w:hAnsiTheme="minorEastAsia" w:cs="宋体" w:hint="eastAsia"/>
          <w:szCs w:val="21"/>
        </w:rPr>
        <w:t>即名义货币为计量单位，计量单位具有的是价值尺度的功能；</w:t>
      </w:r>
    </w:p>
    <w:p w:rsidR="00A35D57" w:rsidRPr="00080C25" w:rsidRDefault="008259FA"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宋体"/>
          <w:szCs w:val="21"/>
        </w:rPr>
      </w:pPr>
      <w:r w:rsidRPr="00080C25">
        <w:rPr>
          <w:rFonts w:asciiTheme="minorEastAsia" w:eastAsiaTheme="minorEastAsia" w:hAnsiTheme="minorEastAsia" w:hint="eastAsia"/>
          <w:szCs w:val="21"/>
        </w:rPr>
        <w:t>计量单元，会计学的意义，是指</w:t>
      </w:r>
      <w:r w:rsidR="00A35D57" w:rsidRPr="00080C25">
        <w:rPr>
          <w:rFonts w:asciiTheme="minorEastAsia" w:eastAsiaTheme="minorEastAsia" w:hAnsiTheme="minorEastAsia" w:hint="eastAsia"/>
          <w:szCs w:val="21"/>
        </w:rPr>
        <w:t>资产或负债以单独或者组合方式进行计量的最小单位。</w:t>
      </w:r>
      <w:r w:rsidR="00A35D57" w:rsidRPr="00080C25">
        <w:rPr>
          <w:rFonts w:asciiTheme="minorEastAsia" w:eastAsiaTheme="minorEastAsia" w:hAnsiTheme="minorEastAsia" w:cs="宋体" w:hint="eastAsia"/>
          <w:szCs w:val="21"/>
        </w:rPr>
        <w:t>强调的是计量幅度，即计量空间范围的涵盖。</w:t>
      </w:r>
      <w:r w:rsidRPr="00080C25">
        <w:rPr>
          <w:rFonts w:asciiTheme="minorEastAsia" w:eastAsiaTheme="minorEastAsia" w:hAnsiTheme="minorEastAsia" w:cs="宋体" w:hint="eastAsia"/>
          <w:szCs w:val="21"/>
        </w:rPr>
        <w:t>在提到会计计量时，通常的提法都是计量属性和计量单位，但据笔者看来，就目前公允价值属性分析，在已经确定货币为计量单位的前提下，似乎还应该增加一个计量单元的选择。</w:t>
      </w:r>
      <w:r w:rsidR="00A35D57" w:rsidRPr="00080C25">
        <w:rPr>
          <w:rFonts w:asciiTheme="minorEastAsia" w:eastAsiaTheme="minorEastAsia" w:hAnsiTheme="minorEastAsia" w:cs="宋体" w:hint="eastAsia"/>
          <w:szCs w:val="21"/>
        </w:rPr>
        <w:t>如</w:t>
      </w:r>
      <w:r w:rsidRPr="00080C25">
        <w:rPr>
          <w:rFonts w:asciiTheme="minorEastAsia" w:eastAsiaTheme="minorEastAsia" w:hAnsiTheme="minorEastAsia" w:cs="宋体" w:hint="eastAsia"/>
          <w:szCs w:val="21"/>
        </w:rPr>
        <w:t>我国现实货物的交易价格，可以根据需要人为的分为不含增值税的价款和价税合计的两</w:t>
      </w:r>
      <w:r w:rsidR="00A35D57" w:rsidRPr="00080C25">
        <w:rPr>
          <w:rFonts w:asciiTheme="minorEastAsia" w:eastAsiaTheme="minorEastAsia" w:hAnsiTheme="minorEastAsia" w:cs="宋体" w:hint="eastAsia"/>
          <w:szCs w:val="21"/>
        </w:rPr>
        <w:t>个计量单元。</w:t>
      </w:r>
    </w:p>
    <w:p w:rsidR="00435785" w:rsidRPr="00080C25" w:rsidRDefault="00435785"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宋体"/>
          <w:szCs w:val="21"/>
        </w:rPr>
      </w:pPr>
      <w:r w:rsidRPr="00080C25">
        <w:rPr>
          <w:rFonts w:asciiTheme="minorEastAsia" w:eastAsiaTheme="minorEastAsia" w:hAnsiTheme="minorEastAsia" w:cs="宋体" w:hint="eastAsia"/>
          <w:szCs w:val="21"/>
        </w:rPr>
        <w:t>计量属性与计量单元的关系，类似于货币具有的两者属性一样，价</w:t>
      </w:r>
      <w:r w:rsidR="00E77933">
        <w:rPr>
          <w:rFonts w:asciiTheme="minorEastAsia" w:eastAsiaTheme="minorEastAsia" w:hAnsiTheme="minorEastAsia" w:cs="宋体" w:hint="eastAsia"/>
          <w:szCs w:val="21"/>
        </w:rPr>
        <w:t>值尺度和流通手段。作为价值尺度的货币，只是观念上的货币，而作为商品流通手段的货币</w:t>
      </w:r>
      <w:r w:rsidRPr="00080C25">
        <w:rPr>
          <w:rFonts w:asciiTheme="minorEastAsia" w:eastAsiaTheme="minorEastAsia" w:hAnsiTheme="minorEastAsia" w:cs="宋体" w:hint="eastAsia"/>
          <w:szCs w:val="21"/>
        </w:rPr>
        <w:t>，才是交易所需要的真实货币；因此，计量属性表示的是一种计量观念，而要落地为真正的计量结果</w:t>
      </w:r>
      <w:r w:rsidRPr="00080C25">
        <w:rPr>
          <w:rFonts w:asciiTheme="minorEastAsia" w:eastAsiaTheme="minorEastAsia" w:hAnsiTheme="minorEastAsia" w:cs="宋体"/>
          <w:szCs w:val="21"/>
        </w:rPr>
        <w:t>—</w:t>
      </w:r>
      <w:r w:rsidRPr="00080C25">
        <w:rPr>
          <w:rFonts w:asciiTheme="minorEastAsia" w:eastAsiaTheme="minorEastAsia" w:hAnsiTheme="minorEastAsia" w:cs="宋体" w:hint="eastAsia"/>
          <w:szCs w:val="21"/>
        </w:rPr>
        <w:t>即具体的价格，还要</w:t>
      </w:r>
      <w:r w:rsidR="007E0A82" w:rsidRPr="00080C25">
        <w:rPr>
          <w:rFonts w:asciiTheme="minorEastAsia" w:eastAsiaTheme="minorEastAsia" w:hAnsiTheme="minorEastAsia" w:cs="宋体" w:hint="eastAsia"/>
          <w:szCs w:val="21"/>
        </w:rPr>
        <w:t>依赖于</w:t>
      </w:r>
      <w:r w:rsidRPr="00080C25">
        <w:rPr>
          <w:rFonts w:asciiTheme="minorEastAsia" w:eastAsiaTheme="minorEastAsia" w:hAnsiTheme="minorEastAsia" w:cs="宋体" w:hint="eastAsia"/>
          <w:szCs w:val="21"/>
        </w:rPr>
        <w:t>计量单元的确定，只有这样，公允价值才可以进入会计的计录和披露系统。</w:t>
      </w:r>
    </w:p>
    <w:p w:rsidR="00A35D57" w:rsidRPr="00080C25" w:rsidRDefault="00A35D57"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宋体"/>
          <w:szCs w:val="21"/>
        </w:rPr>
      </w:pPr>
      <w:r w:rsidRPr="00080C25">
        <w:rPr>
          <w:rFonts w:asciiTheme="minorEastAsia" w:eastAsiaTheme="minorEastAsia" w:hAnsiTheme="minorEastAsia" w:cs="SwiftLTPro-ExtraBold"/>
          <w:bCs/>
          <w:szCs w:val="21"/>
        </w:rPr>
        <w:t>unit of account</w:t>
      </w:r>
      <w:r w:rsidRPr="00080C25">
        <w:rPr>
          <w:rFonts w:asciiTheme="minorEastAsia" w:eastAsiaTheme="minorEastAsia" w:hAnsiTheme="minorEastAsia" w:cs="SwiftLTPro-ExtraBold" w:hint="eastAsia"/>
          <w:bCs/>
          <w:szCs w:val="21"/>
        </w:rPr>
        <w:t>一词，出现在</w:t>
      </w:r>
      <w:r w:rsidRPr="00080C25">
        <w:rPr>
          <w:rFonts w:asciiTheme="minorEastAsia" w:eastAsiaTheme="minorEastAsia" w:hAnsiTheme="minorEastAsia" w:cs="SwiftLTPro-Regular"/>
          <w:szCs w:val="21"/>
        </w:rPr>
        <w:t>IASB</w:t>
      </w:r>
      <w:r w:rsidRPr="00080C25">
        <w:rPr>
          <w:rFonts w:asciiTheme="minorEastAsia" w:eastAsiaTheme="minorEastAsia" w:hAnsiTheme="minorEastAsia" w:cs="SwiftLTPro-Regular" w:hint="eastAsia"/>
          <w:szCs w:val="21"/>
        </w:rPr>
        <w:t>的公允价值计量</w:t>
      </w:r>
      <w:r w:rsidRPr="00080C25">
        <w:rPr>
          <w:rFonts w:asciiTheme="minorEastAsia" w:eastAsiaTheme="minorEastAsia" w:hAnsiTheme="minorEastAsia" w:cs="SwiftLTPro-Regular"/>
          <w:szCs w:val="21"/>
        </w:rPr>
        <w:t>(fair value measurement)</w:t>
      </w:r>
      <w:r w:rsidRPr="00080C25">
        <w:rPr>
          <w:rFonts w:asciiTheme="minorEastAsia" w:eastAsiaTheme="minorEastAsia" w:hAnsiTheme="minorEastAsia" w:cs="SwiftLTPro-Regular" w:hint="eastAsia"/>
          <w:szCs w:val="21"/>
        </w:rPr>
        <w:t>准则中，</w:t>
      </w:r>
      <w:r w:rsidRPr="00080C25">
        <w:rPr>
          <w:rFonts w:asciiTheme="minorEastAsia" w:eastAsiaTheme="minorEastAsia" w:hAnsiTheme="minorEastAsia" w:cs="FangSong_GB2312,Bold" w:hint="eastAsia"/>
          <w:bCs/>
          <w:szCs w:val="21"/>
        </w:rPr>
        <w:t>准则的定义是，</w:t>
      </w:r>
      <w:r w:rsidRPr="00080C25">
        <w:rPr>
          <w:rFonts w:asciiTheme="minorEastAsia" w:eastAsiaTheme="minorEastAsia" w:hAnsiTheme="minorEastAsia" w:cs="仿宋_GB2312" w:hint="eastAsia"/>
          <w:szCs w:val="21"/>
        </w:rPr>
        <w:t>国际财务报告准则中，规定的资产或负债聚集或分散的水平。早在</w:t>
      </w:r>
      <w:r w:rsidRPr="00080C25">
        <w:rPr>
          <w:rFonts w:asciiTheme="minorEastAsia" w:eastAsiaTheme="minorEastAsia" w:hAnsiTheme="minorEastAsia" w:cs="宋体"/>
          <w:szCs w:val="21"/>
        </w:rPr>
        <w:t>IFRS13</w:t>
      </w:r>
      <w:r w:rsidRPr="00080C25">
        <w:rPr>
          <w:rFonts w:asciiTheme="minorEastAsia" w:eastAsiaTheme="minorEastAsia" w:hAnsiTheme="minorEastAsia" w:hint="eastAsia"/>
          <w:szCs w:val="21"/>
        </w:rPr>
        <w:t>公允价值计量准则的草案阶段，国际会计准则委员会就该名词确定为“计量单位”还是“计量单元”的问题，广泛征求过各会员国意见。</w:t>
      </w:r>
      <w:r w:rsidRPr="00080C25">
        <w:rPr>
          <w:rFonts w:asciiTheme="minorEastAsia" w:eastAsiaTheme="minorEastAsia" w:hAnsiTheme="minorEastAsia" w:cs="宋体" w:hint="eastAsia"/>
          <w:szCs w:val="21"/>
        </w:rPr>
        <w:t>如今，就我国</w:t>
      </w:r>
      <w:r w:rsidR="007E0A82" w:rsidRPr="00080C25">
        <w:rPr>
          <w:rFonts w:asciiTheme="minorEastAsia" w:eastAsiaTheme="minorEastAsia" w:hAnsiTheme="minorEastAsia" w:cs="宋体" w:hint="eastAsia"/>
          <w:szCs w:val="21"/>
        </w:rPr>
        <w:t>公允价值准则</w:t>
      </w:r>
      <w:r w:rsidRPr="00080C25">
        <w:rPr>
          <w:rFonts w:asciiTheme="minorEastAsia" w:eastAsiaTheme="minorEastAsia" w:hAnsiTheme="minorEastAsia" w:cs="宋体" w:hint="eastAsia"/>
          <w:szCs w:val="21"/>
        </w:rPr>
        <w:t>而言，译为计量单元，更为恰当。</w:t>
      </w:r>
    </w:p>
    <w:p w:rsidR="00A35D57" w:rsidRPr="00080C25" w:rsidRDefault="00E77933"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宋体"/>
          <w:szCs w:val="21"/>
        </w:rPr>
      </w:pPr>
      <w:r>
        <w:rPr>
          <w:rFonts w:asciiTheme="minorEastAsia" w:eastAsiaTheme="minorEastAsia" w:hAnsiTheme="minorEastAsia" w:cs="宋体" w:hint="eastAsia"/>
          <w:szCs w:val="21"/>
        </w:rPr>
        <w:t>上述讨论，简言之，</w:t>
      </w:r>
      <w:r w:rsidR="00A35D57" w:rsidRPr="00080C25">
        <w:rPr>
          <w:rFonts w:asciiTheme="minorEastAsia" w:eastAsiaTheme="minorEastAsia" w:hAnsiTheme="minorEastAsia" w:cs="宋体" w:hint="eastAsia"/>
          <w:szCs w:val="21"/>
        </w:rPr>
        <w:t>计量单位注重价值尺度，而计量单元强调价值幅度。</w:t>
      </w:r>
    </w:p>
    <w:p w:rsidR="007F727E" w:rsidRPr="00080C25" w:rsidRDefault="007F727E" w:rsidP="00080C25">
      <w:pPr>
        <w:pStyle w:val="a3"/>
        <w:numPr>
          <w:ilvl w:val="0"/>
          <w:numId w:val="23"/>
        </w:num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b/>
          <w:kern w:val="0"/>
          <w:szCs w:val="21"/>
        </w:rPr>
      </w:pPr>
      <w:r w:rsidRPr="00080C25">
        <w:rPr>
          <w:rFonts w:asciiTheme="minorEastAsia" w:eastAsiaTheme="minorEastAsia" w:hAnsiTheme="minorEastAsia" w:cs="宋体" w:hint="eastAsia"/>
          <w:b/>
          <w:kern w:val="0"/>
          <w:szCs w:val="21"/>
        </w:rPr>
        <w:t>问题产生根源及导致的连锁反应</w:t>
      </w:r>
    </w:p>
    <w:p w:rsidR="007F727E" w:rsidRPr="00080C25" w:rsidRDefault="009305F2" w:rsidP="00080C25">
      <w:pPr>
        <w:pStyle w:val="a3"/>
        <w:numPr>
          <w:ilvl w:val="0"/>
          <w:numId w:val="24"/>
        </w:num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b/>
          <w:kern w:val="0"/>
          <w:szCs w:val="21"/>
        </w:rPr>
      </w:pPr>
      <w:r w:rsidRPr="00080C25">
        <w:rPr>
          <w:rFonts w:asciiTheme="minorEastAsia" w:eastAsiaTheme="minorEastAsia" w:hAnsiTheme="minorEastAsia" w:cs="宋体" w:hint="eastAsia"/>
          <w:b/>
          <w:kern w:val="0"/>
          <w:szCs w:val="21"/>
        </w:rPr>
        <w:t>问题根源</w:t>
      </w:r>
    </w:p>
    <w:p w:rsidR="007E0A82" w:rsidRPr="00080C25" w:rsidRDefault="008A7CFA"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cs="宋体" w:hint="eastAsia"/>
          <w:kern w:val="0"/>
          <w:szCs w:val="21"/>
        </w:rPr>
        <w:t>美国财务报告准则委员会（FASB），自2006年9月发布第157号公允价值准则公告至今，已经过去了十几年，</w:t>
      </w:r>
      <w:r w:rsidR="00FE4726" w:rsidRPr="00080C25">
        <w:rPr>
          <w:rFonts w:asciiTheme="minorEastAsia" w:eastAsiaTheme="minorEastAsia" w:hAnsiTheme="minorEastAsia" w:cs="宋体" w:hint="eastAsia"/>
          <w:kern w:val="0"/>
          <w:szCs w:val="21"/>
        </w:rPr>
        <w:t>2014年1月，我国发布</w:t>
      </w:r>
      <w:r w:rsidR="00FE4726" w:rsidRPr="00080C25">
        <w:rPr>
          <w:rFonts w:asciiTheme="minorEastAsia" w:eastAsiaTheme="minorEastAsia" w:hAnsiTheme="minorEastAsia"/>
          <w:szCs w:val="21"/>
        </w:rPr>
        <w:t>CAS39</w:t>
      </w:r>
      <w:r w:rsidR="00E77933">
        <w:rPr>
          <w:rFonts w:asciiTheme="minorEastAsia" w:eastAsiaTheme="minorEastAsia" w:hAnsiTheme="minorEastAsia" w:hint="eastAsia"/>
          <w:szCs w:val="21"/>
        </w:rPr>
        <w:t>以来，</w:t>
      </w:r>
      <w:r w:rsidR="00FE4726" w:rsidRPr="00080C25">
        <w:rPr>
          <w:rFonts w:asciiTheme="minorEastAsia" w:eastAsiaTheme="minorEastAsia" w:hAnsiTheme="minorEastAsia" w:hint="eastAsia"/>
          <w:szCs w:val="21"/>
        </w:rPr>
        <w:t>也已经</w:t>
      </w:r>
      <w:r w:rsidR="00E77933">
        <w:rPr>
          <w:rFonts w:asciiTheme="minorEastAsia" w:eastAsiaTheme="minorEastAsia" w:hAnsiTheme="minorEastAsia" w:hint="eastAsia"/>
          <w:szCs w:val="21"/>
        </w:rPr>
        <w:t>过去了</w:t>
      </w:r>
      <w:r w:rsidR="00FE4726" w:rsidRPr="00080C25">
        <w:rPr>
          <w:rFonts w:asciiTheme="minorEastAsia" w:eastAsiaTheme="minorEastAsia" w:hAnsiTheme="minorEastAsia" w:hint="eastAsia"/>
          <w:szCs w:val="21"/>
        </w:rPr>
        <w:t>5年，上述问题，为什么得以长期存在，而鲜少学者研究，究其原因，存在以下几种情况或可能。</w:t>
      </w:r>
    </w:p>
    <w:p w:rsidR="00720F81" w:rsidRPr="00080C25" w:rsidRDefault="00FE4726" w:rsidP="00080C25">
      <w:pPr>
        <w:pBdr>
          <w:top w:val="none" w:sz="0" w:space="0" w:color="auto"/>
          <w:left w:val="none" w:sz="0" w:space="0" w:color="auto"/>
          <w:bottom w:val="none" w:sz="0" w:space="0" w:color="auto"/>
          <w:right w:val="none" w:sz="0" w:space="0" w:color="auto"/>
          <w:between w:val="none" w:sz="0" w:space="0" w:color="auto"/>
        </w:pBdr>
        <w:ind w:firstLineChars="200" w:firstLine="420"/>
        <w:rPr>
          <w:rFonts w:asciiTheme="minorEastAsia" w:eastAsiaTheme="minorEastAsia" w:hAnsiTheme="minorEastAsia" w:cs="仿宋_GB2312"/>
          <w:szCs w:val="21"/>
        </w:rPr>
      </w:pPr>
      <w:r w:rsidRPr="00080C25">
        <w:rPr>
          <w:rFonts w:asciiTheme="minorEastAsia" w:eastAsiaTheme="minorEastAsia" w:hAnsiTheme="minorEastAsia" w:hint="eastAsia"/>
          <w:szCs w:val="21"/>
        </w:rPr>
        <w:t>世界范围内，上个世纪五十年代创立的增值税税制，虽然影响很大，应用范围很广，</w:t>
      </w:r>
      <w:r w:rsidR="00CE51AD" w:rsidRPr="00080C25">
        <w:rPr>
          <w:rFonts w:asciiTheme="minorEastAsia" w:eastAsiaTheme="minorEastAsia" w:hAnsiTheme="minorEastAsia" w:hint="eastAsia"/>
          <w:szCs w:val="21"/>
        </w:rPr>
        <w:t>但其优势主要集中在两点：一是突出税收效率原则，二是不同生产组织形式</w:t>
      </w:r>
      <w:r w:rsidR="00192B63" w:rsidRPr="00080C25">
        <w:rPr>
          <w:rFonts w:asciiTheme="minorEastAsia" w:eastAsiaTheme="minorEastAsia" w:hAnsiTheme="minorEastAsia" w:hint="eastAsia"/>
          <w:szCs w:val="21"/>
        </w:rPr>
        <w:t>（综合生产和专业化分工协作生产）</w:t>
      </w:r>
      <w:r w:rsidR="00CE51AD" w:rsidRPr="00080C25">
        <w:rPr>
          <w:rFonts w:asciiTheme="minorEastAsia" w:eastAsiaTheme="minorEastAsia" w:hAnsiTheme="minorEastAsia" w:hint="eastAsia"/>
          <w:szCs w:val="21"/>
        </w:rPr>
        <w:t>间税负的公平原则；</w:t>
      </w:r>
      <w:r w:rsidRPr="00080C25">
        <w:rPr>
          <w:rFonts w:asciiTheme="minorEastAsia" w:eastAsiaTheme="minorEastAsia" w:hAnsiTheme="minorEastAsia" w:hint="eastAsia"/>
          <w:szCs w:val="21"/>
        </w:rPr>
        <w:t>但美国由于其特殊的政治管理体制</w:t>
      </w:r>
      <w:r w:rsidR="00192B63" w:rsidRPr="00080C25">
        <w:rPr>
          <w:rFonts w:asciiTheme="minorEastAsia" w:eastAsiaTheme="minorEastAsia" w:hAnsiTheme="minorEastAsia" w:hint="eastAsia"/>
          <w:szCs w:val="21"/>
        </w:rPr>
        <w:t>（联邦制）</w:t>
      </w:r>
      <w:r w:rsidRPr="00080C25">
        <w:rPr>
          <w:rFonts w:asciiTheme="minorEastAsia" w:eastAsiaTheme="minorEastAsia" w:hAnsiTheme="minorEastAsia" w:hint="eastAsia"/>
          <w:szCs w:val="21"/>
        </w:rPr>
        <w:t>，和</w:t>
      </w:r>
      <w:r w:rsidR="00CE51AD" w:rsidRPr="00080C25">
        <w:rPr>
          <w:rFonts w:asciiTheme="minorEastAsia" w:eastAsiaTheme="minorEastAsia" w:hAnsiTheme="minorEastAsia" w:hint="eastAsia"/>
          <w:szCs w:val="21"/>
        </w:rPr>
        <w:t>对自然人</w:t>
      </w:r>
      <w:r w:rsidRPr="00080C25">
        <w:rPr>
          <w:rFonts w:asciiTheme="minorEastAsia" w:eastAsiaTheme="minorEastAsia" w:hAnsiTheme="minorEastAsia" w:hint="eastAsia"/>
          <w:szCs w:val="21"/>
        </w:rPr>
        <w:t>税负公平</w:t>
      </w:r>
      <w:r w:rsidRPr="00080C25">
        <w:rPr>
          <w:rFonts w:asciiTheme="minorEastAsia" w:eastAsiaTheme="minorEastAsia" w:hAnsiTheme="minorEastAsia" w:hint="eastAsia"/>
          <w:szCs w:val="21"/>
        </w:rPr>
        <w:lastRenderedPageBreak/>
        <w:t>优先于税收效率的综合考虑，没有采用增值税</w:t>
      </w:r>
      <w:r w:rsidR="003F756C" w:rsidRPr="00080C25">
        <w:rPr>
          <w:rFonts w:asciiTheme="minorEastAsia" w:eastAsiaTheme="minorEastAsia" w:hAnsiTheme="minorEastAsia" w:hint="eastAsia"/>
          <w:szCs w:val="21"/>
        </w:rPr>
        <w:t>；因而会计上也</w:t>
      </w:r>
      <w:r w:rsidRPr="00080C25">
        <w:rPr>
          <w:rFonts w:asciiTheme="minorEastAsia" w:eastAsiaTheme="minorEastAsia" w:hAnsiTheme="minorEastAsia" w:hint="eastAsia"/>
          <w:szCs w:val="21"/>
        </w:rPr>
        <w:t>没有增值税和价格分开</w:t>
      </w:r>
      <w:r w:rsidR="00720F81" w:rsidRPr="00080C25">
        <w:rPr>
          <w:rFonts w:asciiTheme="minorEastAsia" w:eastAsiaTheme="minorEastAsia" w:hAnsiTheme="minorEastAsia" w:hint="eastAsia"/>
          <w:szCs w:val="21"/>
        </w:rPr>
        <w:t>处理的实务要求；</w:t>
      </w:r>
      <w:r w:rsidR="00720F81" w:rsidRPr="00080C25">
        <w:rPr>
          <w:rFonts w:asciiTheme="minorEastAsia" w:eastAsiaTheme="minorEastAsia" w:hAnsiTheme="minorEastAsia" w:cs="仿宋_GB2312" w:hint="eastAsia"/>
          <w:szCs w:val="21"/>
        </w:rPr>
        <w:t>尽管美国也有营业税和消费税，但都在销售环节由消费者直接</w:t>
      </w:r>
      <w:r w:rsidR="00CE51AD" w:rsidRPr="00080C25">
        <w:rPr>
          <w:rFonts w:asciiTheme="minorEastAsia" w:eastAsiaTheme="minorEastAsia" w:hAnsiTheme="minorEastAsia" w:cs="仿宋_GB2312" w:hint="eastAsia"/>
          <w:szCs w:val="21"/>
        </w:rPr>
        <w:t>申报和</w:t>
      </w:r>
      <w:r w:rsidR="00720F81" w:rsidRPr="00080C25">
        <w:rPr>
          <w:rFonts w:asciiTheme="minorEastAsia" w:eastAsiaTheme="minorEastAsia" w:hAnsiTheme="minorEastAsia" w:cs="仿宋_GB2312" w:hint="eastAsia"/>
          <w:szCs w:val="21"/>
        </w:rPr>
        <w:t>负担，在美国，其公允价值的经济计量单元和会计计量单元是</w:t>
      </w:r>
      <w:r w:rsidR="00192B63" w:rsidRPr="00080C25">
        <w:rPr>
          <w:rFonts w:asciiTheme="minorEastAsia" w:eastAsiaTheme="minorEastAsia" w:hAnsiTheme="minorEastAsia" w:cs="仿宋_GB2312" w:hint="eastAsia"/>
          <w:szCs w:val="21"/>
        </w:rPr>
        <w:t>完全</w:t>
      </w:r>
      <w:r w:rsidR="00720F81" w:rsidRPr="00080C25">
        <w:rPr>
          <w:rFonts w:asciiTheme="minorEastAsia" w:eastAsiaTheme="minorEastAsia" w:hAnsiTheme="minorEastAsia" w:cs="仿宋_GB2312" w:hint="eastAsia"/>
          <w:szCs w:val="21"/>
        </w:rPr>
        <w:t>一致的，其计量结果</w:t>
      </w:r>
      <w:r w:rsidR="00192B63" w:rsidRPr="00080C25">
        <w:rPr>
          <w:rFonts w:asciiTheme="minorEastAsia" w:eastAsiaTheme="minorEastAsia" w:hAnsiTheme="minorEastAsia" w:cs="仿宋_GB2312" w:hint="eastAsia"/>
          <w:szCs w:val="21"/>
        </w:rPr>
        <w:t>也</w:t>
      </w:r>
      <w:r w:rsidR="00720F81" w:rsidRPr="00080C25">
        <w:rPr>
          <w:rFonts w:asciiTheme="minorEastAsia" w:eastAsiaTheme="minorEastAsia" w:hAnsiTheme="minorEastAsia" w:cs="仿宋_GB2312" w:hint="eastAsia"/>
          <w:szCs w:val="21"/>
        </w:rPr>
        <w:t>是唯一的。在本文初始提到的债务重组准则中划线的公允价值，</w:t>
      </w:r>
      <w:r w:rsidR="00E77933">
        <w:rPr>
          <w:rFonts w:asciiTheme="minorEastAsia" w:eastAsiaTheme="minorEastAsia" w:hAnsiTheme="minorEastAsia" w:cs="仿宋_GB2312" w:hint="eastAsia"/>
          <w:szCs w:val="21"/>
        </w:rPr>
        <w:t>在美国，</w:t>
      </w:r>
      <w:r w:rsidR="00720F81" w:rsidRPr="00080C25">
        <w:rPr>
          <w:rFonts w:asciiTheme="minorEastAsia" w:eastAsiaTheme="minorEastAsia" w:hAnsiTheme="minorEastAsia" w:cs="仿宋_GB2312" w:hint="eastAsia"/>
          <w:szCs w:val="21"/>
        </w:rPr>
        <w:t>就不会有两个</w:t>
      </w:r>
      <w:r w:rsidR="00192B63" w:rsidRPr="00080C25">
        <w:rPr>
          <w:rFonts w:asciiTheme="minorEastAsia" w:eastAsiaTheme="minorEastAsia" w:hAnsiTheme="minorEastAsia" w:cs="仿宋_GB2312" w:hint="eastAsia"/>
          <w:szCs w:val="21"/>
        </w:rPr>
        <w:t>不同的</w:t>
      </w:r>
      <w:r w:rsidR="00720F81" w:rsidRPr="00080C25">
        <w:rPr>
          <w:rFonts w:asciiTheme="minorEastAsia" w:eastAsiaTheme="minorEastAsia" w:hAnsiTheme="minorEastAsia" w:cs="仿宋_GB2312" w:hint="eastAsia"/>
          <w:szCs w:val="21"/>
        </w:rPr>
        <w:t>计量结果。</w:t>
      </w:r>
    </w:p>
    <w:p w:rsidR="003F756C" w:rsidRPr="00080C25" w:rsidRDefault="00720F81" w:rsidP="00080C25">
      <w:pPr>
        <w:pBdr>
          <w:top w:val="none" w:sz="0" w:space="0" w:color="auto"/>
          <w:left w:val="none" w:sz="0" w:space="0" w:color="auto"/>
          <w:bottom w:val="none" w:sz="0" w:space="0" w:color="auto"/>
          <w:right w:val="none" w:sz="0" w:space="0" w:color="auto"/>
          <w:between w:val="none" w:sz="0" w:space="0" w:color="auto"/>
        </w:pBdr>
        <w:ind w:firstLineChars="200" w:firstLine="420"/>
        <w:rPr>
          <w:rFonts w:asciiTheme="minorEastAsia" w:eastAsiaTheme="minorEastAsia" w:hAnsiTheme="minorEastAsia" w:cs="仿宋_GB2312"/>
          <w:szCs w:val="21"/>
        </w:rPr>
      </w:pPr>
      <w:r w:rsidRPr="00080C25">
        <w:rPr>
          <w:rFonts w:asciiTheme="minorEastAsia" w:eastAsiaTheme="minorEastAsia" w:hAnsiTheme="minorEastAsia" w:cs="仿宋_GB2312" w:hint="eastAsia"/>
          <w:szCs w:val="21"/>
        </w:rPr>
        <w:t>在我国，相关领域的研究是空白的，研究者由于思维的惯性，觉得在美国没有出现的问题，在我国一样也不会出现；而在实务界，虽然发现了</w:t>
      </w:r>
      <w:r w:rsidR="003F756C" w:rsidRPr="00080C25">
        <w:rPr>
          <w:rFonts w:asciiTheme="minorEastAsia" w:eastAsiaTheme="minorEastAsia" w:hAnsiTheme="minorEastAsia" w:cs="仿宋_GB2312" w:hint="eastAsia"/>
          <w:szCs w:val="21"/>
        </w:rPr>
        <w:t>一些端倪</w:t>
      </w:r>
      <w:r w:rsidRPr="00080C25">
        <w:rPr>
          <w:rFonts w:asciiTheme="minorEastAsia" w:eastAsiaTheme="minorEastAsia" w:hAnsiTheme="minorEastAsia" w:cs="仿宋_GB2312" w:hint="eastAsia"/>
          <w:szCs w:val="21"/>
        </w:rPr>
        <w:t>，但由于理论基础的欠缺，</w:t>
      </w:r>
      <w:r w:rsidR="003F756C" w:rsidRPr="00080C25">
        <w:rPr>
          <w:rFonts w:asciiTheme="minorEastAsia" w:eastAsiaTheme="minorEastAsia" w:hAnsiTheme="minorEastAsia" w:cs="仿宋_GB2312" w:hint="eastAsia"/>
          <w:szCs w:val="21"/>
        </w:rPr>
        <w:t>问题依然没有真正解决，再加上这类问题并不具有普遍性</w:t>
      </w:r>
      <w:r w:rsidR="00E77933">
        <w:rPr>
          <w:rFonts w:asciiTheme="minorEastAsia" w:eastAsiaTheme="minorEastAsia" w:hAnsiTheme="minorEastAsia" w:cs="仿宋_GB2312" w:hint="eastAsia"/>
          <w:szCs w:val="21"/>
        </w:rPr>
        <w:t>（营改增前）</w:t>
      </w:r>
      <w:r w:rsidR="003F756C" w:rsidRPr="00080C25">
        <w:rPr>
          <w:rFonts w:asciiTheme="minorEastAsia" w:eastAsiaTheme="minorEastAsia" w:hAnsiTheme="minorEastAsia" w:cs="仿宋_GB2312" w:hint="eastAsia"/>
          <w:szCs w:val="21"/>
        </w:rPr>
        <w:t>，只存在于债务重组、非货币资产交换几个特殊领域，因而也就一再被忽视。</w:t>
      </w:r>
    </w:p>
    <w:p w:rsidR="00FE4726" w:rsidRPr="00080C25" w:rsidRDefault="003F756C" w:rsidP="00080C25">
      <w:pPr>
        <w:pBdr>
          <w:top w:val="none" w:sz="0" w:space="0" w:color="auto"/>
          <w:left w:val="none" w:sz="0" w:space="0" w:color="auto"/>
          <w:bottom w:val="none" w:sz="0" w:space="0" w:color="auto"/>
          <w:right w:val="none" w:sz="0" w:space="0" w:color="auto"/>
          <w:between w:val="none" w:sz="0" w:space="0" w:color="auto"/>
        </w:pBdr>
        <w:ind w:firstLineChars="200" w:firstLine="420"/>
        <w:rPr>
          <w:rFonts w:asciiTheme="minorEastAsia" w:eastAsiaTheme="minorEastAsia" w:hAnsiTheme="minorEastAsia" w:cs="宋体"/>
          <w:b/>
          <w:kern w:val="0"/>
          <w:szCs w:val="21"/>
        </w:rPr>
      </w:pPr>
      <w:r w:rsidRPr="00080C25">
        <w:rPr>
          <w:rFonts w:asciiTheme="minorEastAsia" w:eastAsiaTheme="minorEastAsia" w:hAnsiTheme="minorEastAsia" w:cs="仿宋_GB2312" w:hint="eastAsia"/>
          <w:szCs w:val="21"/>
        </w:rPr>
        <w:t>现实的情况是</w:t>
      </w:r>
      <w:r w:rsidR="00720F81" w:rsidRPr="00080C25">
        <w:rPr>
          <w:rFonts w:asciiTheme="minorEastAsia" w:eastAsiaTheme="minorEastAsia" w:hAnsiTheme="minorEastAsia" w:cs="仿宋_GB2312" w:hint="eastAsia"/>
          <w:szCs w:val="21"/>
        </w:rPr>
        <w:t>，沿用主流观点，上述准则中的实务问题，虽然也可以部分解决，但思想是混乱的。注册会计师协会编写的</w:t>
      </w:r>
      <w:r w:rsidR="00720F81" w:rsidRPr="00080C25">
        <w:rPr>
          <w:rFonts w:asciiTheme="minorEastAsia" w:eastAsiaTheme="minorEastAsia" w:hAnsiTheme="minorEastAsia" w:cs="仿宋_GB2312"/>
          <w:szCs w:val="21"/>
        </w:rPr>
        <w:t>2016</w:t>
      </w:r>
      <w:r w:rsidR="00720F81" w:rsidRPr="00080C25">
        <w:rPr>
          <w:rFonts w:asciiTheme="minorEastAsia" w:eastAsiaTheme="minorEastAsia" w:hAnsiTheme="minorEastAsia" w:cs="仿宋_GB2312" w:hint="eastAsia"/>
          <w:szCs w:val="21"/>
        </w:rPr>
        <w:t>年度注册会计师</w:t>
      </w:r>
      <w:r w:rsidRPr="00080C25">
        <w:rPr>
          <w:rFonts w:asciiTheme="minorEastAsia" w:eastAsiaTheme="minorEastAsia" w:hAnsiTheme="minorEastAsia" w:cs="仿宋_GB2312" w:hint="eastAsia"/>
          <w:szCs w:val="21"/>
        </w:rPr>
        <w:t>全国统一考试辅导教材，其中有关准则的</w:t>
      </w:r>
      <w:r w:rsidR="00720F81" w:rsidRPr="00080C25">
        <w:rPr>
          <w:rFonts w:asciiTheme="minorEastAsia" w:eastAsiaTheme="minorEastAsia" w:hAnsiTheme="minorEastAsia" w:cs="仿宋_GB2312" w:hint="eastAsia"/>
          <w:szCs w:val="21"/>
        </w:rPr>
        <w:t>案例解析，有关公允价值与增值税的计量表述是模糊的、甚至是回避的。虽然在非货币资产交换准则中，补价剔除了增值税，但并未解释剔除的原因</w:t>
      </w:r>
      <w:r w:rsidR="00B35984" w:rsidRPr="00080C25">
        <w:rPr>
          <w:rFonts w:asciiTheme="minorEastAsia" w:eastAsiaTheme="minorEastAsia" w:hAnsiTheme="minorEastAsia" w:cs="仿宋_GB2312" w:hint="eastAsia"/>
          <w:szCs w:val="21"/>
        </w:rPr>
        <w:t>（对于该问题的解释参见2015第四期的《财经论丛》P66）</w:t>
      </w:r>
      <w:r w:rsidR="00720F81" w:rsidRPr="00080C25">
        <w:rPr>
          <w:rFonts w:asciiTheme="minorEastAsia" w:eastAsiaTheme="minorEastAsia" w:hAnsiTheme="minorEastAsia" w:cs="仿宋_GB2312" w:hint="eastAsia"/>
          <w:szCs w:val="21"/>
        </w:rPr>
        <w:t>，而其他准则更是</w:t>
      </w:r>
      <w:r w:rsidRPr="00080C25">
        <w:rPr>
          <w:rFonts w:asciiTheme="minorEastAsia" w:eastAsiaTheme="minorEastAsia" w:hAnsiTheme="minorEastAsia" w:cs="仿宋_GB2312" w:hint="eastAsia"/>
          <w:szCs w:val="21"/>
        </w:rPr>
        <w:t>不约而同的</w:t>
      </w:r>
      <w:r w:rsidR="00720F81" w:rsidRPr="00080C25">
        <w:rPr>
          <w:rFonts w:asciiTheme="minorEastAsia" w:eastAsiaTheme="minorEastAsia" w:hAnsiTheme="minorEastAsia" w:cs="仿宋_GB2312" w:hint="eastAsia"/>
          <w:szCs w:val="21"/>
        </w:rPr>
        <w:t>都选择</w:t>
      </w:r>
      <w:r w:rsidRPr="00080C25">
        <w:rPr>
          <w:rFonts w:asciiTheme="minorEastAsia" w:eastAsiaTheme="minorEastAsia" w:hAnsiTheme="minorEastAsia" w:cs="仿宋_GB2312" w:hint="eastAsia"/>
          <w:szCs w:val="21"/>
        </w:rPr>
        <w:t>了集体</w:t>
      </w:r>
      <w:r w:rsidR="00720F81" w:rsidRPr="00080C25">
        <w:rPr>
          <w:rFonts w:asciiTheme="minorEastAsia" w:eastAsiaTheme="minorEastAsia" w:hAnsiTheme="minorEastAsia" w:cs="仿宋_GB2312" w:hint="eastAsia"/>
          <w:szCs w:val="21"/>
        </w:rPr>
        <w:t>回避与增值税的计量问题，在我国“营改增”的制度背景下，其现实意义</w:t>
      </w:r>
      <w:r w:rsidR="0079317E" w:rsidRPr="00080C25">
        <w:rPr>
          <w:rFonts w:asciiTheme="minorEastAsia" w:eastAsiaTheme="minorEastAsia" w:hAnsiTheme="minorEastAsia" w:cs="仿宋_GB2312" w:hint="eastAsia"/>
          <w:szCs w:val="21"/>
        </w:rPr>
        <w:t>不仅</w:t>
      </w:r>
      <w:r w:rsidR="00720F81" w:rsidRPr="00080C25">
        <w:rPr>
          <w:rFonts w:asciiTheme="minorEastAsia" w:eastAsiaTheme="minorEastAsia" w:hAnsiTheme="minorEastAsia" w:cs="仿宋_GB2312" w:hint="eastAsia"/>
          <w:szCs w:val="21"/>
        </w:rPr>
        <w:t>不足</w:t>
      </w:r>
      <w:r w:rsidR="0079317E" w:rsidRPr="00080C25">
        <w:rPr>
          <w:rFonts w:asciiTheme="minorEastAsia" w:eastAsiaTheme="minorEastAsia" w:hAnsiTheme="minorEastAsia" w:cs="仿宋_GB2312" w:hint="eastAsia"/>
          <w:szCs w:val="21"/>
        </w:rPr>
        <w:t>，而且已经避无可避</w:t>
      </w:r>
      <w:r w:rsidR="00720F81" w:rsidRPr="00080C25">
        <w:rPr>
          <w:rFonts w:asciiTheme="minorEastAsia" w:eastAsiaTheme="minorEastAsia" w:hAnsiTheme="minorEastAsia" w:cs="仿宋_GB2312" w:hint="eastAsia"/>
          <w:szCs w:val="21"/>
        </w:rPr>
        <w:t>。</w:t>
      </w:r>
      <w:r w:rsidR="0079317E" w:rsidRPr="00080C25">
        <w:rPr>
          <w:rFonts w:asciiTheme="minorEastAsia" w:eastAsiaTheme="minorEastAsia" w:hAnsiTheme="minorEastAsia" w:cs="仿宋_GB2312" w:hint="eastAsia"/>
          <w:szCs w:val="21"/>
        </w:rPr>
        <w:t>“营改增”后金融商品价格中的增值税，已经无法像制造业一样实行价税剥离，用扣税法计算应纳税额，而必须采用扣额法，这样其计入金融商品入账价值的金额就必须包含增值税。</w:t>
      </w:r>
      <w:r w:rsidR="00192B63" w:rsidRPr="00080C25">
        <w:rPr>
          <w:rFonts w:asciiTheme="minorEastAsia" w:eastAsiaTheme="minorEastAsia" w:hAnsiTheme="minorEastAsia" w:cs="仿宋_GB2312" w:hint="eastAsia"/>
          <w:szCs w:val="21"/>
        </w:rPr>
        <w:t>同样，</w:t>
      </w:r>
      <w:r w:rsidR="00D53A08" w:rsidRPr="00080C25">
        <w:rPr>
          <w:rFonts w:asciiTheme="minorEastAsia" w:eastAsiaTheme="minorEastAsia" w:hAnsiTheme="minorEastAsia" w:cs="仿宋_GB2312" w:hint="eastAsia"/>
          <w:szCs w:val="21"/>
        </w:rPr>
        <w:t>“营改增”</w:t>
      </w:r>
      <w:r w:rsidR="00192B63" w:rsidRPr="00080C25">
        <w:rPr>
          <w:rFonts w:asciiTheme="minorEastAsia" w:eastAsiaTheme="minorEastAsia" w:hAnsiTheme="minorEastAsia" w:cs="仿宋_GB2312" w:hint="eastAsia"/>
          <w:szCs w:val="21"/>
        </w:rPr>
        <w:t>后的租赁准则，其未确认的融资费用和收益</w:t>
      </w:r>
      <w:r w:rsidR="00D53A08" w:rsidRPr="00080C25">
        <w:rPr>
          <w:rFonts w:asciiTheme="minorEastAsia" w:eastAsiaTheme="minorEastAsia" w:hAnsiTheme="minorEastAsia" w:cs="仿宋_GB2312" w:hint="eastAsia"/>
          <w:szCs w:val="21"/>
        </w:rPr>
        <w:t>都存在</w:t>
      </w:r>
      <w:r w:rsidR="00342BB3" w:rsidRPr="00080C25">
        <w:rPr>
          <w:rFonts w:asciiTheme="minorEastAsia" w:eastAsiaTheme="minorEastAsia" w:hAnsiTheme="minorEastAsia" w:cs="仿宋_GB2312" w:hint="eastAsia"/>
          <w:szCs w:val="21"/>
        </w:rPr>
        <w:t>公允价值与</w:t>
      </w:r>
      <w:r w:rsidR="00D53A08" w:rsidRPr="00080C25">
        <w:rPr>
          <w:rFonts w:asciiTheme="minorEastAsia" w:eastAsiaTheme="minorEastAsia" w:hAnsiTheme="minorEastAsia" w:cs="仿宋_GB2312" w:hint="eastAsia"/>
          <w:szCs w:val="21"/>
        </w:rPr>
        <w:t>增值税的价税剥离问题。</w:t>
      </w:r>
    </w:p>
    <w:p w:rsidR="007F727E" w:rsidRPr="00080C25" w:rsidRDefault="007F727E" w:rsidP="00080C25">
      <w:pPr>
        <w:pStyle w:val="a3"/>
        <w:numPr>
          <w:ilvl w:val="0"/>
          <w:numId w:val="24"/>
        </w:num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b/>
          <w:kern w:val="0"/>
          <w:szCs w:val="21"/>
        </w:rPr>
      </w:pPr>
      <w:r w:rsidRPr="00080C25">
        <w:rPr>
          <w:rFonts w:asciiTheme="minorEastAsia" w:eastAsiaTheme="minorEastAsia" w:hAnsiTheme="minorEastAsia" w:cs="宋体" w:hint="eastAsia"/>
          <w:b/>
          <w:kern w:val="0"/>
          <w:szCs w:val="21"/>
        </w:rPr>
        <w:t>连锁</w:t>
      </w:r>
      <w:r w:rsidR="009305F2" w:rsidRPr="00080C25">
        <w:rPr>
          <w:rFonts w:asciiTheme="minorEastAsia" w:eastAsiaTheme="minorEastAsia" w:hAnsiTheme="minorEastAsia" w:cs="宋体" w:hint="eastAsia"/>
          <w:b/>
          <w:kern w:val="0"/>
          <w:szCs w:val="21"/>
        </w:rPr>
        <w:t>反应</w:t>
      </w:r>
    </w:p>
    <w:p w:rsidR="00F573B0" w:rsidRPr="00080C25" w:rsidRDefault="00946E62" w:rsidP="00080C25">
      <w:pPr>
        <w:ind w:firstLineChars="200" w:firstLine="420"/>
        <w:rPr>
          <w:rFonts w:asciiTheme="minorEastAsia" w:eastAsiaTheme="minorEastAsia" w:hAnsiTheme="minorEastAsia" w:cs="宋体"/>
          <w:kern w:val="0"/>
          <w:szCs w:val="21"/>
        </w:rPr>
      </w:pPr>
      <w:r w:rsidRPr="00080C25">
        <w:rPr>
          <w:rFonts w:asciiTheme="minorEastAsia" w:eastAsiaTheme="minorEastAsia" w:hAnsiTheme="minorEastAsia" w:cs="宋体" w:hint="eastAsia"/>
          <w:kern w:val="0"/>
          <w:szCs w:val="21"/>
        </w:rPr>
        <w:t>关于增值税是否影响企业税负，对于一般纳税人，</w:t>
      </w:r>
      <w:r w:rsidR="0033659D" w:rsidRPr="00080C25">
        <w:rPr>
          <w:rFonts w:asciiTheme="minorEastAsia" w:eastAsiaTheme="minorEastAsia" w:hAnsiTheme="minorEastAsia" w:cs="宋体" w:hint="eastAsia"/>
          <w:kern w:val="0"/>
          <w:szCs w:val="21"/>
        </w:rPr>
        <w:t>由于公允价值已经被认定为不含增值税，</w:t>
      </w:r>
      <w:r w:rsidRPr="00080C25">
        <w:rPr>
          <w:rFonts w:asciiTheme="minorEastAsia" w:eastAsiaTheme="minorEastAsia" w:hAnsiTheme="minorEastAsia" w:cs="宋体" w:hint="eastAsia"/>
          <w:kern w:val="0"/>
          <w:szCs w:val="21"/>
        </w:rPr>
        <w:t>会计实务中的收入剔除了增值税，购买资产的</w:t>
      </w:r>
      <w:r w:rsidR="00DB2AEB" w:rsidRPr="00080C25">
        <w:rPr>
          <w:rFonts w:asciiTheme="minorEastAsia" w:eastAsiaTheme="minorEastAsia" w:hAnsiTheme="minorEastAsia" w:cs="宋体" w:hint="eastAsia"/>
          <w:kern w:val="0"/>
          <w:szCs w:val="21"/>
        </w:rPr>
        <w:t>入账</w:t>
      </w:r>
      <w:r w:rsidRPr="00080C25">
        <w:rPr>
          <w:rFonts w:asciiTheme="minorEastAsia" w:eastAsiaTheme="minorEastAsia" w:hAnsiTheme="minorEastAsia" w:cs="宋体" w:hint="eastAsia"/>
          <w:kern w:val="0"/>
          <w:szCs w:val="21"/>
        </w:rPr>
        <w:t>成本也实行价税剥离，因此</w:t>
      </w:r>
      <w:r w:rsidR="00DB2AEB" w:rsidRPr="00080C25">
        <w:rPr>
          <w:rFonts w:asciiTheme="minorEastAsia" w:eastAsiaTheme="minorEastAsia" w:hAnsiTheme="minorEastAsia" w:cs="宋体" w:hint="eastAsia"/>
          <w:kern w:val="0"/>
          <w:szCs w:val="21"/>
        </w:rPr>
        <w:t>，利润表中的收入和成本都是不含增值税的，利润表中也就没有增值税项目，</w:t>
      </w:r>
      <w:r w:rsidRPr="00080C25">
        <w:rPr>
          <w:rFonts w:asciiTheme="minorEastAsia" w:eastAsiaTheme="minorEastAsia" w:hAnsiTheme="minorEastAsia" w:cs="宋体" w:hint="eastAsia"/>
          <w:kern w:val="0"/>
          <w:szCs w:val="21"/>
        </w:rPr>
        <w:t>利润的计算不涉及增值税，所以，就产生了这样一种说法，增值税负与企业利润无关，企业只是国家税收的代理人，代国家收取代消费者</w:t>
      </w:r>
      <w:r w:rsidR="00F573B0" w:rsidRPr="00080C25">
        <w:rPr>
          <w:rFonts w:asciiTheme="minorEastAsia" w:eastAsiaTheme="minorEastAsia" w:hAnsiTheme="minorEastAsia" w:cs="宋体" w:hint="eastAsia"/>
          <w:kern w:val="0"/>
          <w:szCs w:val="21"/>
        </w:rPr>
        <w:t>缴纳。</w:t>
      </w:r>
      <w:r w:rsidR="000C1CB1" w:rsidRPr="00080C25">
        <w:rPr>
          <w:rFonts w:asciiTheme="minorEastAsia" w:eastAsiaTheme="minorEastAsia" w:hAnsiTheme="minorEastAsia" w:cs="宋体" w:hint="eastAsia"/>
          <w:kern w:val="0"/>
          <w:szCs w:val="21"/>
        </w:rPr>
        <w:t>(</w:t>
      </w:r>
      <w:r w:rsidR="000C1CB1" w:rsidRPr="00080C25">
        <w:rPr>
          <w:rFonts w:asciiTheme="minorEastAsia" w:eastAsiaTheme="minorEastAsia" w:hAnsiTheme="minorEastAsia" w:hint="eastAsia"/>
          <w:szCs w:val="21"/>
        </w:rPr>
        <w:t>各国税制比较研究课题组.1996.增值税制国际比较</w:t>
      </w:r>
      <w:r w:rsidR="000C1CB1" w:rsidRPr="00080C25">
        <w:rPr>
          <w:rFonts w:asciiTheme="minorEastAsia" w:eastAsiaTheme="minorEastAsia" w:hAnsiTheme="minorEastAsia" w:cs="宋体" w:hint="eastAsia"/>
          <w:kern w:val="0"/>
          <w:szCs w:val="21"/>
        </w:rPr>
        <w:t>)</w:t>
      </w:r>
    </w:p>
    <w:p w:rsidR="00342BB3" w:rsidRPr="00080C25" w:rsidRDefault="0033659D" w:rsidP="00080C25">
      <w:pPr>
        <w:ind w:firstLineChars="200" w:firstLine="420"/>
        <w:rPr>
          <w:rFonts w:asciiTheme="minorEastAsia" w:eastAsiaTheme="minorEastAsia" w:hAnsiTheme="minorEastAsia"/>
          <w:kern w:val="0"/>
          <w:szCs w:val="21"/>
        </w:rPr>
      </w:pPr>
      <w:r w:rsidRPr="00080C25">
        <w:rPr>
          <w:rFonts w:asciiTheme="minorEastAsia" w:eastAsiaTheme="minorEastAsia" w:hAnsiTheme="minorEastAsia" w:cs="宋体" w:hint="eastAsia"/>
          <w:kern w:val="0"/>
          <w:szCs w:val="21"/>
        </w:rPr>
        <w:t>就利润计算过程和利润表的现实而言，上述说法言之成理。</w:t>
      </w:r>
      <w:r w:rsidR="00946E62" w:rsidRPr="00080C25">
        <w:rPr>
          <w:rFonts w:asciiTheme="minorEastAsia" w:eastAsiaTheme="minorEastAsia" w:hAnsiTheme="minorEastAsia" w:cs="宋体" w:hint="eastAsia"/>
          <w:kern w:val="0"/>
          <w:szCs w:val="21"/>
        </w:rPr>
        <w:t>如果事实果真如此，为</w:t>
      </w:r>
      <w:r w:rsidRPr="00080C25">
        <w:rPr>
          <w:rFonts w:asciiTheme="minorEastAsia" w:eastAsiaTheme="minorEastAsia" w:hAnsiTheme="minorEastAsia" w:cs="宋体" w:hint="eastAsia"/>
          <w:kern w:val="0"/>
          <w:szCs w:val="21"/>
        </w:rPr>
        <w:t>什么管理当局</w:t>
      </w:r>
      <w:r w:rsidR="00946E62" w:rsidRPr="00080C25">
        <w:rPr>
          <w:rFonts w:asciiTheme="minorEastAsia" w:eastAsiaTheme="minorEastAsia" w:hAnsiTheme="minorEastAsia" w:cs="宋体" w:hint="eastAsia"/>
          <w:kern w:val="0"/>
          <w:szCs w:val="21"/>
        </w:rPr>
        <w:t>一再调</w:t>
      </w:r>
      <w:r w:rsidRPr="00080C25">
        <w:rPr>
          <w:rFonts w:asciiTheme="minorEastAsia" w:eastAsiaTheme="minorEastAsia" w:hAnsiTheme="minorEastAsia" w:cs="宋体" w:hint="eastAsia"/>
          <w:kern w:val="0"/>
          <w:szCs w:val="21"/>
        </w:rPr>
        <w:t>低</w:t>
      </w:r>
      <w:r w:rsidR="00946E62" w:rsidRPr="00080C25">
        <w:rPr>
          <w:rFonts w:asciiTheme="minorEastAsia" w:eastAsiaTheme="minorEastAsia" w:hAnsiTheme="minorEastAsia" w:cs="宋体" w:hint="eastAsia"/>
          <w:kern w:val="0"/>
          <w:szCs w:val="21"/>
        </w:rPr>
        <w:t>增值税税率，</w:t>
      </w:r>
      <w:r w:rsidRPr="00080C25">
        <w:rPr>
          <w:rFonts w:asciiTheme="minorEastAsia" w:eastAsiaTheme="minorEastAsia" w:hAnsiTheme="minorEastAsia" w:cs="宋体" w:hint="eastAsia"/>
          <w:kern w:val="0"/>
          <w:szCs w:val="21"/>
        </w:rPr>
        <w:t>言明要</w:t>
      </w:r>
      <w:r w:rsidR="00946E62" w:rsidRPr="00080C25">
        <w:rPr>
          <w:rFonts w:asciiTheme="minorEastAsia" w:eastAsiaTheme="minorEastAsia" w:hAnsiTheme="minorEastAsia" w:cs="宋体" w:hint="eastAsia"/>
          <w:kern w:val="0"/>
          <w:szCs w:val="21"/>
        </w:rPr>
        <w:t>为企业减负。</w:t>
      </w:r>
      <w:r w:rsidR="00BD17B5" w:rsidRPr="00080C25">
        <w:rPr>
          <w:rFonts w:asciiTheme="minorEastAsia" w:eastAsiaTheme="minorEastAsia" w:hAnsiTheme="minorEastAsia" w:hint="eastAsia"/>
          <w:kern w:val="0"/>
          <w:szCs w:val="21"/>
        </w:rPr>
        <w:t>“营改增”前的服务业，对于资产和收入确认中营业税的处理，与营改增后的资产和收入确认中增值税的处理，形成鲜明反差。同样是税收，税改前的营业税计入资产成本、计入收入总额；</w:t>
      </w:r>
      <w:r w:rsidR="00DB2AEB" w:rsidRPr="00080C25">
        <w:rPr>
          <w:rFonts w:asciiTheme="minorEastAsia" w:eastAsiaTheme="minorEastAsia" w:hAnsiTheme="minorEastAsia" w:hint="eastAsia"/>
          <w:kern w:val="0"/>
          <w:szCs w:val="21"/>
        </w:rPr>
        <w:t>营业税就是企业税负；</w:t>
      </w:r>
      <w:r w:rsidR="00BD17B5" w:rsidRPr="00080C25">
        <w:rPr>
          <w:rFonts w:asciiTheme="minorEastAsia" w:eastAsiaTheme="minorEastAsia" w:hAnsiTheme="minorEastAsia" w:hint="eastAsia"/>
          <w:kern w:val="0"/>
          <w:szCs w:val="21"/>
        </w:rPr>
        <w:t>税改后的增值税不再计入资产成本、不再计入收入总额；计税方法和会计处理方法的改变，</w:t>
      </w:r>
      <w:r w:rsidR="00F573B0" w:rsidRPr="00080C25">
        <w:rPr>
          <w:rFonts w:asciiTheme="minorEastAsia" w:eastAsiaTheme="minorEastAsia" w:hAnsiTheme="minorEastAsia" w:hint="eastAsia"/>
          <w:kern w:val="0"/>
          <w:szCs w:val="21"/>
        </w:rPr>
        <w:t>增值税就不是企业的税负了</w:t>
      </w:r>
      <w:r w:rsidR="00BD17B5" w:rsidRPr="00080C25">
        <w:rPr>
          <w:rFonts w:asciiTheme="minorEastAsia" w:eastAsiaTheme="minorEastAsia" w:hAnsiTheme="minorEastAsia" w:hint="eastAsia"/>
          <w:kern w:val="0"/>
          <w:szCs w:val="21"/>
        </w:rPr>
        <w:t>吗？</w:t>
      </w:r>
    </w:p>
    <w:p w:rsidR="00A90C6F" w:rsidRPr="00080C25" w:rsidRDefault="00F573B0" w:rsidP="00080C25">
      <w:pPr>
        <w:ind w:firstLineChars="200" w:firstLine="420"/>
        <w:rPr>
          <w:rFonts w:asciiTheme="minorEastAsia" w:eastAsiaTheme="minorEastAsia" w:hAnsiTheme="minorEastAsia"/>
          <w:szCs w:val="21"/>
        </w:rPr>
      </w:pPr>
      <w:r w:rsidRPr="00080C25">
        <w:rPr>
          <w:rFonts w:asciiTheme="minorEastAsia" w:eastAsiaTheme="minorEastAsia" w:hAnsiTheme="minorEastAsia" w:hint="eastAsia"/>
          <w:szCs w:val="21"/>
        </w:rPr>
        <w:t>其实，增值税的费用属性已经非常确定，转嫁说，只是形式的“支付”假象，任何税负的转嫁与否、转嫁比例，都与需求弹性、价格弹性及税率和利率等杠杆相关，而与价内和价外的计算和会计处理无关（相关具体分析参加2019第2期</w:t>
      </w:r>
      <w:r w:rsidRPr="00080C25">
        <w:rPr>
          <w:rFonts w:asciiTheme="minorEastAsia" w:eastAsiaTheme="minorEastAsia" w:hAnsiTheme="minorEastAsia" w:cs="仿宋_GB2312" w:hint="eastAsia"/>
          <w:szCs w:val="21"/>
        </w:rPr>
        <w:t>《</w:t>
      </w:r>
      <w:r w:rsidRPr="00080C25">
        <w:rPr>
          <w:rFonts w:asciiTheme="minorEastAsia" w:eastAsiaTheme="minorEastAsia" w:hAnsiTheme="minorEastAsia" w:hint="eastAsia"/>
          <w:szCs w:val="21"/>
        </w:rPr>
        <w:t>财会研究</w:t>
      </w:r>
      <w:r w:rsidRPr="00080C25">
        <w:rPr>
          <w:rFonts w:asciiTheme="minorEastAsia" w:eastAsiaTheme="minorEastAsia" w:hAnsiTheme="minorEastAsia" w:cs="仿宋_GB2312" w:hint="eastAsia"/>
          <w:szCs w:val="21"/>
        </w:rPr>
        <w:t>》</w:t>
      </w:r>
      <w:r w:rsidRPr="00080C25">
        <w:rPr>
          <w:rFonts w:asciiTheme="minorEastAsia" w:eastAsiaTheme="minorEastAsia" w:hAnsiTheme="minorEastAsia" w:hint="eastAsia"/>
          <w:szCs w:val="21"/>
        </w:rPr>
        <w:t>P25-28）。</w:t>
      </w:r>
    </w:p>
    <w:p w:rsidR="007F727E" w:rsidRPr="00080C25" w:rsidRDefault="00D00AD6" w:rsidP="00080C25">
      <w:pPr>
        <w:ind w:firstLineChars="200" w:firstLine="420"/>
        <w:rPr>
          <w:rFonts w:asciiTheme="minorEastAsia" w:eastAsiaTheme="minorEastAsia" w:hAnsiTheme="minorEastAsia"/>
          <w:szCs w:val="21"/>
        </w:rPr>
      </w:pPr>
      <w:r w:rsidRPr="00080C25">
        <w:rPr>
          <w:rFonts w:asciiTheme="minorEastAsia" w:eastAsiaTheme="minorEastAsia" w:hAnsiTheme="minorEastAsia" w:hint="eastAsia"/>
          <w:szCs w:val="21"/>
        </w:rPr>
        <w:t>四、</w:t>
      </w:r>
      <w:r w:rsidRPr="00080C25">
        <w:rPr>
          <w:rFonts w:asciiTheme="minorEastAsia" w:eastAsiaTheme="minorEastAsia" w:hAnsiTheme="minorEastAsia" w:cs="仿宋_GB2312" w:hint="eastAsia"/>
          <w:b/>
          <w:snapToGrid w:val="0"/>
          <w:kern w:val="21"/>
          <w:szCs w:val="21"/>
        </w:rPr>
        <w:t>公允价值计量</w:t>
      </w:r>
      <w:r w:rsidR="009305F2" w:rsidRPr="00080C25">
        <w:rPr>
          <w:rFonts w:asciiTheme="minorEastAsia" w:eastAsiaTheme="minorEastAsia" w:hAnsiTheme="minorEastAsia" w:cs="仿宋_GB2312" w:hint="eastAsia"/>
          <w:b/>
          <w:snapToGrid w:val="0"/>
          <w:kern w:val="21"/>
          <w:szCs w:val="21"/>
        </w:rPr>
        <w:t>具有双重属性</w:t>
      </w:r>
      <w:r w:rsidRPr="00080C25">
        <w:rPr>
          <w:rFonts w:asciiTheme="minorEastAsia" w:eastAsiaTheme="minorEastAsia" w:hAnsiTheme="minorEastAsia" w:cs="仿宋_GB2312" w:hint="eastAsia"/>
          <w:b/>
          <w:snapToGrid w:val="0"/>
          <w:kern w:val="21"/>
          <w:szCs w:val="21"/>
        </w:rPr>
        <w:t>的理论基础和现实选择</w:t>
      </w:r>
    </w:p>
    <w:p w:rsidR="00132F8F" w:rsidRPr="00080C25" w:rsidRDefault="000C1CB1" w:rsidP="00080C25">
      <w:pPr>
        <w:pBdr>
          <w:top w:val="none" w:sz="0" w:space="0" w:color="auto"/>
          <w:left w:val="none" w:sz="0" w:space="0" w:color="auto"/>
          <w:bottom w:val="none" w:sz="0" w:space="0" w:color="auto"/>
          <w:right w:val="none" w:sz="0" w:space="0" w:color="auto"/>
          <w:between w:val="none" w:sz="0" w:space="0" w:color="auto"/>
        </w:pBdr>
        <w:ind w:firstLine="435"/>
        <w:rPr>
          <w:rFonts w:asciiTheme="minorEastAsia" w:eastAsiaTheme="minorEastAsia" w:hAnsiTheme="minorEastAsia" w:cs="宋体"/>
          <w:kern w:val="0"/>
          <w:szCs w:val="21"/>
        </w:rPr>
      </w:pPr>
      <w:r w:rsidRPr="00080C25">
        <w:rPr>
          <w:rFonts w:asciiTheme="minorEastAsia" w:eastAsiaTheme="minorEastAsia" w:hAnsiTheme="minorEastAsia" w:cs="宋体" w:hint="eastAsia"/>
          <w:kern w:val="0"/>
          <w:szCs w:val="21"/>
        </w:rPr>
        <w:t>一个成熟的理论，应该有其首尾一贯的假定，会计计量理论</w:t>
      </w:r>
      <w:r w:rsidR="00223583" w:rsidRPr="00080C25">
        <w:rPr>
          <w:rFonts w:asciiTheme="minorEastAsia" w:eastAsiaTheme="minorEastAsia" w:hAnsiTheme="minorEastAsia" w:cs="宋体" w:hint="eastAsia"/>
          <w:kern w:val="0"/>
          <w:szCs w:val="21"/>
        </w:rPr>
        <w:t>的发展，从历史成本到公允价值，也是市场经济发展、尤其是金融市场发展和金融商品定价</w:t>
      </w:r>
      <w:r w:rsidR="006A075E" w:rsidRPr="00080C25">
        <w:rPr>
          <w:rFonts w:asciiTheme="minorEastAsia" w:eastAsiaTheme="minorEastAsia" w:hAnsiTheme="minorEastAsia" w:cs="宋体" w:hint="eastAsia"/>
          <w:kern w:val="0"/>
          <w:szCs w:val="21"/>
        </w:rPr>
        <w:t>频繁</w:t>
      </w:r>
      <w:r w:rsidR="00223583" w:rsidRPr="00080C25">
        <w:rPr>
          <w:rFonts w:asciiTheme="minorEastAsia" w:eastAsiaTheme="minorEastAsia" w:hAnsiTheme="minorEastAsia" w:cs="宋体" w:hint="eastAsia"/>
          <w:kern w:val="0"/>
          <w:szCs w:val="21"/>
        </w:rPr>
        <w:t>变动客观需求</w:t>
      </w:r>
      <w:r w:rsidR="0018423B" w:rsidRPr="00080C25">
        <w:rPr>
          <w:rFonts w:asciiTheme="minorEastAsia" w:eastAsiaTheme="minorEastAsia" w:hAnsiTheme="minorEastAsia" w:cs="宋体" w:hint="eastAsia"/>
          <w:kern w:val="0"/>
          <w:szCs w:val="21"/>
        </w:rPr>
        <w:t>的结果。自</w:t>
      </w:r>
      <w:r w:rsidR="00223583" w:rsidRPr="00080C25">
        <w:rPr>
          <w:rFonts w:asciiTheme="minorEastAsia" w:eastAsiaTheme="minorEastAsia" w:hAnsiTheme="minorEastAsia" w:cs="宋体" w:hint="eastAsia"/>
          <w:kern w:val="0"/>
          <w:szCs w:val="21"/>
        </w:rPr>
        <w:t>公允价值计量</w:t>
      </w:r>
      <w:r w:rsidR="0018423B" w:rsidRPr="00080C25">
        <w:rPr>
          <w:rFonts w:asciiTheme="minorEastAsia" w:eastAsiaTheme="minorEastAsia" w:hAnsiTheme="minorEastAsia" w:cs="宋体" w:hint="eastAsia"/>
          <w:kern w:val="0"/>
          <w:szCs w:val="21"/>
        </w:rPr>
        <w:t>准则问世以来，一直饱受诟病。先是计量环境</w:t>
      </w:r>
      <w:r w:rsidR="006A075E" w:rsidRPr="00080C25">
        <w:rPr>
          <w:rFonts w:asciiTheme="minorEastAsia" w:eastAsiaTheme="minorEastAsia" w:hAnsiTheme="minorEastAsia" w:cs="宋体" w:hint="eastAsia"/>
          <w:kern w:val="0"/>
          <w:szCs w:val="21"/>
        </w:rPr>
        <w:t>，之后是</w:t>
      </w:r>
      <w:r w:rsidR="0018423B" w:rsidRPr="00080C25">
        <w:rPr>
          <w:rFonts w:asciiTheme="minorEastAsia" w:eastAsiaTheme="minorEastAsia" w:hAnsiTheme="minorEastAsia" w:cs="宋体" w:hint="eastAsia"/>
          <w:kern w:val="0"/>
          <w:szCs w:val="21"/>
        </w:rPr>
        <w:t>计量级次，</w:t>
      </w:r>
      <w:r w:rsidR="006A075E" w:rsidRPr="00080C25">
        <w:rPr>
          <w:rFonts w:asciiTheme="minorEastAsia" w:eastAsiaTheme="minorEastAsia" w:hAnsiTheme="minorEastAsia" w:cs="宋体" w:hint="eastAsia"/>
          <w:kern w:val="0"/>
          <w:szCs w:val="21"/>
        </w:rPr>
        <w:t>如何确定它的公允性；</w:t>
      </w:r>
      <w:r w:rsidR="0018423B" w:rsidRPr="00080C25">
        <w:rPr>
          <w:rFonts w:asciiTheme="minorEastAsia" w:eastAsiaTheme="minorEastAsia" w:hAnsiTheme="minorEastAsia" w:cs="宋体" w:hint="eastAsia"/>
          <w:kern w:val="0"/>
          <w:szCs w:val="21"/>
        </w:rPr>
        <w:t>而这里重点讨论</w:t>
      </w:r>
      <w:r w:rsidR="006A075E" w:rsidRPr="00080C25">
        <w:rPr>
          <w:rFonts w:asciiTheme="minorEastAsia" w:eastAsiaTheme="minorEastAsia" w:hAnsiTheme="minorEastAsia" w:cs="宋体" w:hint="eastAsia"/>
          <w:kern w:val="0"/>
          <w:szCs w:val="21"/>
        </w:rPr>
        <w:t>的</w:t>
      </w:r>
      <w:r w:rsidR="0018423B" w:rsidRPr="00080C25">
        <w:rPr>
          <w:rFonts w:asciiTheme="minorEastAsia" w:eastAsiaTheme="minorEastAsia" w:hAnsiTheme="minorEastAsia" w:cs="宋体" w:hint="eastAsia"/>
          <w:kern w:val="0"/>
          <w:szCs w:val="21"/>
        </w:rPr>
        <w:t>是它</w:t>
      </w:r>
      <w:r w:rsidR="006A075E" w:rsidRPr="00080C25">
        <w:rPr>
          <w:rFonts w:asciiTheme="minorEastAsia" w:eastAsiaTheme="minorEastAsia" w:hAnsiTheme="minorEastAsia" w:cs="宋体" w:hint="eastAsia"/>
          <w:kern w:val="0"/>
          <w:szCs w:val="21"/>
        </w:rPr>
        <w:t>的</w:t>
      </w:r>
      <w:r w:rsidR="0018423B" w:rsidRPr="00080C25">
        <w:rPr>
          <w:rFonts w:asciiTheme="minorEastAsia" w:eastAsiaTheme="minorEastAsia" w:hAnsiTheme="minorEastAsia" w:cs="宋体" w:hint="eastAsia"/>
          <w:kern w:val="0"/>
          <w:szCs w:val="21"/>
        </w:rPr>
        <w:t>计量结果，在有增值税税制和</w:t>
      </w:r>
      <w:r w:rsidR="006A075E" w:rsidRPr="00080C25">
        <w:rPr>
          <w:rFonts w:asciiTheme="minorEastAsia" w:eastAsiaTheme="minorEastAsia" w:hAnsiTheme="minorEastAsia" w:cs="宋体" w:hint="eastAsia"/>
          <w:kern w:val="0"/>
          <w:szCs w:val="21"/>
        </w:rPr>
        <w:t>会计要求</w:t>
      </w:r>
      <w:r w:rsidR="0018423B" w:rsidRPr="00080C25">
        <w:rPr>
          <w:rFonts w:asciiTheme="minorEastAsia" w:eastAsiaTheme="minorEastAsia" w:hAnsiTheme="minorEastAsia" w:cs="宋体" w:hint="eastAsia"/>
          <w:kern w:val="0"/>
          <w:szCs w:val="21"/>
        </w:rPr>
        <w:t>价税分开处理</w:t>
      </w:r>
      <w:r w:rsidR="006A075E" w:rsidRPr="00080C25">
        <w:rPr>
          <w:rFonts w:asciiTheme="minorEastAsia" w:eastAsiaTheme="minorEastAsia" w:hAnsiTheme="minorEastAsia" w:cs="宋体" w:hint="eastAsia"/>
          <w:kern w:val="0"/>
          <w:szCs w:val="21"/>
        </w:rPr>
        <w:t>的</w:t>
      </w:r>
      <w:r w:rsidR="0018423B" w:rsidRPr="00080C25">
        <w:rPr>
          <w:rFonts w:asciiTheme="minorEastAsia" w:eastAsiaTheme="minorEastAsia" w:hAnsiTheme="minorEastAsia" w:cs="宋体" w:hint="eastAsia"/>
          <w:kern w:val="0"/>
          <w:szCs w:val="21"/>
        </w:rPr>
        <w:t>两个前提条件下，公允价值出现</w:t>
      </w:r>
      <w:r w:rsidR="006A075E" w:rsidRPr="00080C25">
        <w:rPr>
          <w:rFonts w:asciiTheme="minorEastAsia" w:eastAsiaTheme="minorEastAsia" w:hAnsiTheme="minorEastAsia" w:cs="宋体" w:hint="eastAsia"/>
          <w:kern w:val="0"/>
          <w:szCs w:val="21"/>
        </w:rPr>
        <w:t>了</w:t>
      </w:r>
      <w:r w:rsidR="0018423B" w:rsidRPr="00080C25">
        <w:rPr>
          <w:rFonts w:asciiTheme="minorEastAsia" w:eastAsiaTheme="minorEastAsia" w:hAnsiTheme="minorEastAsia" w:cs="宋体" w:hint="eastAsia"/>
          <w:kern w:val="0"/>
          <w:szCs w:val="21"/>
        </w:rPr>
        <w:t>两个计量结果，包含增值税和不含增值税的两个价格，</w:t>
      </w:r>
      <w:r w:rsidR="00D00AD6" w:rsidRPr="00080C25">
        <w:rPr>
          <w:rFonts w:asciiTheme="minorEastAsia" w:eastAsiaTheme="minorEastAsia" w:hAnsiTheme="minorEastAsia" w:cs="宋体" w:hint="eastAsia"/>
          <w:kern w:val="0"/>
          <w:szCs w:val="21"/>
        </w:rPr>
        <w:t>即</w:t>
      </w:r>
      <w:r w:rsidR="0018423B" w:rsidRPr="00080C25">
        <w:rPr>
          <w:rFonts w:asciiTheme="minorEastAsia" w:eastAsiaTheme="minorEastAsia" w:hAnsiTheme="minorEastAsia" w:cs="宋体" w:hint="eastAsia"/>
          <w:kern w:val="0"/>
          <w:szCs w:val="21"/>
        </w:rPr>
        <w:t>本文定义</w:t>
      </w:r>
      <w:r w:rsidR="00D00AD6" w:rsidRPr="00080C25">
        <w:rPr>
          <w:rFonts w:asciiTheme="minorEastAsia" w:eastAsiaTheme="minorEastAsia" w:hAnsiTheme="minorEastAsia" w:cs="宋体" w:hint="eastAsia"/>
          <w:kern w:val="0"/>
          <w:szCs w:val="21"/>
        </w:rPr>
        <w:t>的公允价值</w:t>
      </w:r>
      <w:r w:rsidR="0018423B" w:rsidRPr="00080C25">
        <w:rPr>
          <w:rFonts w:asciiTheme="minorEastAsia" w:eastAsiaTheme="minorEastAsia" w:hAnsiTheme="minorEastAsia" w:cs="宋体" w:hint="eastAsia"/>
          <w:kern w:val="0"/>
          <w:szCs w:val="21"/>
        </w:rPr>
        <w:t>经济计量单元和会计计量单元</w:t>
      </w:r>
      <w:r w:rsidR="006A075E" w:rsidRPr="00080C25">
        <w:rPr>
          <w:rFonts w:asciiTheme="minorEastAsia" w:eastAsiaTheme="minorEastAsia" w:hAnsiTheme="minorEastAsia" w:cs="宋体" w:hint="eastAsia"/>
          <w:kern w:val="0"/>
          <w:szCs w:val="21"/>
        </w:rPr>
        <w:t>。</w:t>
      </w:r>
    </w:p>
    <w:p w:rsidR="000C1CB1" w:rsidRPr="00080C25" w:rsidRDefault="00132F8F" w:rsidP="00080C25">
      <w:pPr>
        <w:pBdr>
          <w:top w:val="none" w:sz="0" w:space="0" w:color="auto"/>
          <w:left w:val="none" w:sz="0" w:space="0" w:color="auto"/>
          <w:bottom w:val="none" w:sz="0" w:space="0" w:color="auto"/>
          <w:right w:val="none" w:sz="0" w:space="0" w:color="auto"/>
          <w:between w:val="none" w:sz="0" w:space="0" w:color="auto"/>
        </w:pBdr>
        <w:ind w:firstLine="435"/>
        <w:rPr>
          <w:rFonts w:asciiTheme="minorEastAsia" w:eastAsiaTheme="minorEastAsia" w:hAnsiTheme="minorEastAsia" w:cs="宋体"/>
          <w:kern w:val="0"/>
          <w:szCs w:val="21"/>
        </w:rPr>
      </w:pPr>
      <w:r w:rsidRPr="00080C25">
        <w:rPr>
          <w:rFonts w:asciiTheme="minorEastAsia" w:eastAsiaTheme="minorEastAsia" w:hAnsiTheme="minorEastAsia" w:cs="宋体" w:hint="eastAsia"/>
          <w:kern w:val="0"/>
          <w:szCs w:val="21"/>
        </w:rPr>
        <w:t>公允价值经济计量单元如同其它的计量要求一样，是它的自然属性，是</w:t>
      </w:r>
      <w:r w:rsidR="008376FD" w:rsidRPr="00080C25">
        <w:rPr>
          <w:rFonts w:asciiTheme="minorEastAsia" w:eastAsiaTheme="minorEastAsia" w:hAnsiTheme="minorEastAsia" w:cs="宋体" w:hint="eastAsia"/>
          <w:kern w:val="0"/>
          <w:szCs w:val="21"/>
        </w:rPr>
        <w:t>价税合计</w:t>
      </w:r>
      <w:r w:rsidRPr="00080C25">
        <w:rPr>
          <w:rFonts w:asciiTheme="minorEastAsia" w:eastAsiaTheme="minorEastAsia" w:hAnsiTheme="minorEastAsia" w:cs="宋体" w:hint="eastAsia"/>
          <w:kern w:val="0"/>
          <w:szCs w:val="21"/>
        </w:rPr>
        <w:t>双方结算</w:t>
      </w:r>
      <w:r w:rsidR="00A0060D" w:rsidRPr="00080C25">
        <w:rPr>
          <w:rFonts w:asciiTheme="minorEastAsia" w:eastAsiaTheme="minorEastAsia" w:hAnsiTheme="minorEastAsia" w:cs="宋体" w:hint="eastAsia"/>
          <w:kern w:val="0"/>
          <w:szCs w:val="21"/>
        </w:rPr>
        <w:t>的总</w:t>
      </w:r>
      <w:r w:rsidRPr="00080C25">
        <w:rPr>
          <w:rFonts w:asciiTheme="minorEastAsia" w:eastAsiaTheme="minorEastAsia" w:hAnsiTheme="minorEastAsia" w:cs="宋体" w:hint="eastAsia"/>
          <w:kern w:val="0"/>
          <w:szCs w:val="21"/>
        </w:rPr>
        <w:t>金额；而会计计量单元，则是依据管理的目的和会计处理的要求，对结算金额的二次分割和处理，</w:t>
      </w:r>
      <w:r w:rsidR="00A0060D" w:rsidRPr="00080C25">
        <w:rPr>
          <w:rFonts w:asciiTheme="minorEastAsia" w:eastAsiaTheme="minorEastAsia" w:hAnsiTheme="minorEastAsia" w:cs="宋体" w:hint="eastAsia"/>
          <w:kern w:val="0"/>
          <w:szCs w:val="21"/>
        </w:rPr>
        <w:t>体现的是它的社会属性。</w:t>
      </w:r>
    </w:p>
    <w:p w:rsidR="00A0060D" w:rsidRPr="00080C25" w:rsidRDefault="00521C1F" w:rsidP="00080C25">
      <w:pPr>
        <w:pBdr>
          <w:top w:val="none" w:sz="0" w:space="0" w:color="auto"/>
          <w:left w:val="none" w:sz="0" w:space="0" w:color="auto"/>
          <w:bottom w:val="none" w:sz="0" w:space="0" w:color="auto"/>
          <w:right w:val="none" w:sz="0" w:space="0" w:color="auto"/>
          <w:between w:val="none" w:sz="0" w:space="0" w:color="auto"/>
        </w:pBdr>
        <w:ind w:firstLine="435"/>
        <w:rPr>
          <w:rFonts w:asciiTheme="minorEastAsia" w:eastAsiaTheme="minorEastAsia" w:hAnsiTheme="minorEastAsia" w:cs="宋体"/>
          <w:kern w:val="0"/>
          <w:szCs w:val="21"/>
        </w:rPr>
      </w:pPr>
      <w:r w:rsidRPr="00080C25">
        <w:rPr>
          <w:rFonts w:asciiTheme="minorEastAsia" w:eastAsiaTheme="minorEastAsia" w:hAnsiTheme="minorEastAsia" w:cs="宋体" w:hint="eastAsia"/>
          <w:kern w:val="0"/>
          <w:szCs w:val="21"/>
        </w:rPr>
        <w:t>关于自然属性和社会属性的理论渊源，可以追溯到会计学科属性的变迁以及会计要素定义的演进过程。</w:t>
      </w:r>
    </w:p>
    <w:p w:rsidR="00521C1F" w:rsidRPr="00080C25" w:rsidRDefault="009305F2" w:rsidP="00080C25">
      <w:pPr>
        <w:widowControl/>
        <w:pBdr>
          <w:top w:val="none" w:sz="0" w:space="0" w:color="auto"/>
          <w:left w:val="none" w:sz="0" w:space="0" w:color="auto"/>
          <w:bottom w:val="none" w:sz="0" w:space="0" w:color="auto"/>
          <w:right w:val="none" w:sz="0" w:space="0" w:color="auto"/>
          <w:between w:val="none" w:sz="0" w:space="0" w:color="auto"/>
        </w:pBdr>
        <w:snapToGrid w:val="0"/>
        <w:ind w:firstLineChars="196" w:firstLine="413"/>
        <w:contextualSpacing/>
        <w:rPr>
          <w:rFonts w:asciiTheme="minorEastAsia" w:eastAsiaTheme="minorEastAsia" w:hAnsiTheme="minorEastAsia" w:cs="仿宋_GB2312"/>
          <w:b/>
          <w:snapToGrid w:val="0"/>
          <w:kern w:val="21"/>
          <w:szCs w:val="21"/>
        </w:rPr>
      </w:pPr>
      <w:r w:rsidRPr="00080C25">
        <w:rPr>
          <w:rFonts w:asciiTheme="minorEastAsia" w:eastAsiaTheme="minorEastAsia" w:hAnsiTheme="minorEastAsia" w:cs="仿宋_GB2312" w:hint="eastAsia"/>
          <w:b/>
          <w:snapToGrid w:val="0"/>
          <w:kern w:val="21"/>
          <w:szCs w:val="21"/>
        </w:rPr>
        <w:t>1、</w:t>
      </w:r>
      <w:r w:rsidR="00521C1F" w:rsidRPr="00080C25">
        <w:rPr>
          <w:rFonts w:asciiTheme="minorEastAsia" w:eastAsiaTheme="minorEastAsia" w:hAnsiTheme="minorEastAsia" w:cs="仿宋_GB2312" w:hint="eastAsia"/>
          <w:b/>
          <w:snapToGrid w:val="0"/>
          <w:kern w:val="21"/>
          <w:szCs w:val="21"/>
        </w:rPr>
        <w:t>公允价值计量具有双重属性的会计学科属性渊源</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ind w:firstLineChars="200" w:firstLine="420"/>
        <w:rPr>
          <w:rFonts w:asciiTheme="minorEastAsia" w:eastAsiaTheme="minorEastAsia" w:hAnsiTheme="minorEastAsia"/>
          <w:kern w:val="0"/>
          <w:szCs w:val="21"/>
        </w:rPr>
      </w:pPr>
      <w:r w:rsidRPr="00080C25">
        <w:rPr>
          <w:rFonts w:asciiTheme="minorEastAsia" w:eastAsiaTheme="minorEastAsia" w:hAnsiTheme="minorEastAsia" w:hint="eastAsia"/>
          <w:kern w:val="0"/>
          <w:szCs w:val="21"/>
        </w:rPr>
        <w:t>关于会计学科属性，现实的情况是，经济学院曾经设置有会计学专业、管理学院有、商学院也有；同样是会计专业毕业的学生，有的被授予经济学学位，有的却是管理学学位；会计究竟属于什么学科？</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ind w:firstLineChars="200" w:firstLine="420"/>
        <w:rPr>
          <w:rFonts w:asciiTheme="minorEastAsia" w:eastAsiaTheme="minorEastAsia" w:hAnsiTheme="minorEastAsia" w:cs="宋体"/>
          <w:snapToGrid w:val="0"/>
          <w:kern w:val="21"/>
          <w:szCs w:val="21"/>
        </w:rPr>
      </w:pPr>
      <w:r w:rsidRPr="00080C25">
        <w:rPr>
          <w:rFonts w:asciiTheme="minorEastAsia" w:eastAsiaTheme="minorEastAsia" w:hAnsiTheme="minorEastAsia" w:hint="eastAsia"/>
          <w:kern w:val="0"/>
          <w:szCs w:val="21"/>
        </w:rPr>
        <w:t>经济学属性：</w:t>
      </w:r>
      <w:r w:rsidRPr="00080C25">
        <w:rPr>
          <w:rFonts w:asciiTheme="minorEastAsia" w:eastAsiaTheme="minorEastAsia" w:hAnsiTheme="minorEastAsia" w:cs="宋体" w:hint="eastAsia"/>
          <w:snapToGrid w:val="0"/>
          <w:kern w:val="21"/>
          <w:szCs w:val="21"/>
        </w:rPr>
        <w:t>：</w:t>
      </w:r>
      <w:r w:rsidRPr="00080C25">
        <w:rPr>
          <w:rFonts w:asciiTheme="minorEastAsia" w:eastAsiaTheme="minorEastAsia" w:hAnsiTheme="minorEastAsia" w:cs="宋体"/>
          <w:snapToGrid w:val="0"/>
          <w:kern w:val="21"/>
          <w:szCs w:val="21"/>
        </w:rPr>
        <w:t>2005</w:t>
      </w:r>
      <w:r w:rsidRPr="00080C25">
        <w:rPr>
          <w:rFonts w:asciiTheme="minorEastAsia" w:eastAsiaTheme="minorEastAsia" w:hAnsiTheme="minorEastAsia" w:cs="宋体" w:hint="eastAsia"/>
          <w:snapToGrid w:val="0"/>
          <w:kern w:val="21"/>
          <w:szCs w:val="21"/>
        </w:rPr>
        <w:t>年，葛家澍、杜兴强指出，从</w:t>
      </w:r>
      <w:r w:rsidRPr="00080C25">
        <w:rPr>
          <w:rFonts w:asciiTheme="minorEastAsia" w:eastAsiaTheme="minorEastAsia" w:hAnsiTheme="minorEastAsia" w:cs="宋体"/>
          <w:snapToGrid w:val="0"/>
          <w:kern w:val="21"/>
          <w:szCs w:val="21"/>
        </w:rPr>
        <w:t xml:space="preserve">20 </w:t>
      </w:r>
      <w:r w:rsidRPr="00080C25">
        <w:rPr>
          <w:rFonts w:asciiTheme="minorEastAsia" w:eastAsiaTheme="minorEastAsia" w:hAnsiTheme="minorEastAsia" w:cs="宋体" w:hint="eastAsia"/>
          <w:snapToGrid w:val="0"/>
          <w:kern w:val="21"/>
          <w:szCs w:val="21"/>
        </w:rPr>
        <w:t>世纪</w:t>
      </w:r>
      <w:r w:rsidRPr="00080C25">
        <w:rPr>
          <w:rFonts w:asciiTheme="minorEastAsia" w:eastAsiaTheme="minorEastAsia" w:hAnsiTheme="minorEastAsia" w:cs="宋体"/>
          <w:snapToGrid w:val="0"/>
          <w:kern w:val="21"/>
          <w:szCs w:val="21"/>
        </w:rPr>
        <w:t>20</w:t>
      </w:r>
      <w:r w:rsidRPr="00080C25">
        <w:rPr>
          <w:rFonts w:asciiTheme="minorEastAsia" w:eastAsiaTheme="minorEastAsia" w:hAnsiTheme="minorEastAsia" w:cs="宋体" w:hint="eastAsia"/>
          <w:snapToGrid w:val="0"/>
          <w:kern w:val="21"/>
          <w:szCs w:val="21"/>
        </w:rPr>
        <w:t>年代开始，许多会计学家，都借鉴或引入了经济学概念，这些概念包括资产、负债、收入、成本等许多会计学基本要素，他们提出了较完整的会计理论。换言之，目前财务会计概念框架，基本上来自新古典经济学。”</w:t>
      </w:r>
      <w:r w:rsidRPr="00080C25">
        <w:rPr>
          <w:rFonts w:asciiTheme="minorEastAsia" w:eastAsiaTheme="minorEastAsia" w:hAnsiTheme="minorEastAsia" w:cs="宋体"/>
          <w:snapToGrid w:val="0"/>
          <w:kern w:val="21"/>
          <w:szCs w:val="21"/>
        </w:rPr>
        <w:t>A.C.</w:t>
      </w:r>
      <w:r w:rsidRPr="00080C25">
        <w:rPr>
          <w:rFonts w:asciiTheme="minorEastAsia" w:eastAsiaTheme="minorEastAsia" w:hAnsiTheme="minorEastAsia" w:cs="宋体" w:hint="eastAsia"/>
          <w:snapToGrid w:val="0"/>
          <w:kern w:val="21"/>
          <w:szCs w:val="21"/>
        </w:rPr>
        <w:t>利特尔顿</w:t>
      </w:r>
      <w:r w:rsidRPr="00080C25">
        <w:rPr>
          <w:rFonts w:asciiTheme="minorEastAsia" w:eastAsiaTheme="minorEastAsia" w:hAnsiTheme="minorEastAsia" w:cs="宋体"/>
          <w:snapToGrid w:val="0"/>
          <w:kern w:val="21"/>
          <w:szCs w:val="21"/>
        </w:rPr>
        <w:t>1953</w:t>
      </w:r>
      <w:r w:rsidRPr="00080C25">
        <w:rPr>
          <w:rFonts w:asciiTheme="minorEastAsia" w:eastAsiaTheme="minorEastAsia" w:hAnsiTheme="minorEastAsia" w:cs="宋体" w:hint="eastAsia"/>
          <w:snapToGrid w:val="0"/>
          <w:kern w:val="21"/>
          <w:szCs w:val="21"/>
        </w:rPr>
        <w:t>年出版的经典名著《会计理论结构》中也明确指出“本质上看，会计不容置疑地带有</w:t>
      </w:r>
      <w:r w:rsidRPr="00080C25">
        <w:rPr>
          <w:rFonts w:asciiTheme="minorEastAsia" w:eastAsiaTheme="minorEastAsia" w:hAnsiTheme="minorEastAsia" w:cs="宋体" w:hint="eastAsia"/>
          <w:snapToGrid w:val="0"/>
          <w:kern w:val="21"/>
          <w:szCs w:val="21"/>
        </w:rPr>
        <w:lastRenderedPageBreak/>
        <w:t>经济学属性。”（丛蔚，</w:t>
      </w:r>
      <w:r w:rsidRPr="00080C25">
        <w:rPr>
          <w:rFonts w:asciiTheme="minorEastAsia" w:eastAsiaTheme="minorEastAsia" w:hAnsiTheme="minorEastAsia" w:cs="宋体"/>
          <w:snapToGrid w:val="0"/>
          <w:kern w:val="21"/>
          <w:szCs w:val="21"/>
        </w:rPr>
        <w:t>2012</w:t>
      </w:r>
      <w:r w:rsidRPr="00080C25">
        <w:rPr>
          <w:rFonts w:asciiTheme="minorEastAsia" w:eastAsiaTheme="minorEastAsia" w:hAnsiTheme="minorEastAsia" w:cs="宋体" w:hint="eastAsia"/>
          <w:snapToGrid w:val="0"/>
          <w:kern w:val="21"/>
          <w:szCs w:val="21"/>
        </w:rPr>
        <w:t>）</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管理学属性：管理学从二十世纪初产生后，依据时间顺序和研究领域不同，先后发展为多个流派，从科学管理原理到行为科学、再到决策学派、乃至数量学派，期间每一次管理理论创新，都对会计学发展起到了显著的推动作用，会计实务相应的从工作定额、发展到责任会计、再到变动成本、乃至存货控制模型。这些共同构成了现代管理会计框架。</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b/>
          <w:snapToGrid w:val="0"/>
          <w:kern w:val="21"/>
          <w:szCs w:val="21"/>
        </w:rPr>
      </w:pPr>
      <w:r w:rsidRPr="00080C25">
        <w:rPr>
          <w:rFonts w:asciiTheme="minorEastAsia" w:eastAsiaTheme="minorEastAsia" w:hAnsiTheme="minorEastAsia" w:hint="eastAsia"/>
          <w:snapToGrid w:val="0"/>
          <w:kern w:val="21"/>
          <w:szCs w:val="21"/>
        </w:rPr>
        <w:t>会计学具有管理学属性显而易见的现实证据，是高校会计学专业的回归，现在，会计学专业一般设在商学院或者管理学院内，而以前多在经济学院，根据我国</w:t>
      </w:r>
      <w:r w:rsidRPr="00080C25">
        <w:rPr>
          <w:rFonts w:asciiTheme="minorEastAsia" w:eastAsiaTheme="minorEastAsia" w:hAnsiTheme="minorEastAsia"/>
          <w:snapToGrid w:val="0"/>
          <w:kern w:val="21"/>
          <w:szCs w:val="21"/>
        </w:rPr>
        <w:t>1996</w:t>
      </w:r>
      <w:r w:rsidRPr="00080C25">
        <w:rPr>
          <w:rFonts w:asciiTheme="minorEastAsia" w:eastAsiaTheme="minorEastAsia" w:hAnsiTheme="minorEastAsia" w:hint="eastAsia"/>
          <w:snapToGrid w:val="0"/>
          <w:kern w:val="21"/>
          <w:szCs w:val="21"/>
        </w:rPr>
        <w:t>年颁布（</w:t>
      </w:r>
      <w:r w:rsidRPr="00080C25">
        <w:rPr>
          <w:rFonts w:asciiTheme="minorEastAsia" w:eastAsiaTheme="minorEastAsia" w:hAnsiTheme="minorEastAsia"/>
          <w:snapToGrid w:val="0"/>
          <w:kern w:val="21"/>
          <w:szCs w:val="21"/>
        </w:rPr>
        <w:t>2008</w:t>
      </w:r>
      <w:r w:rsidRPr="00080C25">
        <w:rPr>
          <w:rFonts w:asciiTheme="minorEastAsia" w:eastAsiaTheme="minorEastAsia" w:hAnsiTheme="minorEastAsia" w:hint="eastAsia"/>
          <w:snapToGrid w:val="0"/>
          <w:kern w:val="21"/>
          <w:szCs w:val="21"/>
        </w:rPr>
        <w:t>年修订）的《授予博士、硕士学位和培养研究生的学科、专业目录》，会计学学科代码是</w:t>
      </w:r>
      <w:r w:rsidRPr="00080C25">
        <w:rPr>
          <w:rFonts w:asciiTheme="minorEastAsia" w:eastAsiaTheme="minorEastAsia" w:hAnsiTheme="minorEastAsia"/>
          <w:snapToGrid w:val="0"/>
          <w:kern w:val="21"/>
          <w:szCs w:val="21"/>
        </w:rPr>
        <w:t>120201</w:t>
      </w:r>
      <w:r w:rsidRPr="00080C25">
        <w:rPr>
          <w:rFonts w:asciiTheme="minorEastAsia" w:eastAsiaTheme="minorEastAsia" w:hAnsiTheme="minorEastAsia" w:hint="eastAsia"/>
          <w:snapToGrid w:val="0"/>
          <w:kern w:val="21"/>
          <w:szCs w:val="21"/>
        </w:rPr>
        <w:t>；同样，</w:t>
      </w:r>
      <w:r w:rsidRPr="00080C25">
        <w:rPr>
          <w:rFonts w:asciiTheme="minorEastAsia" w:eastAsiaTheme="minorEastAsia" w:hAnsiTheme="minorEastAsia"/>
          <w:snapToGrid w:val="0"/>
          <w:kern w:val="21"/>
          <w:szCs w:val="21"/>
        </w:rPr>
        <w:t>1998</w:t>
      </w:r>
      <w:r w:rsidRPr="00080C25">
        <w:rPr>
          <w:rFonts w:asciiTheme="minorEastAsia" w:eastAsiaTheme="minorEastAsia" w:hAnsiTheme="minorEastAsia" w:hint="eastAsia"/>
          <w:snapToGrid w:val="0"/>
          <w:kern w:val="21"/>
          <w:szCs w:val="21"/>
        </w:rPr>
        <w:t>年颁布（</w:t>
      </w:r>
      <w:r w:rsidRPr="00080C25">
        <w:rPr>
          <w:rFonts w:asciiTheme="minorEastAsia" w:eastAsiaTheme="minorEastAsia" w:hAnsiTheme="minorEastAsia"/>
          <w:snapToGrid w:val="0"/>
          <w:kern w:val="21"/>
          <w:szCs w:val="21"/>
        </w:rPr>
        <w:t>2012</w:t>
      </w:r>
      <w:r w:rsidRPr="00080C25">
        <w:rPr>
          <w:rFonts w:asciiTheme="minorEastAsia" w:eastAsiaTheme="minorEastAsia" w:hAnsiTheme="minorEastAsia" w:hint="eastAsia"/>
          <w:snapToGrid w:val="0"/>
          <w:kern w:val="21"/>
          <w:szCs w:val="21"/>
        </w:rPr>
        <w:t>年修订）的《普通高等学校本科专业目录》，专业代码是</w:t>
      </w:r>
      <w:r w:rsidRPr="00080C25">
        <w:rPr>
          <w:rFonts w:asciiTheme="minorEastAsia" w:eastAsiaTheme="minorEastAsia" w:hAnsiTheme="minorEastAsia" w:cs="Arial"/>
          <w:snapToGrid w:val="0"/>
          <w:color w:val="333333"/>
          <w:kern w:val="21"/>
          <w:szCs w:val="21"/>
          <w:shd w:val="clear" w:color="auto" w:fill="FFFFFF"/>
        </w:rPr>
        <w:t>120203K</w:t>
      </w:r>
      <w:r w:rsidRPr="00080C25">
        <w:rPr>
          <w:rFonts w:asciiTheme="minorEastAsia" w:eastAsiaTheme="minorEastAsia" w:hAnsiTheme="minorEastAsia" w:cs="Arial" w:hint="eastAsia"/>
          <w:snapToGrid w:val="0"/>
          <w:color w:val="333333"/>
          <w:kern w:val="21"/>
          <w:szCs w:val="21"/>
          <w:shd w:val="clear" w:color="auto" w:fill="FFFFFF"/>
        </w:rPr>
        <w:t>，</w:t>
      </w:r>
      <w:r w:rsidRPr="00080C25">
        <w:rPr>
          <w:rFonts w:asciiTheme="minorEastAsia" w:eastAsiaTheme="minorEastAsia" w:hAnsiTheme="minorEastAsia" w:cs="Arial"/>
          <w:snapToGrid w:val="0"/>
          <w:color w:val="333333"/>
          <w:kern w:val="21"/>
          <w:szCs w:val="21"/>
          <w:shd w:val="clear" w:color="auto" w:fill="FFFFFF"/>
        </w:rPr>
        <w:t>12</w:t>
      </w:r>
      <w:r w:rsidRPr="00080C25">
        <w:rPr>
          <w:rFonts w:asciiTheme="minorEastAsia" w:eastAsiaTheme="minorEastAsia" w:hAnsiTheme="minorEastAsia" w:cs="Arial" w:hint="eastAsia"/>
          <w:snapToGrid w:val="0"/>
          <w:color w:val="333333"/>
          <w:kern w:val="21"/>
          <w:szCs w:val="21"/>
          <w:shd w:val="clear" w:color="auto" w:fill="FFFFFF"/>
        </w:rPr>
        <w:t>代表管理学，</w:t>
      </w:r>
      <w:r w:rsidRPr="00080C25">
        <w:rPr>
          <w:rFonts w:asciiTheme="minorEastAsia" w:eastAsiaTheme="minorEastAsia" w:hAnsiTheme="minorEastAsia" w:cs="Arial"/>
          <w:snapToGrid w:val="0"/>
          <w:color w:val="333333"/>
          <w:kern w:val="21"/>
          <w:szCs w:val="21"/>
          <w:shd w:val="clear" w:color="auto" w:fill="FFFFFF"/>
        </w:rPr>
        <w:t>1202</w:t>
      </w:r>
      <w:r w:rsidRPr="00080C25">
        <w:rPr>
          <w:rFonts w:asciiTheme="minorEastAsia" w:eastAsiaTheme="minorEastAsia" w:hAnsiTheme="minorEastAsia" w:cs="Arial" w:hint="eastAsia"/>
          <w:snapToGrid w:val="0"/>
          <w:color w:val="333333"/>
          <w:kern w:val="21"/>
          <w:szCs w:val="21"/>
          <w:shd w:val="clear" w:color="auto" w:fill="FFFFFF"/>
        </w:rPr>
        <w:t>代表工商管理，</w:t>
      </w:r>
      <w:r w:rsidRPr="00080C25">
        <w:rPr>
          <w:rFonts w:asciiTheme="minorEastAsia" w:eastAsiaTheme="minorEastAsia" w:hAnsiTheme="minorEastAsia" w:hint="eastAsia"/>
          <w:snapToGrid w:val="0"/>
          <w:kern w:val="21"/>
          <w:szCs w:val="21"/>
        </w:rPr>
        <w:t>会计学属于管理学大类中的工商管理类，是工商管理类下的二级学科。这样，从专业到学位授予，二者的学科属性趋于一致，自从上述“专业目录”颁行后，所有会计专业毕业生拿到的都是管理学学位，而此前获得的几乎都是经济学学位</w:t>
      </w:r>
      <w:r w:rsidRPr="00080C25">
        <w:rPr>
          <w:rFonts w:asciiTheme="minorEastAsia" w:eastAsiaTheme="minorEastAsia" w:hAnsiTheme="minorEastAsia" w:hint="eastAsia"/>
          <w:b/>
          <w:snapToGrid w:val="0"/>
          <w:kern w:val="21"/>
          <w:szCs w:val="21"/>
        </w:rPr>
        <w:t>。</w:t>
      </w:r>
    </w:p>
    <w:p w:rsidR="003D3EA2"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snapToGrid w:val="0"/>
          <w:kern w:val="21"/>
          <w:szCs w:val="21"/>
        </w:rPr>
      </w:pPr>
      <w:r w:rsidRPr="00080C25">
        <w:rPr>
          <w:rFonts w:asciiTheme="minorEastAsia" w:eastAsiaTheme="minorEastAsia" w:hAnsiTheme="minorEastAsia" w:hint="eastAsia"/>
          <w:snapToGrid w:val="0"/>
          <w:kern w:val="21"/>
          <w:szCs w:val="21"/>
        </w:rPr>
        <w:t>以上的分析结果表明，对会计学科的属性基本已经形成共识，原来认定的是经济学的分支，后来逐渐发展、认同为管理学中的工商管理。</w:t>
      </w:r>
      <w:r w:rsidR="008376FD" w:rsidRPr="00080C25">
        <w:rPr>
          <w:rFonts w:asciiTheme="minorEastAsia" w:eastAsiaTheme="minorEastAsia" w:hAnsiTheme="minorEastAsia" w:hint="eastAsia"/>
          <w:snapToGrid w:val="0"/>
          <w:kern w:val="21"/>
          <w:szCs w:val="21"/>
        </w:rPr>
        <w:t>换言之，经济学是会计学先天的自然属性，而管理学则是后天的社会属性。</w:t>
      </w:r>
    </w:p>
    <w:p w:rsidR="00521C1F" w:rsidRPr="00080C25" w:rsidRDefault="003D3EA2"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经济学与会计学研究的不同之处</w:t>
      </w:r>
      <w:r w:rsidR="008376FD" w:rsidRPr="00080C25">
        <w:rPr>
          <w:rFonts w:asciiTheme="minorEastAsia" w:eastAsiaTheme="minorEastAsia" w:hAnsiTheme="minorEastAsia" w:cs="宋体" w:hint="eastAsia"/>
          <w:snapToGrid w:val="0"/>
          <w:kern w:val="21"/>
          <w:szCs w:val="21"/>
        </w:rPr>
        <w:t>还</w:t>
      </w:r>
      <w:r w:rsidRPr="00080C25">
        <w:rPr>
          <w:rFonts w:asciiTheme="minorEastAsia" w:eastAsiaTheme="minorEastAsia" w:hAnsiTheme="minorEastAsia" w:cs="宋体" w:hint="eastAsia"/>
          <w:snapToGrid w:val="0"/>
          <w:kern w:val="21"/>
          <w:szCs w:val="21"/>
        </w:rPr>
        <w:t>表现在，经济学是从宏观</w:t>
      </w:r>
      <w:r w:rsidRPr="00080C25">
        <w:rPr>
          <w:rFonts w:asciiTheme="minorEastAsia" w:eastAsiaTheme="minorEastAsia" w:hAnsiTheme="minorEastAsia"/>
          <w:snapToGrid w:val="0"/>
          <w:kern w:val="21"/>
          <w:szCs w:val="21"/>
        </w:rPr>
        <w:t>----</w:t>
      </w:r>
      <w:r w:rsidRPr="00080C25">
        <w:rPr>
          <w:rFonts w:asciiTheme="minorEastAsia" w:eastAsiaTheme="minorEastAsia" w:hAnsiTheme="minorEastAsia" w:cs="宋体" w:hint="eastAsia"/>
          <w:snapToGrid w:val="0"/>
          <w:kern w:val="21"/>
          <w:szCs w:val="21"/>
        </w:rPr>
        <w:t>整个或区域社会的视角，研究市场的资源配置；而会计学则是从微观</w:t>
      </w:r>
      <w:r w:rsidRPr="00080C25">
        <w:rPr>
          <w:rFonts w:asciiTheme="minorEastAsia" w:eastAsiaTheme="minorEastAsia" w:hAnsiTheme="minorEastAsia"/>
          <w:snapToGrid w:val="0"/>
          <w:kern w:val="21"/>
          <w:szCs w:val="21"/>
        </w:rPr>
        <w:t>----</w:t>
      </w:r>
      <w:r w:rsidRPr="00080C25">
        <w:rPr>
          <w:rFonts w:asciiTheme="minorEastAsia" w:eastAsiaTheme="minorEastAsia" w:hAnsiTheme="minorEastAsia" w:cs="宋体" w:hint="eastAsia"/>
          <w:snapToGrid w:val="0"/>
          <w:kern w:val="21"/>
          <w:szCs w:val="21"/>
        </w:rPr>
        <w:t>特定主体的利益出发，研究资产的有效利用，会计中的资产，正是隶属于某个特定主体的资源，或者也可理解为某个特定区域内，特定主体所能控制的资源；其实，“无论是企业间的合约安排，还是企业内部的治理结构，本质上都是利益相关者就资源所有权安排达成的契约。”（</w:t>
      </w:r>
      <w:r w:rsidRPr="00080C25">
        <w:rPr>
          <w:rFonts w:asciiTheme="minorEastAsia" w:eastAsiaTheme="minorEastAsia" w:hAnsiTheme="minorEastAsia" w:cs="宋体"/>
          <w:snapToGrid w:val="0"/>
          <w:kern w:val="21"/>
          <w:szCs w:val="21"/>
        </w:rPr>
        <w:t>Milgrom &amp; Roberts, 1992</w:t>
      </w:r>
      <w:r w:rsidRPr="00080C25">
        <w:rPr>
          <w:rFonts w:asciiTheme="minorEastAsia" w:eastAsiaTheme="minorEastAsia" w:hAnsiTheme="minorEastAsia" w:cs="宋体" w:hint="eastAsia"/>
          <w:snapToGrid w:val="0"/>
          <w:kern w:val="21"/>
          <w:szCs w:val="21"/>
        </w:rPr>
        <w:t>）</w:t>
      </w:r>
      <w:r w:rsidR="008376FD" w:rsidRPr="00080C25">
        <w:rPr>
          <w:rFonts w:asciiTheme="minorEastAsia" w:eastAsiaTheme="minorEastAsia" w:hAnsiTheme="minorEastAsia" w:cs="宋体" w:hint="eastAsia"/>
          <w:snapToGrid w:val="0"/>
          <w:kern w:val="21"/>
          <w:szCs w:val="21"/>
        </w:rPr>
        <w:t>而这个利益相关者达成的契约，就是人为的、有目的的，具有明显的社会性。</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b/>
          <w:snapToGrid w:val="0"/>
          <w:kern w:val="21"/>
          <w:szCs w:val="21"/>
        </w:rPr>
      </w:pPr>
      <w:r w:rsidRPr="00080C25">
        <w:rPr>
          <w:rFonts w:asciiTheme="minorEastAsia" w:eastAsiaTheme="minorEastAsia" w:hAnsiTheme="minorEastAsia" w:cs="宋体"/>
          <w:b/>
          <w:snapToGrid w:val="0"/>
          <w:kern w:val="21"/>
          <w:szCs w:val="21"/>
        </w:rPr>
        <w:t>2</w:t>
      </w:r>
      <w:r w:rsidRPr="00080C25">
        <w:rPr>
          <w:rFonts w:asciiTheme="minorEastAsia" w:eastAsiaTheme="minorEastAsia" w:hAnsiTheme="minorEastAsia" w:cs="宋体" w:hint="eastAsia"/>
          <w:b/>
          <w:snapToGrid w:val="0"/>
          <w:kern w:val="21"/>
          <w:szCs w:val="21"/>
        </w:rPr>
        <w:t>、</w:t>
      </w:r>
      <w:r w:rsidR="009305F2" w:rsidRPr="00080C25">
        <w:rPr>
          <w:rFonts w:asciiTheme="minorEastAsia" w:eastAsiaTheme="minorEastAsia" w:hAnsiTheme="minorEastAsia" w:cs="宋体" w:hint="eastAsia"/>
          <w:b/>
          <w:snapToGrid w:val="0"/>
          <w:kern w:val="21"/>
          <w:szCs w:val="21"/>
        </w:rPr>
        <w:t>会计要素--</w:t>
      </w:r>
      <w:r w:rsidR="003E42F8" w:rsidRPr="00080C25">
        <w:rPr>
          <w:rFonts w:asciiTheme="minorEastAsia" w:eastAsiaTheme="minorEastAsia" w:hAnsiTheme="minorEastAsia" w:cs="宋体" w:hint="eastAsia"/>
          <w:b/>
          <w:snapToGrid w:val="0"/>
          <w:kern w:val="21"/>
          <w:szCs w:val="21"/>
        </w:rPr>
        <w:t>资产</w:t>
      </w:r>
      <w:r w:rsidRPr="00080C25">
        <w:rPr>
          <w:rFonts w:asciiTheme="minorEastAsia" w:eastAsiaTheme="minorEastAsia" w:hAnsiTheme="minorEastAsia" w:cs="宋体" w:hint="eastAsia"/>
          <w:b/>
          <w:snapToGrid w:val="0"/>
          <w:kern w:val="21"/>
          <w:szCs w:val="21"/>
        </w:rPr>
        <w:t>定义的</w:t>
      </w:r>
      <w:r w:rsidR="003E42F8" w:rsidRPr="00080C25">
        <w:rPr>
          <w:rFonts w:asciiTheme="minorEastAsia" w:eastAsiaTheme="minorEastAsia" w:hAnsiTheme="minorEastAsia" w:cs="宋体" w:hint="eastAsia"/>
          <w:b/>
          <w:snapToGrid w:val="0"/>
          <w:kern w:val="21"/>
          <w:szCs w:val="21"/>
        </w:rPr>
        <w:t>属性和</w:t>
      </w:r>
      <w:r w:rsidRPr="00080C25">
        <w:rPr>
          <w:rFonts w:asciiTheme="minorEastAsia" w:eastAsiaTheme="minorEastAsia" w:hAnsiTheme="minorEastAsia" w:cs="宋体" w:hint="eastAsia"/>
          <w:b/>
          <w:snapToGrid w:val="0"/>
          <w:kern w:val="21"/>
          <w:szCs w:val="21"/>
        </w:rPr>
        <w:t>演进</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众所周知，会计的核心概念是资产，资产作为最基本的会计要素，是会计对象的具体化。分析其他会计要素，负债属于负资产，需要资产去清偿，所有者权益是净资产，是正、负资产相抵的结果，至于，收入、费用和利润，</w:t>
      </w:r>
      <w:r w:rsidR="00984EDB" w:rsidRPr="00080C25">
        <w:rPr>
          <w:rFonts w:asciiTheme="minorEastAsia" w:eastAsiaTheme="minorEastAsia" w:hAnsiTheme="minorEastAsia" w:cs="宋体" w:hint="eastAsia"/>
          <w:snapToGrid w:val="0"/>
          <w:kern w:val="21"/>
          <w:szCs w:val="21"/>
        </w:rPr>
        <w:t>本质上依然是资产的增加和减少。</w:t>
      </w:r>
      <w:r w:rsidRPr="00080C25">
        <w:rPr>
          <w:rFonts w:asciiTheme="minorEastAsia" w:eastAsiaTheme="minorEastAsia" w:hAnsiTheme="minorEastAsia" w:cs="宋体" w:hint="eastAsia"/>
          <w:snapToGrid w:val="0"/>
          <w:kern w:val="21"/>
          <w:szCs w:val="21"/>
        </w:rPr>
        <w:t>因此，在资产负债观的某种意义上而言，资产的属性，就决定了会计学科的属性。</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如前文所述，会计的属性</w:t>
      </w:r>
      <w:r w:rsidR="003819CE" w:rsidRPr="00080C25">
        <w:rPr>
          <w:rFonts w:asciiTheme="minorEastAsia" w:eastAsiaTheme="minorEastAsia" w:hAnsiTheme="minorEastAsia" w:cs="宋体" w:hint="eastAsia"/>
          <w:snapToGrid w:val="0"/>
          <w:kern w:val="21"/>
          <w:szCs w:val="21"/>
        </w:rPr>
        <w:t>已然从经济学转变为管理学，那么，资产属性的本源是否支持这样的</w:t>
      </w:r>
      <w:r w:rsidRPr="00080C25">
        <w:rPr>
          <w:rFonts w:asciiTheme="minorEastAsia" w:eastAsiaTheme="minorEastAsia" w:hAnsiTheme="minorEastAsia" w:cs="宋体" w:hint="eastAsia"/>
          <w:snapToGrid w:val="0"/>
          <w:kern w:val="21"/>
          <w:szCs w:val="21"/>
        </w:rPr>
        <w:t>选择呢？</w:t>
      </w:r>
    </w:p>
    <w:p w:rsidR="003819CE" w:rsidRPr="00080C25" w:rsidRDefault="003819CE"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资产定义，其核心意义有两层，一是企业拥有和控制的资源；二是可计量的资源；</w:t>
      </w:r>
    </w:p>
    <w:p w:rsidR="00984EDB" w:rsidRPr="00080C25" w:rsidRDefault="003819CE"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首先，分析一下</w:t>
      </w:r>
      <w:r w:rsidR="00984EDB" w:rsidRPr="00080C25">
        <w:rPr>
          <w:rFonts w:asciiTheme="minorEastAsia" w:eastAsiaTheme="minorEastAsia" w:hAnsiTheme="minorEastAsia" w:cs="宋体" w:hint="eastAsia"/>
          <w:snapToGrid w:val="0"/>
          <w:kern w:val="21"/>
          <w:szCs w:val="21"/>
        </w:rPr>
        <w:t>资源</w:t>
      </w:r>
      <w:r w:rsidRPr="00080C25">
        <w:rPr>
          <w:rFonts w:asciiTheme="minorEastAsia" w:eastAsiaTheme="minorEastAsia" w:hAnsiTheme="minorEastAsia" w:cs="宋体" w:hint="eastAsia"/>
          <w:snapToGrid w:val="0"/>
          <w:kern w:val="21"/>
          <w:szCs w:val="21"/>
        </w:rPr>
        <w:t>的特点</w:t>
      </w:r>
      <w:r w:rsidR="00984EDB" w:rsidRPr="00080C25">
        <w:rPr>
          <w:rFonts w:asciiTheme="minorEastAsia" w:eastAsiaTheme="minorEastAsia" w:hAnsiTheme="minorEastAsia" w:cs="宋体" w:hint="eastAsia"/>
          <w:snapToGrid w:val="0"/>
          <w:kern w:val="21"/>
          <w:szCs w:val="21"/>
        </w:rPr>
        <w:t>，</w:t>
      </w:r>
      <w:r w:rsidRPr="00080C25">
        <w:rPr>
          <w:rFonts w:asciiTheme="minorEastAsia" w:eastAsiaTheme="minorEastAsia" w:hAnsiTheme="minorEastAsia" w:cs="宋体" w:hint="eastAsia"/>
          <w:snapToGrid w:val="0"/>
          <w:kern w:val="21"/>
          <w:szCs w:val="21"/>
        </w:rPr>
        <w:t>资源是有效的、稀缺的；</w:t>
      </w:r>
      <w:r w:rsidR="00984EDB" w:rsidRPr="00080C25">
        <w:rPr>
          <w:rFonts w:asciiTheme="minorEastAsia" w:eastAsiaTheme="minorEastAsia" w:hAnsiTheme="minorEastAsia" w:cs="宋体" w:hint="eastAsia"/>
          <w:snapToGrid w:val="0"/>
          <w:kern w:val="21"/>
          <w:szCs w:val="21"/>
        </w:rPr>
        <w:t>因为资源的有效和稀缺，才使得资产能产生经济效益。</w:t>
      </w:r>
      <w:r w:rsidRPr="00080C25">
        <w:rPr>
          <w:rFonts w:asciiTheme="minorEastAsia" w:eastAsiaTheme="minorEastAsia" w:hAnsiTheme="minorEastAsia" w:cs="宋体" w:hint="eastAsia"/>
          <w:snapToGrid w:val="0"/>
          <w:kern w:val="21"/>
          <w:szCs w:val="21"/>
        </w:rPr>
        <w:t>这是资产的核心价值，即能产生经济效益。</w:t>
      </w:r>
    </w:p>
    <w:p w:rsidR="00984EDB"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经济学中讲资源的有效</w:t>
      </w:r>
      <w:r w:rsidRPr="00080C25">
        <w:rPr>
          <w:rFonts w:asciiTheme="minorEastAsia" w:eastAsiaTheme="minorEastAsia" w:hAnsiTheme="minorEastAsia"/>
          <w:snapToGrid w:val="0"/>
          <w:kern w:val="21"/>
          <w:szCs w:val="21"/>
        </w:rPr>
        <w:t>----</w:t>
      </w:r>
      <w:r w:rsidRPr="00080C25">
        <w:rPr>
          <w:rFonts w:asciiTheme="minorEastAsia" w:eastAsiaTheme="minorEastAsia" w:hAnsiTheme="minorEastAsia" w:cs="宋体" w:hint="eastAsia"/>
          <w:snapToGrid w:val="0"/>
          <w:kern w:val="21"/>
          <w:szCs w:val="21"/>
        </w:rPr>
        <w:t>是指资源的有用性，相当于马克思劳动价值论、商品二重性中的</w:t>
      </w:r>
      <w:r w:rsidR="00984EDB" w:rsidRPr="00080C25">
        <w:rPr>
          <w:rFonts w:asciiTheme="minorEastAsia" w:eastAsiaTheme="minorEastAsia" w:hAnsiTheme="minorEastAsia" w:cs="宋体" w:hint="eastAsia"/>
          <w:snapToGrid w:val="0"/>
          <w:kern w:val="21"/>
          <w:szCs w:val="21"/>
        </w:rPr>
        <w:t>使用价值，这是资源的自然属性。</w:t>
      </w:r>
    </w:p>
    <w:p w:rsidR="00984EDB"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稀缺性，则是指因为稀缺，获取资源必须要付出代价，而这个代价正是马克思称之的价值，这个</w:t>
      </w:r>
      <w:r w:rsidR="003E42F8" w:rsidRPr="00080C25">
        <w:rPr>
          <w:rFonts w:asciiTheme="minorEastAsia" w:eastAsiaTheme="minorEastAsia" w:hAnsiTheme="minorEastAsia" w:cs="宋体" w:hint="eastAsia"/>
          <w:snapToGrid w:val="0"/>
          <w:kern w:val="21"/>
          <w:szCs w:val="21"/>
        </w:rPr>
        <w:t>内在的</w:t>
      </w:r>
      <w:r w:rsidRPr="00080C25">
        <w:rPr>
          <w:rFonts w:asciiTheme="minorEastAsia" w:eastAsiaTheme="minorEastAsia" w:hAnsiTheme="minorEastAsia" w:cs="宋体" w:hint="eastAsia"/>
          <w:snapToGrid w:val="0"/>
          <w:kern w:val="21"/>
          <w:szCs w:val="21"/>
        </w:rPr>
        <w:t>价值必须要通过交换，外现为某种具体的交换价格才能实现，这是资源或者说商品的社会属性。</w:t>
      </w:r>
    </w:p>
    <w:p w:rsidR="00521C1F" w:rsidRPr="00080C25" w:rsidRDefault="00984EDB"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以上分析</w:t>
      </w:r>
      <w:r w:rsidR="00521C1F" w:rsidRPr="00080C25">
        <w:rPr>
          <w:rFonts w:asciiTheme="minorEastAsia" w:eastAsiaTheme="minorEastAsia" w:hAnsiTheme="minorEastAsia" w:cs="宋体" w:hint="eastAsia"/>
          <w:snapToGrid w:val="0"/>
          <w:kern w:val="21"/>
          <w:szCs w:val="21"/>
        </w:rPr>
        <w:t>可以看到，古典经济学中对资源属性的理解，与马克思劳动价值论商品二重性</w:t>
      </w:r>
      <w:r w:rsidRPr="00080C25">
        <w:rPr>
          <w:rFonts w:asciiTheme="minorEastAsia" w:eastAsiaTheme="minorEastAsia" w:hAnsiTheme="minorEastAsia" w:cs="宋体" w:hint="eastAsia"/>
          <w:snapToGrid w:val="0"/>
          <w:kern w:val="21"/>
          <w:szCs w:val="21"/>
        </w:rPr>
        <w:t>的</w:t>
      </w:r>
      <w:r w:rsidR="00521C1F" w:rsidRPr="00080C25">
        <w:rPr>
          <w:rFonts w:asciiTheme="minorEastAsia" w:eastAsiaTheme="minorEastAsia" w:hAnsiTheme="minorEastAsia" w:cs="宋体" w:hint="eastAsia"/>
          <w:snapToGrid w:val="0"/>
          <w:kern w:val="21"/>
          <w:szCs w:val="21"/>
        </w:rPr>
        <w:t>分析完全一致。</w:t>
      </w:r>
    </w:p>
    <w:p w:rsidR="003E42F8" w:rsidRPr="00080C25" w:rsidRDefault="003E42F8"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其次，再讨论一下如何计量，看看计量属性的发展。</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05"/>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财务会计从产生、发展、完善至今，各国逐渐通过制定会计准则、甚至通过国家立法的方式予以确认。而按照瓦兹与齐默尔曼</w:t>
      </w:r>
      <w:r w:rsidRPr="00080C25">
        <w:rPr>
          <w:rFonts w:asciiTheme="minorEastAsia" w:eastAsiaTheme="minorEastAsia" w:hAnsiTheme="minorEastAsia" w:cs="宋体"/>
          <w:snapToGrid w:val="0"/>
          <w:kern w:val="21"/>
          <w:szCs w:val="21"/>
        </w:rPr>
        <w:t>(1969)</w:t>
      </w:r>
      <w:r w:rsidRPr="00080C25">
        <w:rPr>
          <w:rFonts w:asciiTheme="minorEastAsia" w:eastAsiaTheme="minorEastAsia" w:hAnsiTheme="minorEastAsia" w:cs="宋体" w:hint="eastAsia"/>
          <w:snapToGrid w:val="0"/>
          <w:kern w:val="21"/>
          <w:szCs w:val="21"/>
        </w:rPr>
        <w:t>两位学者，通过运用供给与需求原理，分析实证会计的研究结论，研究者参与准则的制定，不仅会给研究者本人带来荣誉、地位，而且也可以确保更多的资金流向其所在单位。因此，资产定义的改进、准则的制定已经从中立性的学术活动，转向了有着经济后果的政治活动。即各利益集团间的博弈。这也正是会计计量为什么要服从制度设计，满足管理当局的信息需求。市场通过无形的手，引导整个社会资源的配置，而管理则通过有形的制度设计，干预市场、调节资源的有效利用。二者殊途同归。自从</w:t>
      </w:r>
      <w:r w:rsidRPr="00080C25">
        <w:rPr>
          <w:rFonts w:asciiTheme="minorEastAsia" w:eastAsiaTheme="minorEastAsia" w:hAnsiTheme="minorEastAsia" w:cs="宋体"/>
          <w:snapToGrid w:val="0"/>
          <w:kern w:val="21"/>
          <w:szCs w:val="21"/>
        </w:rPr>
        <w:t>1929</w:t>
      </w:r>
      <w:r w:rsidRPr="00080C25">
        <w:rPr>
          <w:rFonts w:asciiTheme="minorEastAsia" w:eastAsiaTheme="minorEastAsia" w:hAnsiTheme="minorEastAsia" w:cs="宋体" w:hint="eastAsia"/>
          <w:snapToGrid w:val="0"/>
          <w:kern w:val="21"/>
          <w:szCs w:val="21"/>
        </w:rPr>
        <w:t>年世界范围内的经济危机爆发、经济理论中关于市场机制可以自动调节供求、保持均衡的说法破产以来，政府对于经济的干预就没有停止过。</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20"/>
        <w:contextualSpacing/>
        <w:rPr>
          <w:rFonts w:asciiTheme="minorEastAsia" w:eastAsiaTheme="minorEastAsia" w:hAnsiTheme="minorEastAsia" w:cs="宋体"/>
          <w:snapToGrid w:val="0"/>
          <w:kern w:val="21"/>
          <w:szCs w:val="21"/>
        </w:rPr>
      </w:pPr>
      <w:r w:rsidRPr="00080C25">
        <w:rPr>
          <w:rFonts w:asciiTheme="minorEastAsia" w:eastAsiaTheme="minorEastAsia" w:hAnsiTheme="minorEastAsia" w:cs="宋体" w:hint="eastAsia"/>
          <w:snapToGrid w:val="0"/>
          <w:kern w:val="21"/>
          <w:szCs w:val="21"/>
        </w:rPr>
        <w:t>因此，对于资源的计量，既有计量本身有用的自然属性，也有利益集团根据管理需求、制度安排上的社会属性。经济计量与会计计量在某些领域并不完全一致，即便是对同一资源进行计量。</w:t>
      </w:r>
      <w:r w:rsidR="003E42F8" w:rsidRPr="00080C25">
        <w:rPr>
          <w:rFonts w:asciiTheme="minorEastAsia" w:eastAsiaTheme="minorEastAsia" w:hAnsiTheme="minorEastAsia" w:cs="宋体" w:hint="eastAsia"/>
          <w:snapToGrid w:val="0"/>
          <w:kern w:val="21"/>
          <w:szCs w:val="21"/>
        </w:rPr>
        <w:t>就如同本文第二部分提到的资产价格，既可以是入账成本的1000元，也可以是结算价格的1130</w:t>
      </w:r>
      <w:r w:rsidR="003E42F8" w:rsidRPr="00080C25">
        <w:rPr>
          <w:rFonts w:asciiTheme="minorEastAsia" w:eastAsiaTheme="minorEastAsia" w:hAnsiTheme="minorEastAsia" w:cs="宋体" w:hint="eastAsia"/>
          <w:snapToGrid w:val="0"/>
          <w:kern w:val="21"/>
          <w:szCs w:val="21"/>
        </w:rPr>
        <w:lastRenderedPageBreak/>
        <w:t>元，两者都是资产的公允价值。只不过计量的目的不同罢了。</w:t>
      </w:r>
    </w:p>
    <w:p w:rsidR="00521C1F" w:rsidRPr="00080C25" w:rsidRDefault="00521C1F" w:rsidP="00080C25">
      <w:pPr>
        <w:ind w:firstLineChars="200" w:firstLine="420"/>
        <w:rPr>
          <w:rFonts w:asciiTheme="minorEastAsia" w:eastAsiaTheme="minorEastAsia" w:hAnsiTheme="minorEastAsia"/>
          <w:kern w:val="0"/>
          <w:szCs w:val="21"/>
        </w:rPr>
      </w:pPr>
      <w:r w:rsidRPr="00080C25">
        <w:rPr>
          <w:rFonts w:asciiTheme="minorEastAsia" w:eastAsiaTheme="minorEastAsia" w:hAnsiTheme="minorEastAsia" w:cs="宋体" w:hint="eastAsia"/>
          <w:snapToGrid w:val="0"/>
          <w:kern w:val="21"/>
          <w:szCs w:val="21"/>
        </w:rPr>
        <w:t>在资产的定义中要严格区分、明确两点，资产的属性是资源、是权利；而其流入的经济利益是计量、是后果。</w:t>
      </w:r>
      <w:r w:rsidRPr="00080C25">
        <w:rPr>
          <w:rFonts w:asciiTheme="minorEastAsia" w:eastAsiaTheme="minorEastAsia" w:hAnsiTheme="minorEastAsia" w:cs="宋体"/>
          <w:snapToGrid w:val="0"/>
          <w:kern w:val="21"/>
          <w:szCs w:val="21"/>
        </w:rPr>
        <w:t>1991</w:t>
      </w:r>
      <w:r w:rsidRPr="00080C25">
        <w:rPr>
          <w:rFonts w:asciiTheme="minorEastAsia" w:eastAsiaTheme="minorEastAsia" w:hAnsiTheme="minorEastAsia" w:cs="宋体" w:hint="eastAsia"/>
          <w:snapToGrid w:val="0"/>
          <w:kern w:val="21"/>
          <w:szCs w:val="21"/>
        </w:rPr>
        <w:t>年美国经济学家萨缪尔森</w:t>
      </w:r>
      <w:r w:rsidRPr="00080C25">
        <w:rPr>
          <w:rFonts w:asciiTheme="minorEastAsia" w:eastAsiaTheme="minorEastAsia" w:hAnsiTheme="minorEastAsia" w:cs="宋体"/>
          <w:snapToGrid w:val="0"/>
          <w:kern w:val="21"/>
          <w:szCs w:val="21"/>
        </w:rPr>
        <w:t>(Richard A Samulson)</w:t>
      </w:r>
      <w:r w:rsidRPr="00080C25">
        <w:rPr>
          <w:rFonts w:asciiTheme="minorEastAsia" w:eastAsiaTheme="minorEastAsia" w:hAnsiTheme="minorEastAsia" w:cs="宋体" w:hint="eastAsia"/>
          <w:snapToGrid w:val="0"/>
          <w:kern w:val="21"/>
          <w:szCs w:val="21"/>
        </w:rPr>
        <w:t>曾指出，当时</w:t>
      </w:r>
      <w:r w:rsidRPr="00080C25">
        <w:rPr>
          <w:rFonts w:asciiTheme="minorEastAsia" w:eastAsiaTheme="minorEastAsia" w:hAnsiTheme="minorEastAsia" w:cs="宋体"/>
          <w:snapToGrid w:val="0"/>
          <w:kern w:val="21"/>
          <w:szCs w:val="21"/>
        </w:rPr>
        <w:t>SFAS N0.6</w:t>
      </w:r>
      <w:r w:rsidRPr="00080C25">
        <w:rPr>
          <w:rFonts w:asciiTheme="minorEastAsia" w:eastAsiaTheme="minorEastAsia" w:hAnsiTheme="minorEastAsia" w:cs="宋体" w:hint="eastAsia"/>
          <w:snapToGrid w:val="0"/>
          <w:kern w:val="21"/>
          <w:szCs w:val="21"/>
        </w:rPr>
        <w:t>的资产定义没有将客体落实在“资源”上，混淆了定义和计量，就是基于这样的判断。</w:t>
      </w:r>
      <w:r w:rsidRPr="00080C25">
        <w:rPr>
          <w:rFonts w:asciiTheme="minorEastAsia" w:eastAsiaTheme="minorEastAsia" w:hAnsiTheme="minorEastAsia" w:hint="eastAsia"/>
          <w:kern w:val="0"/>
          <w:szCs w:val="21"/>
        </w:rPr>
        <w:t>在2015 年 5 月 28 日,国际会计准则理事会</w:t>
      </w:r>
      <w:r w:rsidRPr="00080C25">
        <w:rPr>
          <w:rFonts w:asciiTheme="minorEastAsia" w:eastAsiaTheme="minorEastAsia" w:hAnsiTheme="minorEastAsia"/>
          <w:kern w:val="0"/>
          <w:szCs w:val="21"/>
        </w:rPr>
        <w:t>（IASB）</w:t>
      </w:r>
      <w:r w:rsidRPr="00080C25">
        <w:rPr>
          <w:rFonts w:asciiTheme="minorEastAsia" w:eastAsiaTheme="minorEastAsia" w:hAnsiTheme="minorEastAsia" w:hint="eastAsia"/>
          <w:kern w:val="0"/>
          <w:szCs w:val="21"/>
        </w:rPr>
        <w:t>颁布“财务报告概念框架”</w:t>
      </w:r>
      <w:r w:rsidRPr="00080C25">
        <w:rPr>
          <w:rFonts w:asciiTheme="minorEastAsia" w:eastAsiaTheme="minorEastAsia" w:hAnsiTheme="minorEastAsia"/>
          <w:kern w:val="0"/>
          <w:szCs w:val="21"/>
        </w:rPr>
        <w:t>（ Conceptual Framework for Financial Reporting）</w:t>
      </w:r>
      <w:r w:rsidRPr="00080C25">
        <w:rPr>
          <w:rFonts w:asciiTheme="minorEastAsia" w:eastAsiaTheme="minorEastAsia" w:hAnsiTheme="minorEastAsia" w:hint="eastAsia"/>
          <w:kern w:val="0"/>
          <w:szCs w:val="21"/>
        </w:rPr>
        <w:t>修订征求意见稿中，已经将资产的概念重新定义为“由过去事项发生导致的，由企业控制的现时经济资源”并对经济资源单独定义。这样权利和后果、即“定义” 和“计量”就分别明确了。</w:t>
      </w:r>
    </w:p>
    <w:p w:rsidR="00521C1F"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20"/>
        <w:contextualSpacing/>
        <w:rPr>
          <w:rFonts w:asciiTheme="minorEastAsia" w:eastAsiaTheme="minorEastAsia" w:hAnsiTheme="minorEastAsia" w:cs="仿宋_GB2312"/>
          <w:snapToGrid w:val="0"/>
          <w:kern w:val="21"/>
          <w:szCs w:val="21"/>
        </w:rPr>
      </w:pPr>
      <w:r w:rsidRPr="00080C25">
        <w:rPr>
          <w:rFonts w:asciiTheme="minorEastAsia" w:eastAsiaTheme="minorEastAsia" w:hAnsiTheme="minorEastAsia" w:cs="宋体" w:hint="eastAsia"/>
          <w:snapToGrid w:val="0"/>
          <w:kern w:val="21"/>
          <w:szCs w:val="21"/>
        </w:rPr>
        <w:t>资产定义的分析结果：会计</w:t>
      </w:r>
      <w:r w:rsidR="00E77933">
        <w:rPr>
          <w:rFonts w:asciiTheme="minorEastAsia" w:eastAsiaTheme="minorEastAsia" w:hAnsiTheme="minorEastAsia" w:cs="宋体" w:hint="eastAsia"/>
          <w:snapToGrid w:val="0"/>
          <w:kern w:val="21"/>
          <w:szCs w:val="21"/>
        </w:rPr>
        <w:t>要素</w:t>
      </w:r>
      <w:r w:rsidRPr="00080C25">
        <w:rPr>
          <w:rFonts w:asciiTheme="minorEastAsia" w:eastAsiaTheme="minorEastAsia" w:hAnsiTheme="minorEastAsia" w:cs="宋体" w:hint="eastAsia"/>
          <w:snapToGrid w:val="0"/>
          <w:kern w:val="21"/>
          <w:szCs w:val="21"/>
        </w:rPr>
        <w:t>属性至少包含了两个方面，从资源属性上看是经济学，从计量目的和结果分析，则要服从制度安排，属于管理学。</w:t>
      </w:r>
      <w:r w:rsidRPr="00080C25">
        <w:rPr>
          <w:rFonts w:asciiTheme="minorEastAsia" w:eastAsiaTheme="minorEastAsia" w:hAnsiTheme="minorEastAsia" w:cs="仿宋_GB2312" w:hint="eastAsia"/>
          <w:snapToGrid w:val="0"/>
          <w:kern w:val="21"/>
          <w:szCs w:val="21"/>
        </w:rPr>
        <w:t>或者简述为，会计</w:t>
      </w:r>
      <w:r w:rsidR="00E77933">
        <w:rPr>
          <w:rFonts w:asciiTheme="minorEastAsia" w:eastAsiaTheme="minorEastAsia" w:hAnsiTheme="minorEastAsia" w:cs="仿宋_GB2312" w:hint="eastAsia"/>
          <w:snapToGrid w:val="0"/>
          <w:kern w:val="21"/>
          <w:szCs w:val="21"/>
        </w:rPr>
        <w:t>要素也一样</w:t>
      </w:r>
      <w:r w:rsidRPr="00080C25">
        <w:rPr>
          <w:rFonts w:asciiTheme="minorEastAsia" w:eastAsiaTheme="minorEastAsia" w:hAnsiTheme="minorEastAsia" w:cs="仿宋_GB2312" w:hint="eastAsia"/>
          <w:snapToGrid w:val="0"/>
          <w:kern w:val="21"/>
          <w:szCs w:val="21"/>
        </w:rPr>
        <w:t>脱胎于经济学，转型于管理学。</w:t>
      </w:r>
    </w:p>
    <w:p w:rsidR="00537DFC" w:rsidRPr="00080C25" w:rsidRDefault="00521C1F" w:rsidP="00080C25">
      <w:pPr>
        <w:pBdr>
          <w:top w:val="none" w:sz="0" w:space="0" w:color="auto"/>
          <w:left w:val="none" w:sz="0" w:space="0" w:color="auto"/>
          <w:bottom w:val="none" w:sz="0" w:space="0" w:color="auto"/>
          <w:right w:val="none" w:sz="0" w:space="0" w:color="auto"/>
          <w:between w:val="none" w:sz="0" w:space="0" w:color="auto"/>
        </w:pBdr>
        <w:snapToGrid w:val="0"/>
        <w:ind w:firstLine="420"/>
        <w:contextualSpacing/>
        <w:rPr>
          <w:rFonts w:asciiTheme="minorEastAsia" w:eastAsiaTheme="minorEastAsia" w:hAnsiTheme="minorEastAsia" w:cs="仿宋_GB2312"/>
          <w:szCs w:val="21"/>
        </w:rPr>
      </w:pPr>
      <w:r w:rsidRPr="00080C25">
        <w:rPr>
          <w:rFonts w:asciiTheme="minorEastAsia" w:eastAsiaTheme="minorEastAsia" w:hAnsiTheme="minorEastAsia" w:cs="仿宋_GB2312" w:hint="eastAsia"/>
          <w:snapToGrid w:val="0"/>
          <w:kern w:val="21"/>
          <w:szCs w:val="21"/>
        </w:rPr>
        <w:t>因此，会计计量，也同样具有两种属性</w:t>
      </w:r>
      <w:r w:rsidR="00537DFC" w:rsidRPr="00080C25">
        <w:rPr>
          <w:rFonts w:asciiTheme="minorEastAsia" w:eastAsiaTheme="minorEastAsia" w:hAnsiTheme="minorEastAsia" w:cs="仿宋_GB2312" w:hint="eastAsia"/>
          <w:snapToGrid w:val="0"/>
          <w:kern w:val="21"/>
          <w:szCs w:val="21"/>
        </w:rPr>
        <w:t>，</w:t>
      </w:r>
      <w:r w:rsidR="00537DFC" w:rsidRPr="00080C25">
        <w:rPr>
          <w:rFonts w:asciiTheme="minorEastAsia" w:eastAsiaTheme="minorEastAsia" w:hAnsiTheme="minorEastAsia" w:cs="仿宋_GB2312" w:hint="eastAsia"/>
          <w:szCs w:val="21"/>
        </w:rPr>
        <w:t>公允价值是计量属性，属性本身具有的公允要求，是这种计量的自然属性，在具体会计实践中，尤其在增值税要求价税分开处理的制度背景下，公允价值被分解为</w:t>
      </w:r>
      <w:r w:rsidR="00537DFC" w:rsidRPr="00080C25">
        <w:rPr>
          <w:rFonts w:asciiTheme="minorEastAsia" w:eastAsiaTheme="minorEastAsia" w:hAnsiTheme="minorEastAsia" w:cs="仿宋_GB2312" w:hint="eastAsia"/>
          <w:snapToGrid w:val="0"/>
          <w:kern w:val="21"/>
          <w:szCs w:val="21"/>
        </w:rPr>
        <w:t>经济计量和会计计量的</w:t>
      </w:r>
      <w:r w:rsidR="00537DFC" w:rsidRPr="00080C25">
        <w:rPr>
          <w:rFonts w:asciiTheme="minorEastAsia" w:eastAsiaTheme="minorEastAsia" w:hAnsiTheme="minorEastAsia" w:cs="仿宋_GB2312" w:hint="eastAsia"/>
          <w:szCs w:val="21"/>
        </w:rPr>
        <w:t>不同单元，体现的是公允价值计量的社会属性。</w:t>
      </w:r>
    </w:p>
    <w:p w:rsidR="00986256" w:rsidRPr="00080C25" w:rsidRDefault="00986256" w:rsidP="00080C25">
      <w:pPr>
        <w:pBdr>
          <w:top w:val="none" w:sz="0" w:space="0" w:color="auto"/>
          <w:left w:val="none" w:sz="0" w:space="0" w:color="auto"/>
          <w:bottom w:val="none" w:sz="0" w:space="0" w:color="auto"/>
          <w:right w:val="none" w:sz="0" w:space="0" w:color="auto"/>
          <w:between w:val="none" w:sz="0" w:space="0" w:color="auto"/>
        </w:pBdr>
        <w:snapToGrid w:val="0"/>
        <w:ind w:firstLine="420"/>
        <w:contextualSpacing/>
        <w:rPr>
          <w:rFonts w:asciiTheme="minorEastAsia" w:eastAsiaTheme="minorEastAsia" w:hAnsiTheme="minorEastAsia"/>
          <w:szCs w:val="21"/>
        </w:rPr>
      </w:pPr>
      <w:r w:rsidRPr="00080C25">
        <w:rPr>
          <w:rFonts w:asciiTheme="minorEastAsia" w:eastAsiaTheme="minorEastAsia" w:hAnsiTheme="minorEastAsia" w:hint="eastAsia"/>
          <w:szCs w:val="21"/>
        </w:rPr>
        <w:t>现行会计报表的计量属性本身就不是唯一的，既有历史成本、也有可变现净值、当然更不能或缺公允价值，作为一种计量属性，可以有不同的计量结果，这并不会影响报表整体的客观性。</w:t>
      </w:r>
    </w:p>
    <w:p w:rsidR="00986256" w:rsidRPr="00080C25" w:rsidRDefault="009305F2" w:rsidP="00080C25">
      <w:pPr>
        <w:pBdr>
          <w:top w:val="none" w:sz="0" w:space="0" w:color="auto"/>
          <w:left w:val="none" w:sz="0" w:space="0" w:color="auto"/>
          <w:bottom w:val="none" w:sz="0" w:space="0" w:color="auto"/>
          <w:right w:val="none" w:sz="0" w:space="0" w:color="auto"/>
          <w:between w:val="none" w:sz="0" w:space="0" w:color="auto"/>
        </w:pBdr>
        <w:snapToGrid w:val="0"/>
        <w:ind w:firstLine="420"/>
        <w:contextualSpacing/>
        <w:rPr>
          <w:rFonts w:asciiTheme="minorEastAsia" w:eastAsiaTheme="minorEastAsia" w:hAnsiTheme="minorEastAsia" w:cs="仿宋_GB2312"/>
          <w:b/>
          <w:snapToGrid w:val="0"/>
          <w:kern w:val="21"/>
          <w:szCs w:val="21"/>
        </w:rPr>
      </w:pPr>
      <w:r w:rsidRPr="00080C25">
        <w:rPr>
          <w:rFonts w:asciiTheme="minorEastAsia" w:eastAsiaTheme="minorEastAsia" w:hAnsiTheme="minorEastAsia" w:cs="仿宋_GB2312" w:hint="eastAsia"/>
          <w:b/>
          <w:snapToGrid w:val="0"/>
          <w:kern w:val="21"/>
          <w:szCs w:val="21"/>
        </w:rPr>
        <w:t>3、公允价值计量结果的现实选择</w:t>
      </w:r>
    </w:p>
    <w:p w:rsidR="003E42F8" w:rsidRPr="00080C25" w:rsidRDefault="003E42F8" w:rsidP="00080C25">
      <w:p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kern w:val="0"/>
          <w:szCs w:val="21"/>
        </w:rPr>
      </w:pPr>
      <w:r w:rsidRPr="00080C25">
        <w:rPr>
          <w:rFonts w:asciiTheme="minorEastAsia" w:eastAsiaTheme="minorEastAsia" w:hAnsiTheme="minorEastAsia" w:cs="宋体" w:hint="eastAsia"/>
          <w:b/>
          <w:kern w:val="0"/>
          <w:szCs w:val="21"/>
        </w:rPr>
        <w:t xml:space="preserve"> </w:t>
      </w:r>
      <w:r w:rsidRPr="00080C25">
        <w:rPr>
          <w:rFonts w:asciiTheme="minorEastAsia" w:eastAsiaTheme="minorEastAsia" w:hAnsiTheme="minorEastAsia" w:cs="宋体" w:hint="eastAsia"/>
          <w:kern w:val="0"/>
          <w:szCs w:val="21"/>
        </w:rPr>
        <w:t xml:space="preserve">  </w:t>
      </w:r>
      <w:r w:rsidR="003A11CC" w:rsidRPr="00080C25">
        <w:rPr>
          <w:rFonts w:asciiTheme="minorEastAsia" w:eastAsiaTheme="minorEastAsia" w:hAnsiTheme="minorEastAsia" w:cs="宋体" w:hint="eastAsia"/>
          <w:kern w:val="0"/>
          <w:szCs w:val="21"/>
        </w:rPr>
        <w:t>以上从理论源头和假设首尾一致性角度，探讨了公允价值计量为什么定义为本文的两个计量单元，</w:t>
      </w:r>
      <w:r w:rsidRPr="00080C25">
        <w:rPr>
          <w:rFonts w:asciiTheme="minorEastAsia" w:eastAsiaTheme="minorEastAsia" w:hAnsiTheme="minorEastAsia" w:cs="宋体" w:hint="eastAsia"/>
          <w:kern w:val="0"/>
          <w:szCs w:val="21"/>
        </w:rPr>
        <w:t xml:space="preserve"> </w:t>
      </w:r>
      <w:r w:rsidR="003A11CC" w:rsidRPr="00080C25">
        <w:rPr>
          <w:rFonts w:asciiTheme="minorEastAsia" w:eastAsiaTheme="minorEastAsia" w:hAnsiTheme="minorEastAsia" w:cs="宋体" w:hint="eastAsia"/>
          <w:kern w:val="0"/>
          <w:szCs w:val="21"/>
        </w:rPr>
        <w:t>可能会有学者认为，这是小题大做，在没有公允价值计量指南、没有明确定义本文所提出的两个计量单元的情况下，准则的推广使用并没有受到</w:t>
      </w:r>
      <w:r w:rsidR="004449C8" w:rsidRPr="00080C25">
        <w:rPr>
          <w:rFonts w:asciiTheme="minorEastAsia" w:eastAsiaTheme="minorEastAsia" w:hAnsiTheme="minorEastAsia" w:cs="宋体" w:hint="eastAsia"/>
          <w:kern w:val="0"/>
          <w:szCs w:val="21"/>
        </w:rPr>
        <w:t>多大</w:t>
      </w:r>
      <w:r w:rsidR="003A11CC" w:rsidRPr="00080C25">
        <w:rPr>
          <w:rFonts w:asciiTheme="minorEastAsia" w:eastAsiaTheme="minorEastAsia" w:hAnsiTheme="minorEastAsia" w:cs="宋体" w:hint="eastAsia"/>
          <w:kern w:val="0"/>
          <w:szCs w:val="21"/>
        </w:rPr>
        <w:t>影响。</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宋体"/>
          <w:kern w:val="0"/>
          <w:szCs w:val="21"/>
        </w:rPr>
      </w:pPr>
      <w:r w:rsidRPr="00080C25">
        <w:rPr>
          <w:rFonts w:asciiTheme="minorEastAsia" w:eastAsiaTheme="minorEastAsia" w:hAnsiTheme="minorEastAsia" w:cs="宋体" w:hint="eastAsia"/>
          <w:kern w:val="0"/>
          <w:szCs w:val="21"/>
        </w:rPr>
        <w:t>其实不然，如果仅有本文开头提到的债务重组准则</w:t>
      </w:r>
      <w:r w:rsidR="00E77933">
        <w:rPr>
          <w:rFonts w:asciiTheme="minorEastAsia" w:eastAsiaTheme="minorEastAsia" w:hAnsiTheme="minorEastAsia" w:cs="宋体" w:hint="eastAsia"/>
          <w:kern w:val="0"/>
          <w:szCs w:val="21"/>
        </w:rPr>
        <w:t>存在这种情况，也不会引起笔者多年的关注和研究。类似的问题还有：</w:t>
      </w:r>
    </w:p>
    <w:p w:rsidR="003A11CC" w:rsidRPr="00080C25" w:rsidRDefault="003A11CC" w:rsidP="00080C25">
      <w:pPr>
        <w:pStyle w:val="a3"/>
        <w:numPr>
          <w:ilvl w:val="0"/>
          <w:numId w:val="20"/>
        </w:num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szCs w:val="21"/>
        </w:rPr>
      </w:pPr>
      <w:r w:rsidRPr="00080C25">
        <w:rPr>
          <w:rFonts w:asciiTheme="minorEastAsia" w:eastAsiaTheme="minorEastAsia" w:hAnsiTheme="minorEastAsia" w:hint="eastAsia"/>
          <w:szCs w:val="21"/>
        </w:rPr>
        <w:t>企业合并准则中的公允价值表述</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企业合并准则的第十二条，“购买方在购买日对作为企业合并对价付出的资产、发生或承担的负债应当按照</w:t>
      </w:r>
      <w:r w:rsidRPr="00080C25">
        <w:rPr>
          <w:rFonts w:asciiTheme="minorEastAsia" w:eastAsiaTheme="minorEastAsia" w:hAnsiTheme="minorEastAsia" w:hint="eastAsia"/>
          <w:szCs w:val="21"/>
          <w:u w:val="single"/>
        </w:rPr>
        <w:t>公允价值</w:t>
      </w:r>
      <w:r w:rsidRPr="00080C25">
        <w:rPr>
          <w:rFonts w:asciiTheme="minorEastAsia" w:eastAsiaTheme="minorEastAsia" w:hAnsiTheme="minorEastAsia" w:hint="eastAsia"/>
          <w:szCs w:val="21"/>
        </w:rPr>
        <w:t>计量，</w:t>
      </w:r>
      <w:r w:rsidRPr="00080C25">
        <w:rPr>
          <w:rFonts w:asciiTheme="minorEastAsia" w:eastAsiaTheme="minorEastAsia" w:hAnsiTheme="minorEastAsia" w:hint="eastAsia"/>
          <w:szCs w:val="21"/>
          <w:u w:val="single"/>
        </w:rPr>
        <w:t>公允价值</w:t>
      </w:r>
      <w:r w:rsidRPr="00080C25">
        <w:rPr>
          <w:rFonts w:asciiTheme="minorEastAsia" w:eastAsiaTheme="minorEastAsia" w:hAnsiTheme="minorEastAsia" w:hint="eastAsia"/>
          <w:szCs w:val="21"/>
        </w:rPr>
        <w:t>与其账面价值的差额，计入当期损益。”</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准则第十三条第一款：“购买方对合并成本大于合并中取得的被购买方可辨认净资产</w:t>
      </w:r>
      <w:r w:rsidRPr="00080C25">
        <w:rPr>
          <w:rFonts w:asciiTheme="minorEastAsia" w:eastAsiaTheme="minorEastAsia" w:hAnsiTheme="minorEastAsia" w:hint="eastAsia"/>
          <w:szCs w:val="21"/>
          <w:u w:val="single"/>
        </w:rPr>
        <w:t>公允价值</w:t>
      </w:r>
      <w:r w:rsidRPr="00080C25">
        <w:rPr>
          <w:rFonts w:asciiTheme="minorEastAsia" w:eastAsiaTheme="minorEastAsia" w:hAnsiTheme="minorEastAsia" w:hint="eastAsia"/>
          <w:szCs w:val="21"/>
        </w:rPr>
        <w:t>份额的差额，应当确认为商誉”。准则第十四条，被购买方可辨认资产的</w:t>
      </w:r>
      <w:r w:rsidRPr="00080C25">
        <w:rPr>
          <w:rFonts w:asciiTheme="minorEastAsia" w:eastAsiaTheme="minorEastAsia" w:hAnsiTheme="minorEastAsia" w:hint="eastAsia"/>
          <w:szCs w:val="21"/>
          <w:u w:val="single"/>
        </w:rPr>
        <w:t>公允价值</w:t>
      </w:r>
      <w:r w:rsidRPr="00080C25">
        <w:rPr>
          <w:rFonts w:asciiTheme="minorEastAsia" w:eastAsiaTheme="minorEastAsia" w:hAnsiTheme="minorEastAsia" w:hint="eastAsia"/>
          <w:szCs w:val="21"/>
        </w:rPr>
        <w:t>减去负债及或有负债</w:t>
      </w:r>
      <w:r w:rsidRPr="00080C25">
        <w:rPr>
          <w:rFonts w:asciiTheme="minorEastAsia" w:eastAsiaTheme="minorEastAsia" w:hAnsiTheme="minorEastAsia" w:hint="eastAsia"/>
          <w:szCs w:val="21"/>
          <w:u w:val="single"/>
        </w:rPr>
        <w:t>公允价值</w:t>
      </w:r>
      <w:r w:rsidRPr="00080C25">
        <w:rPr>
          <w:rFonts w:asciiTheme="minorEastAsia" w:eastAsiaTheme="minorEastAsia" w:hAnsiTheme="minorEastAsia" w:hint="eastAsia"/>
          <w:szCs w:val="21"/>
        </w:rPr>
        <w:t>后的余额。</w:t>
      </w:r>
    </w:p>
    <w:p w:rsidR="003A11CC" w:rsidRPr="00080C25" w:rsidRDefault="003A11CC" w:rsidP="00080C25">
      <w:pPr>
        <w:numPr>
          <w:ilvl w:val="0"/>
          <w:numId w:val="1"/>
        </w:numPr>
        <w:pBdr>
          <w:top w:val="none" w:sz="0" w:space="0" w:color="auto"/>
          <w:left w:val="none" w:sz="0" w:space="0" w:color="auto"/>
          <w:bottom w:val="none" w:sz="0" w:space="0" w:color="auto"/>
          <w:right w:val="none" w:sz="0" w:space="0" w:color="auto"/>
          <w:between w:val="none" w:sz="0" w:space="0" w:color="auto"/>
        </w:pBdr>
        <w:ind w:left="720" w:hanging="360"/>
        <w:rPr>
          <w:rFonts w:asciiTheme="minorEastAsia" w:eastAsiaTheme="minorEastAsia" w:hAnsiTheme="minorEastAsia"/>
          <w:szCs w:val="21"/>
        </w:rPr>
      </w:pPr>
      <w:r w:rsidRPr="00080C25">
        <w:rPr>
          <w:rFonts w:asciiTheme="minorEastAsia" w:eastAsiaTheme="minorEastAsia" w:hAnsiTheme="minorEastAsia" w:hint="eastAsia"/>
          <w:szCs w:val="21"/>
        </w:rPr>
        <w:t>租赁准则中的公允价值表述</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firstLine="418"/>
        <w:rPr>
          <w:rFonts w:asciiTheme="minorEastAsia" w:eastAsiaTheme="minorEastAsia" w:hAnsiTheme="minorEastAsia"/>
          <w:szCs w:val="21"/>
        </w:rPr>
      </w:pPr>
      <w:r w:rsidRPr="00080C25">
        <w:rPr>
          <w:rFonts w:asciiTheme="minorEastAsia" w:eastAsiaTheme="minorEastAsia" w:hAnsiTheme="minorEastAsia" w:hint="eastAsia"/>
          <w:szCs w:val="21"/>
        </w:rPr>
        <w:t>准则第十一条，在租赁期开始日，承租人应当将租赁开始日租赁资产</w:t>
      </w:r>
      <w:r w:rsidRPr="00080C25">
        <w:rPr>
          <w:rFonts w:asciiTheme="minorEastAsia" w:eastAsiaTheme="minorEastAsia" w:hAnsiTheme="minorEastAsia" w:hint="eastAsia"/>
          <w:szCs w:val="21"/>
          <w:u w:val="single"/>
        </w:rPr>
        <w:t>公允价值</w:t>
      </w:r>
      <w:r w:rsidRPr="00080C25">
        <w:rPr>
          <w:rFonts w:asciiTheme="minorEastAsia" w:eastAsiaTheme="minorEastAsia" w:hAnsiTheme="minorEastAsia" w:hint="eastAsia"/>
          <w:szCs w:val="21"/>
        </w:rPr>
        <w:t>与最低租赁付款额现值两者中较低者作为租入资产的入账价值，将最低租赁付款额作为长期应付款的入账价值，其差额作为未确认融资费用。</w:t>
      </w:r>
    </w:p>
    <w:p w:rsidR="003A11CC" w:rsidRPr="00080C25" w:rsidRDefault="003A11CC" w:rsidP="00080C25">
      <w:pPr>
        <w:numPr>
          <w:ilvl w:val="0"/>
          <w:numId w:val="1"/>
        </w:numPr>
        <w:pBdr>
          <w:top w:val="none" w:sz="0" w:space="0" w:color="auto"/>
          <w:left w:val="none" w:sz="0" w:space="0" w:color="auto"/>
          <w:bottom w:val="none" w:sz="0" w:space="0" w:color="auto"/>
          <w:right w:val="none" w:sz="0" w:space="0" w:color="auto"/>
          <w:between w:val="none" w:sz="0" w:space="0" w:color="auto"/>
        </w:pBdr>
        <w:ind w:left="720" w:hanging="360"/>
        <w:rPr>
          <w:rFonts w:asciiTheme="minorEastAsia" w:eastAsiaTheme="minorEastAsia" w:hAnsiTheme="minorEastAsia"/>
          <w:szCs w:val="21"/>
        </w:rPr>
      </w:pPr>
      <w:r w:rsidRPr="00080C25">
        <w:rPr>
          <w:rFonts w:asciiTheme="minorEastAsia" w:eastAsiaTheme="minorEastAsia" w:hAnsiTheme="minorEastAsia" w:hint="eastAsia"/>
          <w:szCs w:val="21"/>
        </w:rPr>
        <w:t>非货币资产交换准则中的公允价值表述</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根据非货币性资产交换会计准则及应用指南：“非货币性资产交换具有商业实质且公允价值能够可靠计量的，在发生补价的情况下，支付补价方，应当以换出资产的</w:t>
      </w:r>
      <w:r w:rsidRPr="00080C25">
        <w:rPr>
          <w:rFonts w:asciiTheme="minorEastAsia" w:eastAsiaTheme="minorEastAsia" w:hAnsiTheme="minorEastAsia" w:hint="eastAsia"/>
          <w:szCs w:val="21"/>
          <w:u w:val="single"/>
        </w:rPr>
        <w:t>公允价值</w:t>
      </w:r>
      <w:r w:rsidRPr="00080C25">
        <w:rPr>
          <w:rFonts w:asciiTheme="minorEastAsia" w:eastAsiaTheme="minorEastAsia" w:hAnsiTheme="minorEastAsia" w:hint="eastAsia"/>
          <w:szCs w:val="21"/>
        </w:rPr>
        <w:t>加上支付的补价（或换入资产的</w:t>
      </w:r>
      <w:r w:rsidRPr="00080C25">
        <w:rPr>
          <w:rFonts w:asciiTheme="minorEastAsia" w:eastAsiaTheme="minorEastAsia" w:hAnsiTheme="minorEastAsia" w:hint="eastAsia"/>
          <w:szCs w:val="21"/>
          <w:u w:val="single"/>
        </w:rPr>
        <w:t>公允价值</w:t>
      </w:r>
      <w:r w:rsidRPr="00080C25">
        <w:rPr>
          <w:rFonts w:asciiTheme="minorEastAsia" w:eastAsiaTheme="minorEastAsia" w:hAnsiTheme="minorEastAsia" w:hint="eastAsia"/>
          <w:szCs w:val="21"/>
        </w:rPr>
        <w:t>）和</w:t>
      </w:r>
      <w:r w:rsidRPr="00080C25">
        <w:rPr>
          <w:rFonts w:asciiTheme="minorEastAsia" w:eastAsiaTheme="minorEastAsia" w:hAnsiTheme="minorEastAsia" w:cs="Tahoma" w:hint="eastAsia"/>
          <w:szCs w:val="21"/>
        </w:rPr>
        <w:t>应支付的相关税费</w:t>
      </w:r>
      <w:r w:rsidRPr="00080C25">
        <w:rPr>
          <w:rFonts w:asciiTheme="minorEastAsia" w:eastAsiaTheme="minorEastAsia" w:hAnsiTheme="minorEastAsia" w:hint="eastAsia"/>
          <w:szCs w:val="21"/>
        </w:rPr>
        <w:t>，</w:t>
      </w:r>
      <w:r w:rsidRPr="00080C25">
        <w:rPr>
          <w:rFonts w:asciiTheme="minorEastAsia" w:eastAsiaTheme="minorEastAsia" w:hAnsiTheme="minorEastAsia" w:cs="Tahoma" w:hint="eastAsia"/>
          <w:szCs w:val="21"/>
        </w:rPr>
        <w:t>作为</w:t>
      </w:r>
      <w:r w:rsidRPr="00080C25">
        <w:rPr>
          <w:rFonts w:asciiTheme="minorEastAsia" w:eastAsiaTheme="minorEastAsia" w:hAnsiTheme="minorEastAsia" w:hint="eastAsia"/>
          <w:szCs w:val="21"/>
        </w:rPr>
        <w:t>换入资产的成本；”</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上述</w:t>
      </w:r>
      <w:r w:rsidR="00610F3A" w:rsidRPr="00080C25">
        <w:rPr>
          <w:rFonts w:asciiTheme="minorEastAsia" w:eastAsiaTheme="minorEastAsia" w:hAnsiTheme="minorEastAsia" w:hint="eastAsia"/>
          <w:szCs w:val="21"/>
        </w:rPr>
        <w:t>三</w:t>
      </w:r>
      <w:r w:rsidRPr="00080C25">
        <w:rPr>
          <w:rFonts w:asciiTheme="minorEastAsia" w:eastAsiaTheme="minorEastAsia" w:hAnsiTheme="minorEastAsia" w:hint="eastAsia"/>
          <w:szCs w:val="21"/>
        </w:rPr>
        <w:t>项有删节的具体准则，多次提及公允价值，如果仅从语言上下文的逻辑关系分析，其公允价值的计量结果应该一致，更确切的讲，应该是同一个金额，但了解会计实务的学者知道，实践中</w:t>
      </w:r>
      <w:r w:rsidR="00610F3A" w:rsidRPr="00080C25">
        <w:rPr>
          <w:rFonts w:asciiTheme="minorEastAsia" w:eastAsiaTheme="minorEastAsia" w:hAnsiTheme="minorEastAsia" w:hint="eastAsia"/>
          <w:szCs w:val="21"/>
        </w:rPr>
        <w:t>根本</w:t>
      </w:r>
      <w:r w:rsidRPr="00080C25">
        <w:rPr>
          <w:rFonts w:asciiTheme="minorEastAsia" w:eastAsiaTheme="minorEastAsia" w:hAnsiTheme="minorEastAsia" w:hint="eastAsia"/>
          <w:szCs w:val="21"/>
        </w:rPr>
        <w:t>不是。</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以</w:t>
      </w:r>
      <w:r w:rsidR="00610F3A" w:rsidRPr="00080C25">
        <w:rPr>
          <w:rFonts w:asciiTheme="minorEastAsia" w:eastAsiaTheme="minorEastAsia" w:hAnsiTheme="minorEastAsia" w:hint="eastAsia"/>
          <w:szCs w:val="21"/>
        </w:rPr>
        <w:t>本文开头提出的</w:t>
      </w:r>
      <w:r w:rsidRPr="00080C25">
        <w:rPr>
          <w:rFonts w:asciiTheme="minorEastAsia" w:eastAsiaTheme="minorEastAsia" w:hAnsiTheme="minorEastAsia" w:hint="eastAsia"/>
          <w:szCs w:val="21"/>
        </w:rPr>
        <w:t>债务重组准则为例，</w:t>
      </w:r>
      <w:r w:rsidR="004449C8" w:rsidRPr="00080C25">
        <w:rPr>
          <w:rFonts w:asciiTheme="minorEastAsia" w:eastAsiaTheme="minorEastAsia" w:hAnsiTheme="minorEastAsia" w:hint="eastAsia"/>
          <w:szCs w:val="21"/>
        </w:rPr>
        <w:t>其</w:t>
      </w:r>
      <w:r w:rsidR="00610F3A" w:rsidRPr="00080C25">
        <w:rPr>
          <w:rFonts w:asciiTheme="minorEastAsia" w:eastAsiaTheme="minorEastAsia" w:hAnsiTheme="minorEastAsia" w:hint="eastAsia"/>
          <w:szCs w:val="21"/>
        </w:rPr>
        <w:t>公允价值计量单元的结果</w:t>
      </w:r>
      <w:r w:rsidRPr="00080C25">
        <w:rPr>
          <w:rFonts w:asciiTheme="minorEastAsia" w:eastAsiaTheme="minorEastAsia" w:hAnsiTheme="minorEastAsia" w:hint="eastAsia"/>
          <w:szCs w:val="21"/>
        </w:rPr>
        <w:t>如表</w:t>
      </w:r>
      <w:r w:rsidRPr="00080C25">
        <w:rPr>
          <w:rFonts w:asciiTheme="minorEastAsia" w:eastAsiaTheme="minorEastAsia" w:hAnsiTheme="minorEastAsia"/>
          <w:szCs w:val="21"/>
        </w:rPr>
        <w:t>1</w:t>
      </w:r>
      <w:r w:rsidRPr="00080C25">
        <w:rPr>
          <w:rFonts w:asciiTheme="minorEastAsia" w:eastAsiaTheme="minorEastAsia" w:hAnsiTheme="minorEastAsia" w:hint="eastAsia"/>
          <w:szCs w:val="21"/>
        </w:rPr>
        <w:t>所示。其他各准</w:t>
      </w:r>
      <w:r w:rsidR="00610F3A" w:rsidRPr="00080C25">
        <w:rPr>
          <w:rFonts w:asciiTheme="minorEastAsia" w:eastAsiaTheme="minorEastAsia" w:hAnsiTheme="minorEastAsia" w:hint="eastAsia"/>
          <w:szCs w:val="21"/>
        </w:rPr>
        <w:t>则的详细分析，参见本人已经发表的相关论文</w:t>
      </w:r>
      <w:r w:rsidRPr="00080C25">
        <w:rPr>
          <w:rFonts w:asciiTheme="minorEastAsia" w:eastAsiaTheme="minorEastAsia" w:hAnsiTheme="minorEastAsia" w:hint="eastAsia"/>
          <w:szCs w:val="21"/>
        </w:rPr>
        <w:t>，这里不再赘述。整个准则体系的情况参见附表</w:t>
      </w:r>
      <w:r w:rsidR="00735AF0" w:rsidRPr="00080C25">
        <w:rPr>
          <w:rFonts w:asciiTheme="minorEastAsia" w:eastAsiaTheme="minorEastAsia" w:hAnsiTheme="minorEastAsia"/>
          <w:szCs w:val="21"/>
        </w:rPr>
        <w:fldChar w:fldCharType="begin"/>
      </w:r>
      <w:r w:rsidRPr="00080C25">
        <w:rPr>
          <w:rFonts w:asciiTheme="minorEastAsia" w:eastAsiaTheme="minorEastAsia" w:hAnsiTheme="minorEastAsia"/>
          <w:szCs w:val="21"/>
        </w:rPr>
        <w:instrText>= 1 \* GB3</w:instrText>
      </w:r>
      <w:r w:rsidR="00735AF0" w:rsidRPr="00080C25">
        <w:rPr>
          <w:rFonts w:asciiTheme="minorEastAsia" w:eastAsiaTheme="minorEastAsia" w:hAnsiTheme="minorEastAsia"/>
          <w:szCs w:val="21"/>
        </w:rPr>
        <w:fldChar w:fldCharType="separate"/>
      </w:r>
      <w:r w:rsidRPr="00080C25">
        <w:rPr>
          <w:rFonts w:asciiTheme="minorEastAsia" w:eastAsiaTheme="minorEastAsia" w:hAnsiTheme="minorEastAsia" w:hint="eastAsia"/>
          <w:szCs w:val="21"/>
        </w:rPr>
        <w:t>①</w:t>
      </w:r>
      <w:r w:rsidR="00735AF0" w:rsidRPr="00080C25">
        <w:rPr>
          <w:rFonts w:asciiTheme="minorEastAsia" w:eastAsiaTheme="minorEastAsia" w:hAnsiTheme="minorEastAsia"/>
          <w:szCs w:val="21"/>
        </w:rPr>
        <w:fldChar w:fldCharType="end"/>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firstLineChars="750" w:firstLine="1575"/>
        <w:rPr>
          <w:rFonts w:asciiTheme="minorEastAsia" w:eastAsiaTheme="minorEastAsia" w:hAnsiTheme="minorEastAsia" w:cs="Tahoma"/>
          <w:color w:val="000000"/>
          <w:szCs w:val="21"/>
        </w:rPr>
      </w:pPr>
      <w:r w:rsidRPr="00080C25">
        <w:rPr>
          <w:rFonts w:asciiTheme="minorEastAsia" w:eastAsiaTheme="minorEastAsia" w:hAnsiTheme="minorEastAsia" w:cs="Tahoma" w:hint="eastAsia"/>
          <w:color w:val="000000"/>
          <w:szCs w:val="21"/>
        </w:rPr>
        <w:t>表１：</w:t>
      </w:r>
      <w:r w:rsidRPr="00080C25">
        <w:rPr>
          <w:rFonts w:asciiTheme="minorEastAsia" w:eastAsiaTheme="minorEastAsia" w:hAnsiTheme="minorEastAsia" w:hint="eastAsia"/>
          <w:color w:val="000000"/>
          <w:szCs w:val="21"/>
        </w:rPr>
        <w:t>公允价值计量在</w:t>
      </w:r>
      <w:r w:rsidRPr="00080C25">
        <w:rPr>
          <w:rFonts w:asciiTheme="minorEastAsia" w:eastAsiaTheme="minorEastAsia" w:hAnsiTheme="minorEastAsia" w:hint="eastAsia"/>
          <w:szCs w:val="21"/>
        </w:rPr>
        <w:t>债务重组准则中的应用分析表</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5580"/>
        <w:gridCol w:w="1589"/>
      </w:tblGrid>
      <w:tr w:rsidR="003A11CC" w:rsidRPr="00080C25" w:rsidTr="00E6789A">
        <w:trPr>
          <w:trHeight w:val="207"/>
        </w:trPr>
        <w:tc>
          <w:tcPr>
            <w:tcW w:w="1728" w:type="dxa"/>
          </w:tcPr>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firstLineChars="50" w:firstLine="105"/>
              <w:rPr>
                <w:rFonts w:asciiTheme="minorEastAsia" w:eastAsiaTheme="minorEastAsia" w:hAnsiTheme="minorEastAsia"/>
                <w:color w:val="000000"/>
                <w:szCs w:val="21"/>
              </w:rPr>
            </w:pPr>
            <w:r w:rsidRPr="00080C25">
              <w:rPr>
                <w:rFonts w:asciiTheme="minorEastAsia" w:eastAsiaTheme="minorEastAsia" w:hAnsiTheme="minorEastAsia" w:hint="eastAsia"/>
                <w:color w:val="000000"/>
                <w:szCs w:val="21"/>
              </w:rPr>
              <w:t>计量单元的选择</w:t>
            </w:r>
          </w:p>
        </w:tc>
        <w:tc>
          <w:tcPr>
            <w:tcW w:w="5580" w:type="dxa"/>
          </w:tcPr>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rPr>
                <w:rFonts w:asciiTheme="minorEastAsia" w:eastAsiaTheme="minorEastAsia" w:hAnsiTheme="minorEastAsia"/>
                <w:color w:val="000000"/>
                <w:szCs w:val="21"/>
              </w:rPr>
            </w:pPr>
            <w:r w:rsidRPr="00080C25">
              <w:rPr>
                <w:rFonts w:asciiTheme="minorEastAsia" w:eastAsiaTheme="minorEastAsia" w:hAnsiTheme="minorEastAsia" w:hint="eastAsia"/>
                <w:color w:val="000000"/>
                <w:szCs w:val="21"/>
              </w:rPr>
              <w:t>确认内容</w:t>
            </w:r>
          </w:p>
        </w:tc>
        <w:tc>
          <w:tcPr>
            <w:tcW w:w="1589" w:type="dxa"/>
          </w:tcPr>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firstLineChars="100" w:firstLine="210"/>
              <w:rPr>
                <w:rFonts w:asciiTheme="minorEastAsia" w:eastAsiaTheme="minorEastAsia" w:hAnsiTheme="minorEastAsia"/>
                <w:color w:val="000000"/>
                <w:szCs w:val="21"/>
              </w:rPr>
            </w:pPr>
            <w:r w:rsidRPr="00080C25">
              <w:rPr>
                <w:rFonts w:asciiTheme="minorEastAsia" w:eastAsiaTheme="minorEastAsia" w:hAnsiTheme="minorEastAsia" w:hint="eastAsia"/>
                <w:color w:val="000000"/>
                <w:szCs w:val="21"/>
              </w:rPr>
              <w:t>备注</w:t>
            </w:r>
          </w:p>
        </w:tc>
      </w:tr>
      <w:tr w:rsidR="003A11CC" w:rsidRPr="00080C25" w:rsidTr="00E6789A">
        <w:trPr>
          <w:trHeight w:val="300"/>
        </w:trPr>
        <w:tc>
          <w:tcPr>
            <w:tcW w:w="1728" w:type="dxa"/>
            <w:vAlign w:val="center"/>
          </w:tcPr>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firstLineChars="100" w:firstLine="210"/>
              <w:rPr>
                <w:rFonts w:asciiTheme="minorEastAsia" w:eastAsiaTheme="minorEastAsia" w:hAnsiTheme="minorEastAsia"/>
                <w:color w:val="000000"/>
                <w:szCs w:val="21"/>
              </w:rPr>
            </w:pPr>
            <w:r w:rsidRPr="00080C25">
              <w:rPr>
                <w:rFonts w:asciiTheme="minorEastAsia" w:eastAsiaTheme="minorEastAsia" w:hAnsiTheme="minorEastAsia" w:hint="eastAsia"/>
                <w:color w:val="000000"/>
                <w:szCs w:val="21"/>
              </w:rPr>
              <w:t>包含增值税</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firstLineChars="100" w:firstLine="210"/>
              <w:rPr>
                <w:rFonts w:asciiTheme="minorEastAsia" w:eastAsiaTheme="minorEastAsia" w:hAnsiTheme="minorEastAsia"/>
                <w:color w:val="000000"/>
                <w:szCs w:val="21"/>
              </w:rPr>
            </w:pPr>
            <w:r w:rsidRPr="00080C25">
              <w:rPr>
                <w:rFonts w:asciiTheme="minorEastAsia" w:eastAsiaTheme="minorEastAsia" w:hAnsiTheme="minorEastAsia" w:hint="eastAsia"/>
                <w:color w:val="000000"/>
                <w:szCs w:val="21"/>
              </w:rPr>
              <w:t>的计量单元</w:t>
            </w:r>
          </w:p>
        </w:tc>
        <w:tc>
          <w:tcPr>
            <w:tcW w:w="5580" w:type="dxa"/>
          </w:tcPr>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rPr>
                <w:rFonts w:asciiTheme="minorEastAsia" w:eastAsiaTheme="minorEastAsia" w:hAnsiTheme="minorEastAsia"/>
                <w:szCs w:val="21"/>
              </w:rPr>
            </w:pPr>
            <w:r w:rsidRPr="00080C25">
              <w:rPr>
                <w:rFonts w:asciiTheme="minorEastAsia" w:eastAsiaTheme="minorEastAsia" w:hAnsiTheme="minorEastAsia" w:hint="eastAsia"/>
                <w:szCs w:val="21"/>
              </w:rPr>
              <w:t>债务人的债务重组损益</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rPr>
                <w:rFonts w:asciiTheme="minorEastAsia" w:eastAsiaTheme="minorEastAsia" w:hAnsiTheme="minorEastAsia"/>
                <w:szCs w:val="21"/>
              </w:rPr>
            </w:pPr>
            <w:r w:rsidRPr="00080C25">
              <w:rPr>
                <w:rFonts w:asciiTheme="minorEastAsia" w:eastAsiaTheme="minorEastAsia" w:hAnsiTheme="minorEastAsia"/>
                <w:szCs w:val="21"/>
              </w:rPr>
              <w:t>=</w:t>
            </w:r>
            <w:r w:rsidRPr="00080C25">
              <w:rPr>
                <w:rFonts w:asciiTheme="minorEastAsia" w:eastAsiaTheme="minorEastAsia" w:hAnsiTheme="minorEastAsia" w:hint="eastAsia"/>
                <w:szCs w:val="21"/>
              </w:rPr>
              <w:t>重组债务的账面价值</w:t>
            </w:r>
            <w:r w:rsidRPr="00080C25">
              <w:rPr>
                <w:rFonts w:asciiTheme="minorEastAsia" w:eastAsiaTheme="minorEastAsia" w:hAnsiTheme="minorEastAsia"/>
                <w:szCs w:val="21"/>
              </w:rPr>
              <w:t>-</w:t>
            </w:r>
            <w:r w:rsidRPr="00080C25">
              <w:rPr>
                <w:rFonts w:asciiTheme="minorEastAsia" w:eastAsiaTheme="minorEastAsia" w:hAnsiTheme="minorEastAsia" w:hint="eastAsia"/>
                <w:szCs w:val="21"/>
              </w:rPr>
              <w:t>转让的非现金资产的公允价值</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rPr>
                <w:rFonts w:asciiTheme="minorEastAsia" w:eastAsiaTheme="minorEastAsia" w:hAnsiTheme="minorEastAsia"/>
                <w:szCs w:val="21"/>
              </w:rPr>
            </w:pPr>
            <w:r w:rsidRPr="00080C25">
              <w:rPr>
                <w:rFonts w:asciiTheme="minorEastAsia" w:eastAsiaTheme="minorEastAsia" w:hAnsiTheme="minorEastAsia" w:hint="eastAsia"/>
                <w:szCs w:val="21"/>
              </w:rPr>
              <w:t>债权人的</w:t>
            </w:r>
            <w:r w:rsidRPr="00080C25">
              <w:rPr>
                <w:rFonts w:asciiTheme="minorEastAsia" w:eastAsiaTheme="minorEastAsia" w:hAnsiTheme="minorEastAsia" w:cs="Tahoma" w:hint="eastAsia"/>
                <w:szCs w:val="21"/>
              </w:rPr>
              <w:t>债权</w:t>
            </w:r>
            <w:r w:rsidRPr="00080C25">
              <w:rPr>
                <w:rFonts w:asciiTheme="minorEastAsia" w:eastAsiaTheme="minorEastAsia" w:hAnsiTheme="minorEastAsia" w:hint="eastAsia"/>
                <w:szCs w:val="21"/>
              </w:rPr>
              <w:t>重组损益</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rPr>
                <w:rFonts w:asciiTheme="minorEastAsia" w:eastAsiaTheme="minorEastAsia" w:hAnsiTheme="minorEastAsia"/>
                <w:szCs w:val="21"/>
              </w:rPr>
            </w:pPr>
            <w:r w:rsidRPr="00080C25">
              <w:rPr>
                <w:rFonts w:asciiTheme="minorEastAsia" w:eastAsiaTheme="minorEastAsia" w:hAnsiTheme="minorEastAsia"/>
                <w:szCs w:val="21"/>
              </w:rPr>
              <w:t>=</w:t>
            </w:r>
            <w:r w:rsidRPr="00080C25">
              <w:rPr>
                <w:rFonts w:asciiTheme="minorEastAsia" w:eastAsiaTheme="minorEastAsia" w:hAnsiTheme="minorEastAsia" w:cs="Tahoma" w:hint="eastAsia"/>
                <w:szCs w:val="21"/>
              </w:rPr>
              <w:t>重组债权的</w:t>
            </w:r>
            <w:r w:rsidRPr="00080C25">
              <w:rPr>
                <w:rFonts w:asciiTheme="minorEastAsia" w:eastAsiaTheme="minorEastAsia" w:hAnsiTheme="minorEastAsia" w:cs="Tahoma" w:hint="eastAsia"/>
                <w:bCs/>
                <w:szCs w:val="21"/>
              </w:rPr>
              <w:t>账面余额</w:t>
            </w:r>
            <w:r w:rsidRPr="00080C25">
              <w:rPr>
                <w:rFonts w:asciiTheme="minorEastAsia" w:eastAsiaTheme="minorEastAsia" w:hAnsiTheme="minorEastAsia"/>
                <w:szCs w:val="21"/>
              </w:rPr>
              <w:t>-</w:t>
            </w:r>
            <w:r w:rsidRPr="00080C25">
              <w:rPr>
                <w:rFonts w:asciiTheme="minorEastAsia" w:eastAsiaTheme="minorEastAsia" w:hAnsiTheme="minorEastAsia" w:cs="Tahoma" w:hint="eastAsia"/>
                <w:szCs w:val="21"/>
              </w:rPr>
              <w:t>接受的非现金资产的公允价值</w:t>
            </w:r>
          </w:p>
        </w:tc>
        <w:tc>
          <w:tcPr>
            <w:tcW w:w="1589" w:type="dxa"/>
            <w:vAlign w:val="center"/>
          </w:tcPr>
          <w:p w:rsidR="003A11CC" w:rsidRPr="00080C25" w:rsidRDefault="003A11CC" w:rsidP="00080C25">
            <w:pPr>
              <w:widowControl/>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szCs w:val="21"/>
              </w:rPr>
            </w:pPr>
            <w:r w:rsidRPr="00080C25">
              <w:rPr>
                <w:rFonts w:asciiTheme="minorEastAsia" w:eastAsiaTheme="minorEastAsia" w:hAnsiTheme="minorEastAsia" w:hint="eastAsia"/>
                <w:szCs w:val="21"/>
              </w:rPr>
              <w:t>不同主体间结算金额</w:t>
            </w:r>
          </w:p>
        </w:tc>
      </w:tr>
      <w:tr w:rsidR="003A11CC" w:rsidRPr="00080C25" w:rsidTr="00E6789A">
        <w:trPr>
          <w:trHeight w:val="495"/>
        </w:trPr>
        <w:tc>
          <w:tcPr>
            <w:tcW w:w="1728" w:type="dxa"/>
            <w:vAlign w:val="center"/>
          </w:tcPr>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firstLineChars="85" w:firstLine="178"/>
              <w:rPr>
                <w:rFonts w:asciiTheme="minorEastAsia" w:eastAsiaTheme="minorEastAsia" w:hAnsiTheme="minorEastAsia"/>
                <w:color w:val="000000"/>
                <w:szCs w:val="21"/>
              </w:rPr>
            </w:pPr>
            <w:r w:rsidRPr="00080C25">
              <w:rPr>
                <w:rFonts w:asciiTheme="minorEastAsia" w:eastAsiaTheme="minorEastAsia" w:hAnsiTheme="minorEastAsia" w:hint="eastAsia"/>
                <w:color w:val="000000"/>
                <w:szCs w:val="21"/>
              </w:rPr>
              <w:t>不含增值税</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firstLineChars="100" w:firstLine="210"/>
              <w:rPr>
                <w:rFonts w:asciiTheme="minorEastAsia" w:eastAsiaTheme="minorEastAsia" w:hAnsiTheme="minorEastAsia"/>
                <w:color w:val="000000"/>
                <w:szCs w:val="21"/>
              </w:rPr>
            </w:pPr>
            <w:r w:rsidRPr="00080C25">
              <w:rPr>
                <w:rFonts w:asciiTheme="minorEastAsia" w:eastAsiaTheme="minorEastAsia" w:hAnsiTheme="minorEastAsia" w:hint="eastAsia"/>
                <w:color w:val="000000"/>
                <w:szCs w:val="21"/>
              </w:rPr>
              <w:t>的计量单元</w:t>
            </w:r>
          </w:p>
        </w:tc>
        <w:tc>
          <w:tcPr>
            <w:tcW w:w="5580" w:type="dxa"/>
          </w:tcPr>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rPr>
                <w:rFonts w:asciiTheme="minorEastAsia" w:eastAsiaTheme="minorEastAsia" w:hAnsiTheme="minorEastAsia"/>
                <w:szCs w:val="21"/>
              </w:rPr>
            </w:pPr>
            <w:r w:rsidRPr="00080C25">
              <w:rPr>
                <w:rFonts w:asciiTheme="minorEastAsia" w:eastAsiaTheme="minorEastAsia" w:hAnsiTheme="minorEastAsia" w:hint="eastAsia"/>
                <w:szCs w:val="21"/>
              </w:rPr>
              <w:t>债务人的资产转让损益</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rPr>
                <w:rFonts w:asciiTheme="minorEastAsia" w:eastAsiaTheme="minorEastAsia" w:hAnsiTheme="minorEastAsia"/>
                <w:szCs w:val="21"/>
              </w:rPr>
            </w:pPr>
            <w:r w:rsidRPr="00080C25">
              <w:rPr>
                <w:rFonts w:asciiTheme="minorEastAsia" w:eastAsiaTheme="minorEastAsia" w:hAnsiTheme="minorEastAsia"/>
                <w:szCs w:val="21"/>
              </w:rPr>
              <w:t>=</w:t>
            </w:r>
            <w:r w:rsidRPr="00080C25">
              <w:rPr>
                <w:rFonts w:asciiTheme="minorEastAsia" w:eastAsiaTheme="minorEastAsia" w:hAnsiTheme="minorEastAsia" w:hint="eastAsia"/>
                <w:szCs w:val="21"/>
              </w:rPr>
              <w:t>转让的非现金资产公允价值</w:t>
            </w:r>
            <w:r w:rsidRPr="00080C25">
              <w:rPr>
                <w:rFonts w:asciiTheme="minorEastAsia" w:eastAsiaTheme="minorEastAsia" w:hAnsiTheme="minorEastAsia"/>
                <w:szCs w:val="21"/>
              </w:rPr>
              <w:t>-</w:t>
            </w:r>
            <w:r w:rsidRPr="00080C25">
              <w:rPr>
                <w:rFonts w:asciiTheme="minorEastAsia" w:eastAsiaTheme="minorEastAsia" w:hAnsiTheme="minorEastAsia" w:hint="eastAsia"/>
                <w:szCs w:val="21"/>
              </w:rPr>
              <w:t>转让的非现金资产账面价值</w:t>
            </w:r>
          </w:p>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rightChars="-257" w:right="-540"/>
              <w:rPr>
                <w:rFonts w:asciiTheme="minorEastAsia" w:eastAsiaTheme="minorEastAsia" w:hAnsiTheme="minorEastAsia"/>
                <w:szCs w:val="21"/>
              </w:rPr>
            </w:pPr>
            <w:r w:rsidRPr="00080C25">
              <w:rPr>
                <w:rFonts w:asciiTheme="minorEastAsia" w:eastAsiaTheme="minorEastAsia" w:hAnsiTheme="minorEastAsia" w:cs="Tahoma" w:hint="eastAsia"/>
                <w:szCs w:val="21"/>
              </w:rPr>
              <w:t>债权人接受的非现金资产入账的公允价值</w:t>
            </w:r>
          </w:p>
        </w:tc>
        <w:tc>
          <w:tcPr>
            <w:tcW w:w="1589" w:type="dxa"/>
          </w:tcPr>
          <w:p w:rsidR="003A11CC" w:rsidRPr="00080C25" w:rsidRDefault="003A11CC" w:rsidP="00080C25">
            <w:pPr>
              <w:widowControl/>
              <w:pBdr>
                <w:top w:val="none" w:sz="0" w:space="0" w:color="auto"/>
                <w:left w:val="none" w:sz="0" w:space="0" w:color="auto"/>
                <w:bottom w:val="none" w:sz="0" w:space="0" w:color="auto"/>
                <w:right w:val="none" w:sz="0" w:space="0" w:color="auto"/>
                <w:between w:val="none" w:sz="0" w:space="0" w:color="auto"/>
              </w:pBdr>
              <w:jc w:val="left"/>
              <w:rPr>
                <w:rFonts w:asciiTheme="minorEastAsia" w:eastAsiaTheme="minorEastAsia" w:hAnsiTheme="minorEastAsia"/>
                <w:szCs w:val="21"/>
              </w:rPr>
            </w:pPr>
            <w:r w:rsidRPr="00080C25">
              <w:rPr>
                <w:rFonts w:asciiTheme="minorEastAsia" w:eastAsiaTheme="minorEastAsia" w:hAnsiTheme="minorEastAsia" w:hint="eastAsia"/>
                <w:szCs w:val="21"/>
              </w:rPr>
              <w:t>同一主体内的会计价税分离</w:t>
            </w:r>
          </w:p>
        </w:tc>
      </w:tr>
    </w:tbl>
    <w:p w:rsidR="003A11CC" w:rsidRPr="00080C25" w:rsidRDefault="003A11CC"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宋体"/>
          <w:kern w:val="0"/>
          <w:szCs w:val="21"/>
        </w:rPr>
      </w:pPr>
    </w:p>
    <w:p w:rsidR="00054211" w:rsidRPr="00080C25" w:rsidRDefault="00610F3A"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宋体"/>
          <w:kern w:val="0"/>
          <w:szCs w:val="21"/>
        </w:rPr>
      </w:pPr>
      <w:r w:rsidRPr="00080C25">
        <w:rPr>
          <w:rFonts w:asciiTheme="minorEastAsia" w:eastAsiaTheme="minorEastAsia" w:hAnsiTheme="minorEastAsia" w:cs="宋体" w:hint="eastAsia"/>
          <w:kern w:val="0"/>
          <w:szCs w:val="21"/>
        </w:rPr>
        <w:t>此外，</w:t>
      </w:r>
      <w:r w:rsidR="000B5A4B" w:rsidRPr="00080C25">
        <w:rPr>
          <w:rFonts w:asciiTheme="minorEastAsia" w:eastAsiaTheme="minorEastAsia" w:hAnsiTheme="minorEastAsia" w:cs="宋体" w:hint="eastAsia"/>
          <w:kern w:val="0"/>
          <w:szCs w:val="21"/>
        </w:rPr>
        <w:t>对于租赁准则，</w:t>
      </w:r>
      <w:r w:rsidR="00054211" w:rsidRPr="00080C25">
        <w:rPr>
          <w:rFonts w:asciiTheme="minorEastAsia" w:eastAsiaTheme="minorEastAsia" w:hAnsiTheme="minorEastAsia" w:hint="eastAsia"/>
          <w:color w:val="000000"/>
          <w:szCs w:val="21"/>
        </w:rPr>
        <w:t>由于营改增所产生的价外增值税、更由于价税分开会计处理</w:t>
      </w:r>
      <w:r w:rsidR="00EC3A95" w:rsidRPr="00080C25">
        <w:rPr>
          <w:rFonts w:asciiTheme="minorEastAsia" w:eastAsiaTheme="minorEastAsia" w:hAnsiTheme="minorEastAsia" w:hint="eastAsia"/>
          <w:color w:val="000000"/>
          <w:szCs w:val="21"/>
        </w:rPr>
        <w:t>的</w:t>
      </w:r>
      <w:r w:rsidR="00054211" w:rsidRPr="00080C25">
        <w:rPr>
          <w:rFonts w:asciiTheme="minorEastAsia" w:eastAsiaTheme="minorEastAsia" w:hAnsiTheme="minorEastAsia" w:hint="eastAsia"/>
          <w:color w:val="000000"/>
          <w:szCs w:val="21"/>
        </w:rPr>
        <w:t>既有规范，使得舶来品的融资租赁准则</w:t>
      </w:r>
      <w:r w:rsidR="00054211" w:rsidRPr="00080C25">
        <w:rPr>
          <w:rFonts w:asciiTheme="minorEastAsia" w:eastAsiaTheme="minorEastAsia" w:hAnsiTheme="minorEastAsia" w:hint="eastAsia"/>
          <w:szCs w:val="21"/>
        </w:rPr>
        <w:t>，对于增值税的处理产生了一个真空。</w:t>
      </w:r>
    </w:p>
    <w:p w:rsidR="00054211" w:rsidRPr="00080C25" w:rsidRDefault="00E77933" w:rsidP="00080C25">
      <w:pPr>
        <w:ind w:hanging="180"/>
        <w:rPr>
          <w:rFonts w:asciiTheme="minorEastAsia" w:eastAsiaTheme="minorEastAsia" w:hAnsiTheme="minorEastAsia"/>
          <w:szCs w:val="21"/>
        </w:rPr>
      </w:pPr>
      <w:r>
        <w:rPr>
          <w:rFonts w:asciiTheme="minorEastAsia" w:eastAsiaTheme="minorEastAsia" w:hAnsiTheme="minorEastAsia" w:hint="eastAsia"/>
          <w:color w:val="000000"/>
          <w:szCs w:val="21"/>
        </w:rPr>
        <w:t xml:space="preserve">      </w:t>
      </w:r>
      <w:r w:rsidR="00054211" w:rsidRPr="00080C25">
        <w:rPr>
          <w:rFonts w:asciiTheme="minorEastAsia" w:eastAsiaTheme="minorEastAsia" w:hAnsiTheme="minorEastAsia" w:hint="eastAsia"/>
          <w:color w:val="000000"/>
          <w:szCs w:val="21"/>
        </w:rPr>
        <w:t>资产入账价值的价税分开，要求</w:t>
      </w:r>
      <w:r w:rsidR="00054211" w:rsidRPr="00080C25">
        <w:rPr>
          <w:rFonts w:asciiTheme="minorEastAsia" w:eastAsiaTheme="minorEastAsia" w:hAnsiTheme="minorEastAsia"/>
          <w:szCs w:val="21"/>
        </w:rPr>
        <w:t>未确认融资费用</w:t>
      </w:r>
      <w:r w:rsidR="00054211" w:rsidRPr="00080C25">
        <w:rPr>
          <w:rFonts w:asciiTheme="minorEastAsia" w:eastAsiaTheme="minorEastAsia" w:hAnsiTheme="minorEastAsia" w:hint="eastAsia"/>
          <w:szCs w:val="21"/>
        </w:rPr>
        <w:t>、</w:t>
      </w:r>
      <w:r w:rsidR="00054211" w:rsidRPr="00080C25">
        <w:rPr>
          <w:rFonts w:asciiTheme="minorEastAsia" w:eastAsiaTheme="minorEastAsia" w:hAnsiTheme="minorEastAsia"/>
          <w:szCs w:val="21"/>
        </w:rPr>
        <w:t>未实现融资收益</w:t>
      </w:r>
      <w:r w:rsidR="00054211" w:rsidRPr="00080C25">
        <w:rPr>
          <w:rFonts w:asciiTheme="minorEastAsia" w:eastAsiaTheme="minorEastAsia" w:hAnsiTheme="minorEastAsia" w:hint="eastAsia"/>
          <w:szCs w:val="21"/>
        </w:rPr>
        <w:t>也</w:t>
      </w:r>
      <w:r w:rsidR="0004487B" w:rsidRPr="00080C25">
        <w:rPr>
          <w:rFonts w:asciiTheme="minorEastAsia" w:eastAsiaTheme="minorEastAsia" w:hAnsiTheme="minorEastAsia" w:hint="eastAsia"/>
          <w:szCs w:val="21"/>
        </w:rPr>
        <w:t>应该</w:t>
      </w:r>
      <w:r w:rsidR="00054211" w:rsidRPr="00080C25">
        <w:rPr>
          <w:rFonts w:asciiTheme="minorEastAsia" w:eastAsiaTheme="minorEastAsia" w:hAnsiTheme="minorEastAsia" w:hint="eastAsia"/>
          <w:szCs w:val="21"/>
        </w:rPr>
        <w:t>价税分开，</w:t>
      </w:r>
      <w:r w:rsidR="0004487B" w:rsidRPr="00080C25">
        <w:rPr>
          <w:rFonts w:asciiTheme="minorEastAsia" w:eastAsiaTheme="minorEastAsia" w:hAnsiTheme="minorEastAsia" w:hint="eastAsia"/>
          <w:szCs w:val="21"/>
        </w:rPr>
        <w:t>如果像现在一样不分，</w:t>
      </w:r>
      <w:r w:rsidR="0004487B" w:rsidRPr="00080C25">
        <w:rPr>
          <w:rFonts w:asciiTheme="minorEastAsia" w:eastAsiaTheme="minorEastAsia" w:hAnsiTheme="minorEastAsia"/>
          <w:szCs w:val="21"/>
        </w:rPr>
        <w:t>未确认融资费用</w:t>
      </w:r>
      <w:r w:rsidR="0004487B" w:rsidRPr="00080C25">
        <w:rPr>
          <w:rFonts w:asciiTheme="minorEastAsia" w:eastAsiaTheme="minorEastAsia" w:hAnsiTheme="minorEastAsia" w:hint="eastAsia"/>
          <w:szCs w:val="21"/>
        </w:rPr>
        <w:t>和</w:t>
      </w:r>
      <w:r w:rsidR="0004487B" w:rsidRPr="00080C25">
        <w:rPr>
          <w:rFonts w:asciiTheme="minorEastAsia" w:eastAsiaTheme="minorEastAsia" w:hAnsiTheme="minorEastAsia"/>
          <w:szCs w:val="21"/>
        </w:rPr>
        <w:t>未实现融资收益</w:t>
      </w:r>
      <w:r w:rsidR="0004487B" w:rsidRPr="00080C25">
        <w:rPr>
          <w:rFonts w:asciiTheme="minorEastAsia" w:eastAsiaTheme="minorEastAsia" w:hAnsiTheme="minorEastAsia" w:hint="eastAsia"/>
          <w:szCs w:val="21"/>
        </w:rPr>
        <w:t>就不是真正意义上的费用和收益；但是，如果分开，何时分开---</w:t>
      </w:r>
      <w:r w:rsidR="000B5A4B" w:rsidRPr="00080C25">
        <w:rPr>
          <w:rFonts w:asciiTheme="minorEastAsia" w:eastAsiaTheme="minorEastAsia" w:hAnsiTheme="minorEastAsia" w:hint="eastAsia"/>
          <w:szCs w:val="21"/>
        </w:rPr>
        <w:t>是合同初始签订时</w:t>
      </w:r>
      <w:r w:rsidR="0004487B" w:rsidRPr="00080C25">
        <w:rPr>
          <w:rFonts w:asciiTheme="minorEastAsia" w:eastAsiaTheme="minorEastAsia" w:hAnsiTheme="minorEastAsia" w:hint="eastAsia"/>
          <w:szCs w:val="21"/>
        </w:rPr>
        <w:t>、</w:t>
      </w:r>
      <w:r w:rsidR="00197AF3" w:rsidRPr="00080C25">
        <w:rPr>
          <w:rFonts w:asciiTheme="minorEastAsia" w:eastAsiaTheme="minorEastAsia" w:hAnsiTheme="minorEastAsia" w:hint="eastAsia"/>
          <w:szCs w:val="21"/>
        </w:rPr>
        <w:t>还是结算收</w:t>
      </w:r>
      <w:r w:rsidR="000B5A4B" w:rsidRPr="00080C25">
        <w:rPr>
          <w:rFonts w:asciiTheme="minorEastAsia" w:eastAsiaTheme="minorEastAsia" w:hAnsiTheme="minorEastAsia" w:hint="eastAsia"/>
          <w:szCs w:val="21"/>
        </w:rPr>
        <w:t>付款时</w:t>
      </w:r>
      <w:r w:rsidR="0004487B" w:rsidRPr="00080C25">
        <w:rPr>
          <w:rFonts w:asciiTheme="minorEastAsia" w:eastAsiaTheme="minorEastAsia" w:hAnsiTheme="minorEastAsia" w:hint="eastAsia"/>
          <w:szCs w:val="21"/>
        </w:rPr>
        <w:t>，都是悬而未决的问题；更进一步</w:t>
      </w:r>
      <w:r w:rsidR="00896CC6" w:rsidRPr="00080C25">
        <w:rPr>
          <w:rFonts w:asciiTheme="minorEastAsia" w:eastAsiaTheme="minorEastAsia" w:hAnsiTheme="minorEastAsia" w:hint="eastAsia"/>
          <w:szCs w:val="21"/>
        </w:rPr>
        <w:t>，</w:t>
      </w:r>
      <w:r w:rsidR="0004487B" w:rsidRPr="00080C25">
        <w:rPr>
          <w:rFonts w:asciiTheme="minorEastAsia" w:eastAsiaTheme="minorEastAsia" w:hAnsiTheme="minorEastAsia" w:hint="eastAsia"/>
          <w:szCs w:val="21"/>
        </w:rPr>
        <w:t>甚至可以</w:t>
      </w:r>
      <w:r w:rsidR="00054211" w:rsidRPr="00080C25">
        <w:rPr>
          <w:rFonts w:asciiTheme="minorEastAsia" w:eastAsiaTheme="minorEastAsia" w:hAnsiTheme="minorEastAsia" w:hint="eastAsia"/>
          <w:szCs w:val="21"/>
        </w:rPr>
        <w:t>要求长期应收、应付款也彻底</w:t>
      </w:r>
      <w:r w:rsidR="0004487B" w:rsidRPr="00080C25">
        <w:rPr>
          <w:rFonts w:asciiTheme="minorEastAsia" w:eastAsiaTheme="minorEastAsia" w:hAnsiTheme="minorEastAsia" w:hint="eastAsia"/>
          <w:szCs w:val="21"/>
        </w:rPr>
        <w:t>价税</w:t>
      </w:r>
      <w:r w:rsidR="00054211" w:rsidRPr="00080C25">
        <w:rPr>
          <w:rFonts w:asciiTheme="minorEastAsia" w:eastAsiaTheme="minorEastAsia" w:hAnsiTheme="minorEastAsia" w:hint="eastAsia"/>
          <w:szCs w:val="21"/>
        </w:rPr>
        <w:t>分开，这样才符合会计信息的质量要求。才使会计报表信息更加明晰和易于理解。</w:t>
      </w:r>
    </w:p>
    <w:p w:rsidR="00BA003B" w:rsidRPr="00080C25" w:rsidRDefault="00896CC6" w:rsidP="00080C25">
      <w:pPr>
        <w:ind w:hanging="180"/>
        <w:rPr>
          <w:rFonts w:asciiTheme="minorEastAsia" w:eastAsiaTheme="minorEastAsia" w:hAnsiTheme="minorEastAsia"/>
          <w:szCs w:val="21"/>
        </w:rPr>
      </w:pPr>
      <w:r w:rsidRPr="00080C25">
        <w:rPr>
          <w:rFonts w:asciiTheme="minorEastAsia" w:eastAsiaTheme="minorEastAsia" w:hAnsiTheme="minorEastAsia" w:hint="eastAsia"/>
          <w:szCs w:val="21"/>
        </w:rPr>
        <w:t xml:space="preserve">      </w:t>
      </w:r>
      <w:r w:rsidR="00197AF3" w:rsidRPr="00080C25">
        <w:rPr>
          <w:rFonts w:asciiTheme="minorEastAsia" w:eastAsiaTheme="minorEastAsia" w:hAnsiTheme="minorEastAsia" w:hint="eastAsia"/>
          <w:szCs w:val="21"/>
        </w:rPr>
        <w:t>实务上，如果把公允价值计量结果，统一为含有增值税唯一的结算价格，入账资产和收入不再价税分开，增值税像其他税种一样，成为税金及附加的一部分，进入利润表项目；与公允价值的理论定义---即“出售资产收到的或转让负债支付的价格”（</w:t>
      </w:r>
      <w:r w:rsidR="00197AF3" w:rsidRPr="00080C25">
        <w:rPr>
          <w:rFonts w:asciiTheme="minorEastAsia" w:eastAsiaTheme="minorEastAsia" w:hAnsiTheme="minorEastAsia"/>
          <w:bCs/>
          <w:iCs/>
          <w:kern w:val="0"/>
          <w:szCs w:val="21"/>
        </w:rPr>
        <w:t>“The price that would be received to sell an asset or paid to transfer a liability in an orderly transaction between market participants at the measurement date.”</w:t>
      </w:r>
      <w:r w:rsidR="00197AF3" w:rsidRPr="00080C25">
        <w:rPr>
          <w:rFonts w:asciiTheme="minorEastAsia" w:eastAsiaTheme="minorEastAsia" w:hAnsiTheme="minorEastAsia" w:hint="eastAsia"/>
          <w:szCs w:val="21"/>
        </w:rPr>
        <w:t>）</w:t>
      </w:r>
      <w:r w:rsidR="00BA003B" w:rsidRPr="00080C25">
        <w:rPr>
          <w:rFonts w:asciiTheme="minorEastAsia" w:eastAsiaTheme="minorEastAsia" w:hAnsiTheme="minorEastAsia" w:hint="eastAsia"/>
          <w:szCs w:val="21"/>
        </w:rPr>
        <w:t>取得内涵上的</w:t>
      </w:r>
      <w:r w:rsidR="00197AF3" w:rsidRPr="00080C25">
        <w:rPr>
          <w:rFonts w:asciiTheme="minorEastAsia" w:eastAsiaTheme="minorEastAsia" w:hAnsiTheme="minorEastAsia" w:hint="eastAsia"/>
          <w:szCs w:val="21"/>
        </w:rPr>
        <w:t>完全一致。这样虽然</w:t>
      </w:r>
      <w:r w:rsidR="00BA003B" w:rsidRPr="00080C25">
        <w:rPr>
          <w:rFonts w:asciiTheme="minorEastAsia" w:eastAsiaTheme="minorEastAsia" w:hAnsiTheme="minorEastAsia" w:hint="eastAsia"/>
          <w:szCs w:val="21"/>
        </w:rPr>
        <w:t>或许</w:t>
      </w:r>
      <w:r w:rsidR="00197AF3" w:rsidRPr="00080C25">
        <w:rPr>
          <w:rFonts w:asciiTheme="minorEastAsia" w:eastAsiaTheme="minorEastAsia" w:hAnsiTheme="minorEastAsia" w:hint="eastAsia"/>
          <w:szCs w:val="21"/>
        </w:rPr>
        <w:t>完美，但现</w:t>
      </w:r>
      <w:r w:rsidR="00BA003B" w:rsidRPr="00080C25">
        <w:rPr>
          <w:rFonts w:asciiTheme="minorEastAsia" w:eastAsiaTheme="minorEastAsia" w:hAnsiTheme="minorEastAsia" w:hint="eastAsia"/>
          <w:szCs w:val="21"/>
        </w:rPr>
        <w:t>行</w:t>
      </w:r>
      <w:r w:rsidR="00197AF3" w:rsidRPr="00080C25">
        <w:rPr>
          <w:rFonts w:asciiTheme="minorEastAsia" w:eastAsiaTheme="minorEastAsia" w:hAnsiTheme="minorEastAsia" w:hint="eastAsia"/>
          <w:szCs w:val="21"/>
        </w:rPr>
        <w:t>的许多法规都</w:t>
      </w:r>
      <w:r w:rsidR="00BA003B" w:rsidRPr="00080C25">
        <w:rPr>
          <w:rFonts w:asciiTheme="minorEastAsia" w:eastAsiaTheme="minorEastAsia" w:hAnsiTheme="minorEastAsia" w:hint="eastAsia"/>
          <w:szCs w:val="21"/>
        </w:rPr>
        <w:t>将因此</w:t>
      </w:r>
      <w:r w:rsidR="00197AF3" w:rsidRPr="00080C25">
        <w:rPr>
          <w:rFonts w:asciiTheme="minorEastAsia" w:eastAsiaTheme="minorEastAsia" w:hAnsiTheme="minorEastAsia" w:hint="eastAsia"/>
          <w:szCs w:val="21"/>
        </w:rPr>
        <w:t>要做出修订和调整，人们的思想</w:t>
      </w:r>
      <w:r w:rsidR="00BA003B" w:rsidRPr="00080C25">
        <w:rPr>
          <w:rFonts w:asciiTheme="minorEastAsia" w:eastAsiaTheme="minorEastAsia" w:hAnsiTheme="minorEastAsia" w:hint="eastAsia"/>
          <w:szCs w:val="21"/>
        </w:rPr>
        <w:t>也</w:t>
      </w:r>
      <w:r w:rsidR="00197AF3" w:rsidRPr="00080C25">
        <w:rPr>
          <w:rFonts w:asciiTheme="minorEastAsia" w:eastAsiaTheme="minorEastAsia" w:hAnsiTheme="minorEastAsia" w:hint="eastAsia"/>
          <w:szCs w:val="21"/>
        </w:rPr>
        <w:t>将再一次</w:t>
      </w:r>
      <w:r w:rsidR="00BA003B" w:rsidRPr="00080C25">
        <w:rPr>
          <w:rFonts w:asciiTheme="minorEastAsia" w:eastAsiaTheme="minorEastAsia" w:hAnsiTheme="minorEastAsia" w:hint="eastAsia"/>
          <w:szCs w:val="21"/>
        </w:rPr>
        <w:t>被刷新。因此，本文定义的计量单元，实在是</w:t>
      </w:r>
      <w:r w:rsidR="00BA003B" w:rsidRPr="00080C25">
        <w:rPr>
          <w:rFonts w:asciiTheme="minorEastAsia" w:eastAsiaTheme="minorEastAsia" w:hAnsiTheme="minorEastAsia" w:cs="宋体" w:hint="eastAsia"/>
          <w:kern w:val="0"/>
          <w:szCs w:val="21"/>
        </w:rPr>
        <w:t>由于增值税系列法规及配套的管理制度走得太远，难以回头的现实选择。</w:t>
      </w:r>
    </w:p>
    <w:p w:rsidR="007F727E" w:rsidRPr="00080C25" w:rsidRDefault="007F727E" w:rsidP="00080C25">
      <w:pPr>
        <w:pStyle w:val="a3"/>
        <w:numPr>
          <w:ilvl w:val="0"/>
          <w:numId w:val="21"/>
        </w:num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b/>
          <w:kern w:val="0"/>
          <w:szCs w:val="21"/>
        </w:rPr>
      </w:pPr>
      <w:r w:rsidRPr="00080C25">
        <w:rPr>
          <w:rFonts w:asciiTheme="minorEastAsia" w:eastAsiaTheme="minorEastAsia" w:hAnsiTheme="minorEastAsia" w:cs="宋体" w:hint="eastAsia"/>
          <w:b/>
          <w:kern w:val="0"/>
          <w:szCs w:val="21"/>
        </w:rPr>
        <w:t>结论</w:t>
      </w:r>
    </w:p>
    <w:p w:rsidR="00BA003B" w:rsidRPr="00080C25" w:rsidRDefault="00BA003B" w:rsidP="00080C25">
      <w:pPr>
        <w:pBdr>
          <w:top w:val="none" w:sz="0" w:space="0" w:color="auto"/>
          <w:left w:val="none" w:sz="0" w:space="0" w:color="auto"/>
          <w:bottom w:val="none" w:sz="0" w:space="0" w:color="auto"/>
          <w:right w:val="none" w:sz="0" w:space="0" w:color="auto"/>
          <w:between w:val="none" w:sz="0" w:space="0" w:color="auto"/>
        </w:pBdr>
        <w:rPr>
          <w:rFonts w:asciiTheme="minorEastAsia" w:eastAsiaTheme="minorEastAsia" w:hAnsiTheme="minorEastAsia" w:cs="宋体"/>
          <w:kern w:val="0"/>
          <w:szCs w:val="21"/>
        </w:rPr>
      </w:pPr>
      <w:r w:rsidRPr="00080C25">
        <w:rPr>
          <w:rFonts w:asciiTheme="minorEastAsia" w:eastAsiaTheme="minorEastAsia" w:hAnsiTheme="minorEastAsia" w:cs="宋体" w:hint="eastAsia"/>
          <w:kern w:val="0"/>
          <w:szCs w:val="21"/>
        </w:rPr>
        <w:t xml:space="preserve">    </w:t>
      </w:r>
      <w:r w:rsidR="00EC3A95" w:rsidRPr="00080C25">
        <w:rPr>
          <w:rFonts w:asciiTheme="minorEastAsia" w:eastAsiaTheme="minorEastAsia" w:hAnsiTheme="minorEastAsia" w:cs="宋体" w:hint="eastAsia"/>
          <w:kern w:val="0"/>
          <w:szCs w:val="21"/>
        </w:rPr>
        <w:t>为了解决公允价值定义中的内涵与</w:t>
      </w:r>
      <w:r w:rsidR="008A6857" w:rsidRPr="00080C25">
        <w:rPr>
          <w:rFonts w:asciiTheme="minorEastAsia" w:eastAsiaTheme="minorEastAsia" w:hAnsiTheme="minorEastAsia" w:cs="宋体" w:hint="eastAsia"/>
          <w:kern w:val="0"/>
          <w:szCs w:val="21"/>
        </w:rPr>
        <w:t>其两个计量结果</w:t>
      </w:r>
      <w:r w:rsidR="00EC3A95" w:rsidRPr="00080C25">
        <w:rPr>
          <w:rFonts w:asciiTheme="minorEastAsia" w:eastAsiaTheme="minorEastAsia" w:hAnsiTheme="minorEastAsia" w:cs="宋体" w:hint="eastAsia"/>
          <w:kern w:val="0"/>
          <w:szCs w:val="21"/>
        </w:rPr>
        <w:t>的矛盾，本文定义了公允价值计量单元的一组概念，并探讨了定义该组概念的理论渊源，试图从会计学科属性、会计要素属性、会计计量属性三位一体的视角，给这组定义夯实理论依据；同时，也指出产生这个问题的</w:t>
      </w:r>
      <w:r w:rsidR="008A6857" w:rsidRPr="00080C25">
        <w:rPr>
          <w:rFonts w:asciiTheme="minorEastAsia" w:eastAsiaTheme="minorEastAsia" w:hAnsiTheme="minorEastAsia" w:cs="宋体" w:hint="eastAsia"/>
          <w:kern w:val="0"/>
          <w:szCs w:val="21"/>
        </w:rPr>
        <w:t>原因</w:t>
      </w:r>
      <w:r w:rsidR="00EC3A95" w:rsidRPr="00080C25">
        <w:rPr>
          <w:rFonts w:asciiTheme="minorEastAsia" w:eastAsiaTheme="minorEastAsia" w:hAnsiTheme="minorEastAsia" w:cs="宋体" w:hint="eastAsia"/>
          <w:kern w:val="0"/>
          <w:szCs w:val="21"/>
        </w:rPr>
        <w:t>，是会计准则的</w:t>
      </w:r>
      <w:r w:rsidR="008A6857" w:rsidRPr="00080C25">
        <w:rPr>
          <w:rFonts w:asciiTheme="minorEastAsia" w:eastAsiaTheme="minorEastAsia" w:hAnsiTheme="minorEastAsia" w:cs="宋体" w:hint="eastAsia"/>
          <w:kern w:val="0"/>
          <w:szCs w:val="21"/>
        </w:rPr>
        <w:t>源出国美国---没有增值税制度，也不存在价税分开的会计处理要求；在美国，就没有本文讨论的公允价值计量</w:t>
      </w:r>
      <w:r w:rsidR="004D4FE9" w:rsidRPr="00080C25">
        <w:rPr>
          <w:rFonts w:asciiTheme="minorEastAsia" w:eastAsiaTheme="minorEastAsia" w:hAnsiTheme="minorEastAsia" w:cs="宋体" w:hint="eastAsia"/>
          <w:kern w:val="0"/>
          <w:szCs w:val="21"/>
        </w:rPr>
        <w:t>前后不一致</w:t>
      </w:r>
      <w:r w:rsidR="008A6857" w:rsidRPr="00080C25">
        <w:rPr>
          <w:rFonts w:asciiTheme="minorEastAsia" w:eastAsiaTheme="minorEastAsia" w:hAnsiTheme="minorEastAsia" w:cs="宋体" w:hint="eastAsia"/>
          <w:kern w:val="0"/>
          <w:szCs w:val="21"/>
        </w:rPr>
        <w:t>的问题。</w:t>
      </w:r>
    </w:p>
    <w:p w:rsidR="008A6857" w:rsidRPr="00080C25" w:rsidRDefault="008A6857"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从</w:t>
      </w:r>
      <w:r w:rsidRPr="00080C25">
        <w:rPr>
          <w:rFonts w:asciiTheme="minorEastAsia" w:eastAsiaTheme="minorEastAsia" w:hAnsiTheme="minorEastAsia"/>
          <w:szCs w:val="21"/>
        </w:rPr>
        <w:t>2006</w:t>
      </w:r>
      <w:r w:rsidRPr="00080C25">
        <w:rPr>
          <w:rFonts w:asciiTheme="minorEastAsia" w:eastAsiaTheme="minorEastAsia" w:hAnsiTheme="minorEastAsia" w:hint="eastAsia"/>
          <w:szCs w:val="21"/>
        </w:rPr>
        <w:t>年</w:t>
      </w:r>
      <w:r w:rsidRPr="00080C25">
        <w:rPr>
          <w:rFonts w:asciiTheme="minorEastAsia" w:eastAsiaTheme="minorEastAsia" w:hAnsiTheme="minorEastAsia"/>
          <w:szCs w:val="21"/>
        </w:rPr>
        <w:t>2</w:t>
      </w:r>
      <w:r w:rsidRPr="00080C25">
        <w:rPr>
          <w:rFonts w:asciiTheme="minorEastAsia" w:eastAsiaTheme="minorEastAsia" w:hAnsiTheme="minorEastAsia" w:hint="eastAsia"/>
          <w:szCs w:val="21"/>
        </w:rPr>
        <w:t>月，财政部发布</w:t>
      </w:r>
      <w:r w:rsidRPr="00080C25">
        <w:rPr>
          <w:rFonts w:asciiTheme="minorEastAsia" w:eastAsiaTheme="minorEastAsia" w:hAnsiTheme="minorEastAsia"/>
          <w:szCs w:val="21"/>
        </w:rPr>
        <w:t>1</w:t>
      </w:r>
      <w:r w:rsidRPr="00080C25">
        <w:rPr>
          <w:rFonts w:asciiTheme="minorEastAsia" w:eastAsiaTheme="minorEastAsia" w:hAnsiTheme="minorEastAsia" w:hint="eastAsia"/>
          <w:szCs w:val="21"/>
        </w:rPr>
        <w:t>项基本准则和</w:t>
      </w:r>
      <w:r w:rsidRPr="00080C25">
        <w:rPr>
          <w:rFonts w:asciiTheme="minorEastAsia" w:eastAsiaTheme="minorEastAsia" w:hAnsiTheme="minorEastAsia"/>
          <w:szCs w:val="21"/>
        </w:rPr>
        <w:t>38</w:t>
      </w:r>
      <w:r w:rsidRPr="00080C25">
        <w:rPr>
          <w:rFonts w:asciiTheme="minorEastAsia" w:eastAsiaTheme="minorEastAsia" w:hAnsiTheme="minorEastAsia" w:hint="eastAsia"/>
          <w:szCs w:val="21"/>
        </w:rPr>
        <w:t>项具体准则、适度引入公允价值，至今已经13年，我国正式的公允价值准则</w:t>
      </w:r>
      <w:r w:rsidRPr="00080C25">
        <w:rPr>
          <w:rFonts w:asciiTheme="minorEastAsia" w:eastAsiaTheme="minorEastAsia" w:hAnsiTheme="minorEastAsia"/>
          <w:szCs w:val="21"/>
        </w:rPr>
        <w:t>39</w:t>
      </w:r>
      <w:r w:rsidRPr="00080C25">
        <w:rPr>
          <w:rFonts w:asciiTheme="minorEastAsia" w:eastAsiaTheme="minorEastAsia" w:hAnsiTheme="minorEastAsia" w:hint="eastAsia"/>
          <w:szCs w:val="21"/>
        </w:rPr>
        <w:t>号虽然已经颁布，但其针对我国具体国情的计量仍十分模糊，正如有专家指出的那样，</w:t>
      </w:r>
      <w:r w:rsidRPr="00080C25">
        <w:rPr>
          <w:rFonts w:asciiTheme="minorEastAsia" w:eastAsiaTheme="minorEastAsia" w:hAnsiTheme="minorEastAsia" w:cs="宋体" w:hint="eastAsia"/>
          <w:kern w:val="0"/>
          <w:szCs w:val="21"/>
        </w:rPr>
        <w:t>从理论内涵角度来看，公允价值应用已经遍及财务会计所有计量领域，而实务层面“公允价值具体是什么”的问题却一直没有澄清。</w:t>
      </w:r>
      <w:r w:rsidRPr="00080C25">
        <w:rPr>
          <w:rFonts w:asciiTheme="minorEastAsia" w:eastAsiaTheme="minorEastAsia" w:hAnsiTheme="minorEastAsia" w:hint="eastAsia"/>
          <w:szCs w:val="21"/>
        </w:rPr>
        <w:t>（于永生</w:t>
      </w:r>
      <w:r w:rsidRPr="00080C25">
        <w:rPr>
          <w:rFonts w:asciiTheme="minorEastAsia" w:eastAsiaTheme="minorEastAsia" w:hAnsiTheme="minorEastAsia"/>
          <w:szCs w:val="21"/>
        </w:rPr>
        <w:t xml:space="preserve"> 2006</w:t>
      </w:r>
      <w:r w:rsidRPr="00080C25">
        <w:rPr>
          <w:rFonts w:asciiTheme="minorEastAsia" w:eastAsiaTheme="minorEastAsia" w:hAnsiTheme="minorEastAsia" w:hint="eastAsia"/>
          <w:szCs w:val="21"/>
        </w:rPr>
        <w:t>）在税法体系“营改增”的制度背景下，完善公允价值计量准则依然十分迫切。</w:t>
      </w:r>
    </w:p>
    <w:p w:rsidR="008A6857" w:rsidRPr="00080C25" w:rsidRDefault="008A6857" w:rsidP="00080C25">
      <w:pPr>
        <w:pBdr>
          <w:top w:val="none" w:sz="0" w:space="0" w:color="auto"/>
          <w:left w:val="none" w:sz="0" w:space="0" w:color="auto"/>
          <w:bottom w:val="none" w:sz="0" w:space="0" w:color="auto"/>
          <w:right w:val="none" w:sz="0" w:space="0" w:color="auto"/>
          <w:between w:val="none" w:sz="0" w:space="0" w:color="auto"/>
        </w:pBdr>
        <w:snapToGrid w:val="0"/>
        <w:ind w:firstLine="420"/>
        <w:contextualSpacing/>
        <w:rPr>
          <w:rFonts w:asciiTheme="minorEastAsia" w:eastAsiaTheme="minorEastAsia" w:hAnsiTheme="minorEastAsia"/>
          <w:szCs w:val="21"/>
        </w:rPr>
      </w:pPr>
      <w:r w:rsidRPr="00080C25">
        <w:rPr>
          <w:rFonts w:asciiTheme="minorEastAsia" w:eastAsiaTheme="minorEastAsia" w:hAnsiTheme="minorEastAsia" w:hint="eastAsia"/>
          <w:szCs w:val="21"/>
        </w:rPr>
        <w:t>首先，必须要解决会计实务问题，越来越多的人对公允价值计量变得难以理解，伴随着“营改增”范围的进一步扩大，还会出现更多的相关问题，比如，</w:t>
      </w:r>
      <w:r w:rsidR="00CE7126">
        <w:rPr>
          <w:rFonts w:asciiTheme="minorEastAsia" w:eastAsiaTheme="minorEastAsia" w:hAnsiTheme="minorEastAsia" w:hint="eastAsia"/>
          <w:szCs w:val="21"/>
        </w:rPr>
        <w:t>上文提及的</w:t>
      </w:r>
      <w:r w:rsidRPr="00080C25">
        <w:rPr>
          <w:rFonts w:asciiTheme="minorEastAsia" w:eastAsiaTheme="minorEastAsia" w:hAnsiTheme="minorEastAsia" w:hint="eastAsia"/>
          <w:szCs w:val="21"/>
        </w:rPr>
        <w:t>融资租赁业务</w:t>
      </w:r>
      <w:r w:rsidR="00CE7126">
        <w:rPr>
          <w:rFonts w:asciiTheme="minorEastAsia" w:eastAsiaTheme="minorEastAsia" w:hAnsiTheme="minorEastAsia" w:hint="eastAsia"/>
          <w:szCs w:val="21"/>
        </w:rPr>
        <w:t>。</w:t>
      </w:r>
    </w:p>
    <w:p w:rsidR="004D4FE9" w:rsidRPr="00080C25" w:rsidRDefault="008A6857" w:rsidP="00080C25">
      <w:pPr>
        <w:pBdr>
          <w:top w:val="none" w:sz="0" w:space="0" w:color="auto"/>
          <w:left w:val="none" w:sz="0" w:space="0" w:color="auto"/>
          <w:bottom w:val="none" w:sz="0" w:space="0" w:color="auto"/>
          <w:right w:val="none" w:sz="0" w:space="0" w:color="auto"/>
          <w:between w:val="none" w:sz="0" w:space="0" w:color="auto"/>
        </w:pBdr>
        <w:snapToGrid w:val="0"/>
        <w:ind w:firstLine="420"/>
        <w:contextualSpacing/>
        <w:rPr>
          <w:rFonts w:asciiTheme="minorEastAsia" w:eastAsiaTheme="minorEastAsia" w:hAnsiTheme="minorEastAsia"/>
          <w:szCs w:val="21"/>
        </w:rPr>
      </w:pPr>
      <w:r w:rsidRPr="00080C25">
        <w:rPr>
          <w:rFonts w:asciiTheme="minorEastAsia" w:eastAsiaTheme="minorEastAsia" w:hAnsiTheme="minorEastAsia" w:hint="eastAsia"/>
          <w:szCs w:val="21"/>
        </w:rPr>
        <w:t>其次，要面对的理论问题是，财务会计的概念框架是否要调整。</w:t>
      </w:r>
      <w:r w:rsidR="004D4FE9" w:rsidRPr="00080C25">
        <w:rPr>
          <w:rFonts w:asciiTheme="minorEastAsia" w:eastAsiaTheme="minorEastAsia" w:hAnsiTheme="minorEastAsia" w:cs="仿宋_GB2312" w:hint="eastAsia"/>
          <w:szCs w:val="21"/>
        </w:rPr>
        <w:t>增值税的价外计税方法，仅仅是税收的计算方法之一，税收计算方法，不应该影响资产和收入等会计要素的计量基础；实务中，会计为了提供税务部门所要求的增值税数据信息，规定了价税分开的核算方法。但这种会计核算方法的改变，会连锁产生的问题是，不同的计税方法，导致会计</w:t>
      </w:r>
      <w:r w:rsidR="00CE7126">
        <w:rPr>
          <w:rFonts w:asciiTheme="minorEastAsia" w:eastAsiaTheme="minorEastAsia" w:hAnsiTheme="minorEastAsia" w:cs="仿宋_GB2312" w:hint="eastAsia"/>
          <w:szCs w:val="21"/>
        </w:rPr>
        <w:t>要素的计量基础发生了改变：价内税的资产计量结果包含税收，</w:t>
      </w:r>
      <w:r w:rsidR="004D4FE9" w:rsidRPr="00080C25">
        <w:rPr>
          <w:rFonts w:asciiTheme="minorEastAsia" w:eastAsiaTheme="minorEastAsia" w:hAnsiTheme="minorEastAsia" w:cs="仿宋_GB2312" w:hint="eastAsia"/>
          <w:szCs w:val="21"/>
        </w:rPr>
        <w:t>售价金额核算法</w:t>
      </w:r>
      <w:r w:rsidR="00CE7126">
        <w:rPr>
          <w:rFonts w:asciiTheme="minorEastAsia" w:eastAsiaTheme="minorEastAsia" w:hAnsiTheme="minorEastAsia" w:cs="仿宋_GB2312" w:hint="eastAsia"/>
          <w:szCs w:val="21"/>
        </w:rPr>
        <w:t>下的</w:t>
      </w:r>
      <w:r w:rsidR="004D4FE9" w:rsidRPr="00080C25">
        <w:rPr>
          <w:rFonts w:asciiTheme="minorEastAsia" w:eastAsiaTheme="minorEastAsia" w:hAnsiTheme="minorEastAsia" w:cs="仿宋_GB2312" w:hint="eastAsia"/>
          <w:szCs w:val="21"/>
        </w:rPr>
        <w:t>零售商业</w:t>
      </w:r>
      <w:r w:rsidR="00CE7126">
        <w:rPr>
          <w:rFonts w:asciiTheme="minorEastAsia" w:eastAsiaTheme="minorEastAsia" w:hAnsiTheme="minorEastAsia" w:cs="仿宋_GB2312" w:hint="eastAsia"/>
          <w:szCs w:val="21"/>
        </w:rPr>
        <w:t>，其</w:t>
      </w:r>
      <w:r w:rsidR="004D4FE9" w:rsidRPr="00080C25">
        <w:rPr>
          <w:rFonts w:asciiTheme="minorEastAsia" w:eastAsiaTheme="minorEastAsia" w:hAnsiTheme="minorEastAsia" w:cs="仿宋_GB2312" w:hint="eastAsia"/>
          <w:szCs w:val="21"/>
        </w:rPr>
        <w:t>库存商品</w:t>
      </w:r>
      <w:r w:rsidR="00CE7126">
        <w:rPr>
          <w:rFonts w:asciiTheme="minorEastAsia" w:eastAsiaTheme="minorEastAsia" w:hAnsiTheme="minorEastAsia" w:cs="仿宋_GB2312" w:hint="eastAsia"/>
          <w:szCs w:val="21"/>
        </w:rPr>
        <w:t>的公允价值包含增值税，制造业</w:t>
      </w:r>
      <w:r w:rsidR="004D4FE9" w:rsidRPr="00080C25">
        <w:rPr>
          <w:rFonts w:asciiTheme="minorEastAsia" w:eastAsiaTheme="minorEastAsia" w:hAnsiTheme="minorEastAsia" w:cs="仿宋_GB2312" w:hint="eastAsia"/>
          <w:szCs w:val="21"/>
        </w:rPr>
        <w:t>资产</w:t>
      </w:r>
      <w:r w:rsidR="00CE7126" w:rsidRPr="00080C25">
        <w:rPr>
          <w:rFonts w:asciiTheme="minorEastAsia" w:eastAsiaTheme="minorEastAsia" w:hAnsiTheme="minorEastAsia" w:cs="仿宋_GB2312" w:hint="eastAsia"/>
          <w:szCs w:val="21"/>
        </w:rPr>
        <w:t>的</w:t>
      </w:r>
      <w:r w:rsidR="004D4FE9" w:rsidRPr="00080C25">
        <w:rPr>
          <w:rFonts w:asciiTheme="minorEastAsia" w:eastAsiaTheme="minorEastAsia" w:hAnsiTheme="minorEastAsia" w:cs="仿宋_GB2312" w:hint="eastAsia"/>
          <w:szCs w:val="21"/>
        </w:rPr>
        <w:t>公允价值不含增值</w:t>
      </w:r>
      <w:r w:rsidR="00CE7126">
        <w:rPr>
          <w:rFonts w:asciiTheme="minorEastAsia" w:eastAsiaTheme="minorEastAsia" w:hAnsiTheme="minorEastAsia" w:cs="仿宋_GB2312" w:hint="eastAsia"/>
          <w:szCs w:val="21"/>
        </w:rPr>
        <w:t>税，如果增值税可以价税剥离，其他税收的会计处理也一样可以</w:t>
      </w:r>
      <w:r w:rsidR="004D4FE9" w:rsidRPr="00080C25">
        <w:rPr>
          <w:rFonts w:asciiTheme="minorEastAsia" w:eastAsiaTheme="minorEastAsia" w:hAnsiTheme="minorEastAsia" w:cs="仿宋_GB2312" w:hint="eastAsia"/>
          <w:szCs w:val="21"/>
        </w:rPr>
        <w:t>，所得税也不例外，这样一来，也许会动摇整个财务会计的概念框架</w:t>
      </w:r>
      <w:r w:rsidR="00CE7126">
        <w:rPr>
          <w:rFonts w:asciiTheme="minorEastAsia" w:eastAsiaTheme="minorEastAsia" w:hAnsiTheme="minorEastAsia" w:cs="仿宋_GB2312" w:hint="eastAsia"/>
          <w:szCs w:val="21"/>
        </w:rPr>
        <w:t>，事实上，就某种程度上讲，增值税不进入利润表已经影响了概念框架。</w:t>
      </w:r>
      <w:r w:rsidR="004D4FE9" w:rsidRPr="00080C25">
        <w:rPr>
          <w:rFonts w:asciiTheme="minorEastAsia" w:eastAsiaTheme="minorEastAsia" w:hAnsiTheme="minorEastAsia" w:cs="仿宋_GB2312" w:hint="eastAsia"/>
          <w:szCs w:val="21"/>
        </w:rPr>
        <w:t>现在已经有学者实证研究指出：</w:t>
      </w:r>
      <w:r w:rsidR="004D4FE9" w:rsidRPr="00080C25">
        <w:rPr>
          <w:rFonts w:asciiTheme="minorEastAsia" w:eastAsiaTheme="minorEastAsia" w:hAnsiTheme="minorEastAsia" w:hint="eastAsia"/>
          <w:szCs w:val="21"/>
        </w:rPr>
        <w:t>应该将增值税界定为费用，计入利润表；构建合理的增值税费用会计处理模式；（孙晓妍，盖地，</w:t>
      </w:r>
      <w:r w:rsidR="004D4FE9" w:rsidRPr="00080C25">
        <w:rPr>
          <w:rFonts w:asciiTheme="minorEastAsia" w:eastAsiaTheme="minorEastAsia" w:hAnsiTheme="minorEastAsia"/>
          <w:szCs w:val="21"/>
        </w:rPr>
        <w:t xml:space="preserve">2015 </w:t>
      </w:r>
      <w:r w:rsidR="004D4FE9" w:rsidRPr="00080C25">
        <w:rPr>
          <w:rFonts w:asciiTheme="minorEastAsia" w:eastAsiaTheme="minorEastAsia" w:hAnsiTheme="minorEastAsia" w:hint="eastAsia"/>
          <w:szCs w:val="21"/>
        </w:rPr>
        <w:t>，增值税费用特性），尤其是“营改增”后，该问题的研究已经成为新的热点。如果调整，这些调整必须是谨慎的、渐进的，但是，问题已经出来了。</w:t>
      </w:r>
    </w:p>
    <w:p w:rsidR="00537DFC" w:rsidRPr="00080C25" w:rsidRDefault="008A6857" w:rsidP="00080C25">
      <w:pPr>
        <w:pBdr>
          <w:top w:val="none" w:sz="0" w:space="0" w:color="auto"/>
          <w:left w:val="none" w:sz="0" w:space="0" w:color="auto"/>
          <w:bottom w:val="none" w:sz="0" w:space="0" w:color="auto"/>
          <w:right w:val="none" w:sz="0" w:space="0" w:color="auto"/>
          <w:between w:val="none" w:sz="0" w:space="0" w:color="auto"/>
        </w:pBdr>
        <w:snapToGrid w:val="0"/>
        <w:ind w:firstLine="420"/>
        <w:contextualSpacing/>
        <w:rPr>
          <w:rFonts w:asciiTheme="minorEastAsia" w:eastAsiaTheme="minorEastAsia" w:hAnsiTheme="minorEastAsia"/>
          <w:szCs w:val="21"/>
        </w:rPr>
      </w:pPr>
      <w:r w:rsidRPr="00080C25">
        <w:rPr>
          <w:rFonts w:asciiTheme="minorEastAsia" w:eastAsiaTheme="minorEastAsia" w:hAnsiTheme="minorEastAsia" w:hint="eastAsia"/>
          <w:szCs w:val="21"/>
        </w:rPr>
        <w:t>第三，世界上除美国外，有增值税的国家很多，会计核算中，基本也都是价税分开核算，这就要求国际会计准则理事会，也必须面对同样的问题，做出相应的选择，因此，必须共同磋商、解决，以保证各国具有同样的编制报表基础，保证会计作为国际语言的一致性。</w:t>
      </w:r>
    </w:p>
    <w:p w:rsidR="008A6857" w:rsidRPr="00080C25" w:rsidRDefault="008A6857"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cs="仿宋_GB2312"/>
          <w:szCs w:val="21"/>
        </w:rPr>
      </w:pPr>
      <w:r w:rsidRPr="00080C25">
        <w:rPr>
          <w:rFonts w:asciiTheme="minorEastAsia" w:eastAsiaTheme="minorEastAsia" w:hAnsiTheme="minorEastAsia" w:cs="仿宋_GB2312" w:hint="eastAsia"/>
          <w:szCs w:val="21"/>
        </w:rPr>
        <w:t>本文定义公允价值计量单元的目的，是在不触动现有财务会计概念框架的前提下，对我国及其他有增值税制的相似国家，就公允价值计量作为统一指南所做的具体解释，现行准则体系中，公允价值计量的不同单元，表述的都是统一的公允价值，实务中很难甄别。</w:t>
      </w:r>
    </w:p>
    <w:p w:rsidR="008A6857" w:rsidRPr="00080C25" w:rsidRDefault="008A6857" w:rsidP="00080C25">
      <w:pPr>
        <w:pBdr>
          <w:top w:val="none" w:sz="0" w:space="0" w:color="auto"/>
          <w:left w:val="none" w:sz="0" w:space="0" w:color="auto"/>
          <w:bottom w:val="none" w:sz="0" w:space="0" w:color="auto"/>
          <w:right w:val="none" w:sz="0" w:space="0" w:color="auto"/>
          <w:between w:val="none" w:sz="0" w:space="0" w:color="auto"/>
        </w:pBdr>
        <w:ind w:firstLine="420"/>
        <w:rPr>
          <w:rFonts w:asciiTheme="minorEastAsia" w:eastAsiaTheme="minorEastAsia" w:hAnsiTheme="minorEastAsia"/>
          <w:szCs w:val="21"/>
        </w:rPr>
      </w:pPr>
      <w:r w:rsidRPr="00080C25">
        <w:rPr>
          <w:rFonts w:asciiTheme="minorEastAsia" w:eastAsiaTheme="minorEastAsia" w:hAnsiTheme="minorEastAsia" w:hint="eastAsia"/>
          <w:szCs w:val="21"/>
        </w:rPr>
        <w:t>本文所做的一点研究，是基于现实条件下的最小成本的无奈选择，并没有从根本上解决公允价值计量所带来的理论方面的影响，只是提出了一些不太成熟的看法、一个新的研究视角，希望就此方面引起</w:t>
      </w:r>
      <w:r w:rsidR="00986256" w:rsidRPr="00080C25">
        <w:rPr>
          <w:rFonts w:asciiTheme="minorEastAsia" w:eastAsiaTheme="minorEastAsia" w:hAnsiTheme="minorEastAsia" w:hint="eastAsia"/>
          <w:szCs w:val="21"/>
        </w:rPr>
        <w:t>更多大方之家</w:t>
      </w:r>
      <w:r w:rsidRPr="00080C25">
        <w:rPr>
          <w:rFonts w:asciiTheme="minorEastAsia" w:eastAsiaTheme="minorEastAsia" w:hAnsiTheme="minorEastAsia" w:hint="eastAsia"/>
          <w:szCs w:val="21"/>
        </w:rPr>
        <w:t>的关注、以期进一步完善公允价值计量。</w:t>
      </w:r>
    </w:p>
    <w:p w:rsidR="009305F2" w:rsidRDefault="009305F2" w:rsidP="00763556">
      <w:pPr>
        <w:autoSpaceDE w:val="0"/>
        <w:autoSpaceDN w:val="0"/>
        <w:adjustRightInd w:val="0"/>
        <w:spacing w:line="360" w:lineRule="auto"/>
        <w:ind w:firstLineChars="250" w:firstLine="525"/>
        <w:jc w:val="left"/>
        <w:rPr>
          <w:rFonts w:ascii="黑体" w:eastAsia="黑体" w:hAnsi="黑体"/>
          <w:kern w:val="0"/>
          <w:szCs w:val="21"/>
        </w:rPr>
      </w:pPr>
    </w:p>
    <w:p w:rsidR="000553B3" w:rsidRDefault="000553B3" w:rsidP="00763556">
      <w:pPr>
        <w:autoSpaceDE w:val="0"/>
        <w:autoSpaceDN w:val="0"/>
        <w:adjustRightInd w:val="0"/>
        <w:spacing w:line="360" w:lineRule="auto"/>
        <w:ind w:firstLineChars="250" w:firstLine="525"/>
        <w:jc w:val="left"/>
        <w:rPr>
          <w:rFonts w:ascii="黑体" w:eastAsia="黑体" w:hAnsi="黑体"/>
          <w:kern w:val="0"/>
          <w:szCs w:val="21"/>
        </w:rPr>
      </w:pPr>
    </w:p>
    <w:p w:rsidR="00BB3F93" w:rsidRDefault="00BB3F93" w:rsidP="00763556">
      <w:pPr>
        <w:autoSpaceDE w:val="0"/>
        <w:autoSpaceDN w:val="0"/>
        <w:adjustRightInd w:val="0"/>
        <w:spacing w:line="360" w:lineRule="auto"/>
        <w:ind w:firstLineChars="250" w:firstLine="525"/>
        <w:jc w:val="left"/>
        <w:rPr>
          <w:rFonts w:ascii="黑体" w:eastAsia="黑体" w:hAnsi="黑体"/>
          <w:kern w:val="0"/>
          <w:szCs w:val="21"/>
        </w:rPr>
      </w:pPr>
    </w:p>
    <w:p w:rsidR="000553B3" w:rsidRDefault="000553B3" w:rsidP="00763556">
      <w:pPr>
        <w:autoSpaceDE w:val="0"/>
        <w:autoSpaceDN w:val="0"/>
        <w:adjustRightInd w:val="0"/>
        <w:spacing w:line="360" w:lineRule="auto"/>
        <w:ind w:firstLineChars="250" w:firstLine="525"/>
        <w:jc w:val="left"/>
        <w:rPr>
          <w:rFonts w:ascii="黑体" w:eastAsia="黑体" w:hAnsi="黑体"/>
          <w:kern w:val="0"/>
          <w:szCs w:val="21"/>
        </w:rPr>
      </w:pPr>
    </w:p>
    <w:p w:rsidR="00763556" w:rsidRPr="00EF76EA" w:rsidRDefault="00763556" w:rsidP="00763556">
      <w:pPr>
        <w:autoSpaceDE w:val="0"/>
        <w:autoSpaceDN w:val="0"/>
        <w:adjustRightInd w:val="0"/>
        <w:spacing w:line="360" w:lineRule="auto"/>
        <w:ind w:firstLineChars="250" w:firstLine="525"/>
        <w:jc w:val="left"/>
        <w:rPr>
          <w:rFonts w:ascii="黑体" w:eastAsia="黑体" w:hAnsi="黑体"/>
          <w:kern w:val="0"/>
          <w:szCs w:val="21"/>
        </w:rPr>
      </w:pPr>
      <w:r>
        <w:rPr>
          <w:rFonts w:ascii="黑体" w:eastAsia="黑体" w:hAnsi="黑体" w:hint="eastAsia"/>
          <w:kern w:val="0"/>
          <w:szCs w:val="21"/>
        </w:rPr>
        <w:t>主要参考文献</w:t>
      </w:r>
    </w:p>
    <w:p w:rsidR="00763556" w:rsidRDefault="00763556" w:rsidP="00763556">
      <w:pPr>
        <w:autoSpaceDE w:val="0"/>
        <w:autoSpaceDN w:val="0"/>
        <w:adjustRightInd w:val="0"/>
        <w:spacing w:line="360" w:lineRule="auto"/>
        <w:ind w:firstLineChars="400" w:firstLine="720"/>
        <w:jc w:val="left"/>
        <w:rPr>
          <w:rFonts w:ascii="宋体" w:hAnsi="宋体" w:cs="宋体"/>
          <w:kern w:val="0"/>
          <w:sz w:val="18"/>
          <w:szCs w:val="18"/>
        </w:rPr>
      </w:pPr>
      <w:r>
        <w:rPr>
          <w:rFonts w:ascii="宋体" w:hAnsi="宋体" w:cs="宋体" w:hint="eastAsia"/>
          <w:kern w:val="0"/>
          <w:sz w:val="18"/>
          <w:szCs w:val="18"/>
        </w:rPr>
        <w:t>孙富山.2015.</w:t>
      </w:r>
      <w:r>
        <w:rPr>
          <w:rFonts w:ascii="宋体" w:hAnsi="宋体" w:hint="eastAsia"/>
          <w:kern w:val="0"/>
          <w:sz w:val="18"/>
          <w:szCs w:val="18"/>
        </w:rPr>
        <w:t>公允价值计量中增值税的会计处理问题</w:t>
      </w:r>
      <w:r>
        <w:rPr>
          <w:rFonts w:ascii="宋体" w:hAnsi="宋体" w:cs="宋体"/>
          <w:kern w:val="0"/>
          <w:sz w:val="18"/>
          <w:szCs w:val="18"/>
        </w:rPr>
        <w:t>.</w:t>
      </w:r>
      <w:r>
        <w:rPr>
          <w:rFonts w:ascii="宋体" w:hAnsi="宋体" w:cs="宋体" w:hint="eastAsia"/>
          <w:kern w:val="0"/>
          <w:sz w:val="18"/>
          <w:szCs w:val="18"/>
        </w:rPr>
        <w:t>财经论丛 4: 62</w:t>
      </w:r>
      <w:r>
        <w:rPr>
          <w:rFonts w:ascii="宋体" w:hAnsi="宋体" w:hint="eastAsia"/>
          <w:sz w:val="18"/>
          <w:szCs w:val="18"/>
        </w:rPr>
        <w:t>～</w:t>
      </w:r>
      <w:r w:rsidR="009F211F">
        <w:rPr>
          <w:rFonts w:ascii="宋体" w:hAnsi="宋体" w:hint="eastAsia"/>
          <w:sz w:val="18"/>
          <w:szCs w:val="18"/>
        </w:rPr>
        <w:t>6</w:t>
      </w:r>
      <w:r>
        <w:rPr>
          <w:rFonts w:ascii="宋体" w:hAnsi="宋体" w:hint="eastAsia"/>
          <w:sz w:val="18"/>
          <w:szCs w:val="18"/>
        </w:rPr>
        <w:t>1</w:t>
      </w:r>
    </w:p>
    <w:p w:rsidR="00763556" w:rsidRDefault="00763556" w:rsidP="00763556">
      <w:pPr>
        <w:spacing w:line="360" w:lineRule="auto"/>
        <w:ind w:firstLineChars="400" w:firstLine="720"/>
        <w:jc w:val="left"/>
        <w:rPr>
          <w:rFonts w:ascii="宋体" w:hAnsi="宋体"/>
          <w:kern w:val="0"/>
          <w:sz w:val="18"/>
          <w:szCs w:val="18"/>
        </w:rPr>
      </w:pPr>
      <w:r>
        <w:rPr>
          <w:rFonts w:ascii="宋体" w:hAnsi="宋体" w:hint="eastAsia"/>
          <w:kern w:val="0"/>
          <w:sz w:val="18"/>
          <w:szCs w:val="18"/>
        </w:rPr>
        <w:t>石本仁.2000.论资产的定义.南京经济学院学报 4：55</w:t>
      </w:r>
      <w:r>
        <w:rPr>
          <w:rFonts w:ascii="宋体" w:hAnsi="宋体" w:hint="eastAsia"/>
          <w:sz w:val="18"/>
          <w:szCs w:val="18"/>
        </w:rPr>
        <w:t>～</w:t>
      </w:r>
      <w:r>
        <w:rPr>
          <w:rFonts w:ascii="宋体" w:hAnsi="宋体" w:hint="eastAsia"/>
          <w:kern w:val="0"/>
          <w:sz w:val="18"/>
          <w:szCs w:val="18"/>
        </w:rPr>
        <w:t>5</w:t>
      </w:r>
      <w:r w:rsidR="009F211F">
        <w:rPr>
          <w:rFonts w:ascii="宋体" w:hAnsi="宋体" w:hint="eastAsia"/>
          <w:kern w:val="0"/>
          <w:sz w:val="18"/>
          <w:szCs w:val="18"/>
        </w:rPr>
        <w:t>6</w:t>
      </w:r>
    </w:p>
    <w:p w:rsidR="00763556" w:rsidRDefault="00763556" w:rsidP="00763556">
      <w:pPr>
        <w:spacing w:line="360" w:lineRule="auto"/>
        <w:ind w:firstLineChars="400" w:firstLine="720"/>
        <w:jc w:val="left"/>
        <w:rPr>
          <w:rFonts w:ascii="宋体" w:hAnsi="宋体"/>
          <w:b/>
          <w:kern w:val="0"/>
          <w:sz w:val="18"/>
          <w:szCs w:val="18"/>
        </w:rPr>
      </w:pPr>
      <w:r>
        <w:rPr>
          <w:rFonts w:ascii="宋体" w:hAnsi="宋体" w:hint="eastAsia"/>
          <w:kern w:val="0"/>
          <w:sz w:val="18"/>
          <w:szCs w:val="18"/>
        </w:rPr>
        <w:t>陈德刚.</w:t>
      </w:r>
      <w:r>
        <w:rPr>
          <w:rFonts w:ascii="宋体" w:hAnsi="宋体" w:cs="Arial"/>
          <w:kern w:val="0"/>
          <w:sz w:val="18"/>
          <w:szCs w:val="18"/>
        </w:rPr>
        <w:t xml:space="preserve"> 2009</w:t>
      </w:r>
      <w:r>
        <w:rPr>
          <w:rFonts w:ascii="宋体" w:hAnsi="宋体" w:cs="Arial" w:hint="eastAsia"/>
          <w:kern w:val="0"/>
          <w:sz w:val="18"/>
          <w:szCs w:val="18"/>
        </w:rPr>
        <w:t>.</w:t>
      </w:r>
      <w:r>
        <w:rPr>
          <w:rFonts w:ascii="宋体" w:hAnsi="宋体" w:hint="eastAsia"/>
          <w:kern w:val="0"/>
          <w:sz w:val="18"/>
          <w:szCs w:val="18"/>
        </w:rPr>
        <w:t xml:space="preserve">会计学的学科属性：管理学还是经济学.管理世界 </w:t>
      </w:r>
      <w:r>
        <w:rPr>
          <w:rFonts w:ascii="宋体" w:hAnsi="宋体" w:cs="Arial"/>
          <w:kern w:val="0"/>
          <w:sz w:val="18"/>
          <w:szCs w:val="18"/>
        </w:rPr>
        <w:t>6</w:t>
      </w:r>
      <w:r>
        <w:rPr>
          <w:rFonts w:ascii="宋体" w:hAnsi="宋体" w:cs="Arial" w:hint="eastAsia"/>
          <w:kern w:val="0"/>
          <w:sz w:val="18"/>
          <w:szCs w:val="18"/>
        </w:rPr>
        <w:t>：</w:t>
      </w:r>
      <w:r>
        <w:rPr>
          <w:rFonts w:ascii="宋体" w:hAnsi="宋体" w:cs="Arial"/>
          <w:kern w:val="0"/>
          <w:sz w:val="18"/>
          <w:szCs w:val="18"/>
        </w:rPr>
        <w:t>182</w:t>
      </w:r>
      <w:r>
        <w:rPr>
          <w:rFonts w:ascii="宋体" w:hAnsi="宋体" w:hint="eastAsia"/>
          <w:sz w:val="18"/>
          <w:szCs w:val="18"/>
        </w:rPr>
        <w:t>～</w:t>
      </w:r>
      <w:r>
        <w:rPr>
          <w:rFonts w:ascii="宋体" w:hAnsi="宋体" w:cs="Arial"/>
          <w:kern w:val="0"/>
          <w:sz w:val="18"/>
          <w:szCs w:val="18"/>
        </w:rPr>
        <w:t>183</w:t>
      </w:r>
    </w:p>
    <w:p w:rsidR="00763556" w:rsidRDefault="00763556" w:rsidP="00763556">
      <w:pPr>
        <w:spacing w:line="360" w:lineRule="auto"/>
        <w:ind w:firstLineChars="50" w:firstLine="90"/>
        <w:jc w:val="left"/>
        <w:rPr>
          <w:rFonts w:ascii="宋体" w:hAnsi="宋体"/>
          <w:sz w:val="18"/>
          <w:szCs w:val="18"/>
        </w:rPr>
      </w:pPr>
      <w:r>
        <w:rPr>
          <w:rFonts w:ascii="宋体" w:hAnsi="宋体" w:hint="eastAsia"/>
          <w:sz w:val="18"/>
          <w:szCs w:val="18"/>
        </w:rPr>
        <w:t xml:space="preserve">       盖地. 2008.增值税会计：税法导向还是财税分离</w:t>
      </w:r>
      <w:r>
        <w:rPr>
          <w:rFonts w:ascii="宋体" w:hAnsi="宋体"/>
          <w:sz w:val="18"/>
          <w:szCs w:val="18"/>
        </w:rPr>
        <w:t>.</w:t>
      </w:r>
      <w:r>
        <w:rPr>
          <w:rFonts w:ascii="宋体" w:hAnsi="宋体" w:hint="eastAsia"/>
          <w:sz w:val="18"/>
          <w:szCs w:val="18"/>
        </w:rPr>
        <w:t>会计研究 6：46～53</w:t>
      </w:r>
    </w:p>
    <w:p w:rsidR="00763556" w:rsidRDefault="00763556" w:rsidP="00763556">
      <w:pPr>
        <w:spacing w:line="360" w:lineRule="auto"/>
        <w:ind w:leftChars="50" w:left="105" w:firstLineChars="150" w:firstLine="270"/>
        <w:jc w:val="left"/>
        <w:rPr>
          <w:rFonts w:ascii="宋体" w:hAnsi="宋体"/>
          <w:sz w:val="18"/>
          <w:szCs w:val="18"/>
        </w:rPr>
      </w:pPr>
      <w:r>
        <w:rPr>
          <w:rFonts w:ascii="宋体" w:hAnsi="宋体" w:hint="eastAsia"/>
          <w:sz w:val="18"/>
          <w:szCs w:val="18"/>
        </w:rPr>
        <w:t xml:space="preserve">    </w:t>
      </w:r>
      <w:r>
        <w:rPr>
          <w:rFonts w:ascii="宋体" w:hAnsi="宋体" w:hint="eastAsia"/>
          <w:bCs/>
          <w:sz w:val="18"/>
          <w:szCs w:val="18"/>
        </w:rPr>
        <w:t>刘肖红. 1995.增值税全部由消费者负担吗—对增值税税负归宿的探讨.税务与经济4: 2</w:t>
      </w:r>
      <w:r>
        <w:rPr>
          <w:rFonts w:ascii="宋体" w:hAnsi="宋体" w:hint="eastAsia"/>
          <w:sz w:val="18"/>
          <w:szCs w:val="18"/>
        </w:rPr>
        <w:t>～4</w:t>
      </w:r>
    </w:p>
    <w:p w:rsidR="00763556" w:rsidRDefault="00763556" w:rsidP="00763556">
      <w:pPr>
        <w:autoSpaceDE w:val="0"/>
        <w:autoSpaceDN w:val="0"/>
        <w:adjustRightInd w:val="0"/>
        <w:spacing w:line="360" w:lineRule="auto"/>
        <w:ind w:firstLineChars="400" w:firstLine="720"/>
        <w:jc w:val="left"/>
        <w:rPr>
          <w:rFonts w:ascii="宋体" w:hAnsi="宋体"/>
          <w:sz w:val="18"/>
          <w:szCs w:val="18"/>
        </w:rPr>
      </w:pPr>
      <w:r>
        <w:rPr>
          <w:rFonts w:ascii="宋体" w:hAnsi="宋体" w:cs="AdobeSongStd-Light" w:hint="eastAsia"/>
          <w:kern w:val="0"/>
          <w:sz w:val="18"/>
          <w:szCs w:val="18"/>
        </w:rPr>
        <w:t>黄董良.</w:t>
      </w:r>
      <w:r>
        <w:rPr>
          <w:rFonts w:ascii="宋体" w:hAnsi="宋体" w:hint="eastAsia"/>
          <w:kern w:val="0"/>
          <w:sz w:val="18"/>
          <w:szCs w:val="18"/>
        </w:rPr>
        <w:t xml:space="preserve"> 2002.</w:t>
      </w:r>
      <w:r>
        <w:rPr>
          <w:rFonts w:ascii="宋体" w:hAnsi="宋体" w:cs="AdobeSongStd-Light" w:hint="eastAsia"/>
          <w:kern w:val="0"/>
          <w:sz w:val="18"/>
          <w:szCs w:val="18"/>
        </w:rPr>
        <w:t xml:space="preserve">英国增值税会计准则及其借鉴.财经论丛 </w:t>
      </w:r>
      <w:r>
        <w:rPr>
          <w:rFonts w:ascii="宋体" w:hAnsi="宋体" w:hint="eastAsia"/>
          <w:kern w:val="0"/>
          <w:sz w:val="18"/>
          <w:szCs w:val="18"/>
        </w:rPr>
        <w:t>3:</w:t>
      </w:r>
      <w:r>
        <w:rPr>
          <w:rFonts w:ascii="宋体" w:hAnsi="宋体" w:hint="eastAsia"/>
          <w:sz w:val="18"/>
          <w:szCs w:val="18"/>
        </w:rPr>
        <w:t xml:space="preserve"> 61～65</w:t>
      </w:r>
    </w:p>
    <w:p w:rsidR="00763556" w:rsidRPr="00FD6C10" w:rsidRDefault="00763556" w:rsidP="00763556">
      <w:pPr>
        <w:spacing w:line="360" w:lineRule="auto"/>
        <w:ind w:firstLineChars="400" w:firstLine="720"/>
        <w:jc w:val="left"/>
        <w:rPr>
          <w:rFonts w:ascii="宋体" w:hAnsi="宋体"/>
          <w:kern w:val="0"/>
          <w:sz w:val="18"/>
          <w:szCs w:val="18"/>
        </w:rPr>
      </w:pPr>
      <w:r w:rsidRPr="00FD6C10">
        <w:rPr>
          <w:rFonts w:ascii="宋体" w:hAnsi="宋体" w:hint="eastAsia"/>
          <w:kern w:val="0"/>
          <w:sz w:val="18"/>
          <w:szCs w:val="18"/>
        </w:rPr>
        <w:t>任月君 陈秀艳2009.我国财务报告目标分析.东北财经大学学报4：61</w:t>
      </w:r>
      <w:r w:rsidRPr="00FD6C10">
        <w:rPr>
          <w:rFonts w:ascii="宋体" w:hAnsi="宋体" w:hint="eastAsia"/>
          <w:sz w:val="18"/>
          <w:szCs w:val="18"/>
        </w:rPr>
        <w:t>～</w:t>
      </w:r>
      <w:r w:rsidRPr="00FD6C10">
        <w:rPr>
          <w:rFonts w:ascii="宋体" w:hAnsi="宋体" w:hint="eastAsia"/>
          <w:kern w:val="0"/>
          <w:sz w:val="18"/>
          <w:szCs w:val="18"/>
        </w:rPr>
        <w:t>64</w:t>
      </w:r>
    </w:p>
    <w:p w:rsidR="00763556" w:rsidRDefault="00763556" w:rsidP="00763556">
      <w:pPr>
        <w:spacing w:line="360" w:lineRule="auto"/>
        <w:ind w:firstLineChars="400" w:firstLine="720"/>
        <w:jc w:val="left"/>
        <w:rPr>
          <w:rFonts w:ascii="宋体" w:hAnsi="宋体"/>
          <w:sz w:val="18"/>
          <w:szCs w:val="18"/>
        </w:rPr>
      </w:pPr>
      <w:r>
        <w:rPr>
          <w:rFonts w:ascii="宋体" w:hAnsi="宋体" w:hint="eastAsia"/>
          <w:sz w:val="18"/>
          <w:szCs w:val="18"/>
        </w:rPr>
        <w:t>各国税制比较研究课题组.1996.增值税制国际比较.北京:中国财政经济出版社.</w:t>
      </w:r>
    </w:p>
    <w:p w:rsidR="00763556" w:rsidRPr="00EF76EA" w:rsidRDefault="00763556" w:rsidP="00763556">
      <w:pPr>
        <w:spacing w:line="360" w:lineRule="auto"/>
        <w:ind w:firstLineChars="400" w:firstLine="720"/>
        <w:jc w:val="left"/>
        <w:rPr>
          <w:kern w:val="0"/>
          <w:sz w:val="18"/>
          <w:szCs w:val="18"/>
        </w:rPr>
      </w:pPr>
      <w:r w:rsidRPr="00EF76EA">
        <w:rPr>
          <w:kern w:val="0"/>
          <w:sz w:val="18"/>
          <w:szCs w:val="18"/>
        </w:rPr>
        <w:t>FASB. 2006. Statement of Financial Standards No.15</w:t>
      </w:r>
      <w:r w:rsidR="009F211F">
        <w:rPr>
          <w:kern w:val="0"/>
          <w:sz w:val="18"/>
          <w:szCs w:val="18"/>
        </w:rPr>
        <w:t>6</w:t>
      </w:r>
      <w:r w:rsidRPr="00EF76EA">
        <w:rPr>
          <w:kern w:val="0"/>
          <w:sz w:val="18"/>
          <w:szCs w:val="18"/>
        </w:rPr>
        <w:t xml:space="preserve"> Fair Value Measurements. </w:t>
      </w:r>
    </w:p>
    <w:p w:rsidR="00763556" w:rsidRPr="00EF76EA" w:rsidRDefault="00763556" w:rsidP="00763556">
      <w:pPr>
        <w:spacing w:line="360" w:lineRule="auto"/>
        <w:ind w:firstLineChars="200" w:firstLine="360"/>
        <w:jc w:val="left"/>
        <w:rPr>
          <w:kern w:val="0"/>
          <w:sz w:val="18"/>
          <w:szCs w:val="18"/>
        </w:rPr>
      </w:pPr>
      <w:r w:rsidRPr="00EF76EA">
        <w:rPr>
          <w:sz w:val="18"/>
          <w:szCs w:val="18"/>
        </w:rPr>
        <w:t xml:space="preserve">   </w:t>
      </w:r>
      <w:r>
        <w:rPr>
          <w:rFonts w:hint="eastAsia"/>
          <w:sz w:val="18"/>
          <w:szCs w:val="18"/>
        </w:rPr>
        <w:t xml:space="preserve">     </w:t>
      </w:r>
      <w:r w:rsidRPr="00EF76EA">
        <w:rPr>
          <w:sz w:val="18"/>
          <w:szCs w:val="18"/>
        </w:rPr>
        <w:t xml:space="preserve"> </w:t>
      </w:r>
      <w:r w:rsidRPr="00EF76EA">
        <w:rPr>
          <w:kern w:val="0"/>
          <w:sz w:val="18"/>
          <w:szCs w:val="18"/>
        </w:rPr>
        <w:t>IASB. 2009.</w:t>
      </w:r>
      <w:r w:rsidRPr="00EF76EA">
        <w:rPr>
          <w:bCs/>
          <w:kern w:val="0"/>
          <w:sz w:val="18"/>
          <w:szCs w:val="18"/>
        </w:rPr>
        <w:t xml:space="preserve"> Exposure Draft</w:t>
      </w:r>
      <w:r w:rsidRPr="00EF76EA">
        <w:rPr>
          <w:kern w:val="0"/>
          <w:sz w:val="18"/>
          <w:szCs w:val="18"/>
        </w:rPr>
        <w:t xml:space="preserve"> of Fair Value Measurement. </w:t>
      </w:r>
    </w:p>
    <w:p w:rsidR="00763556" w:rsidRDefault="00763556" w:rsidP="00763556">
      <w:pPr>
        <w:pBdr>
          <w:top w:val="none" w:sz="0" w:space="0" w:color="auto"/>
          <w:left w:val="none" w:sz="0" w:space="0" w:color="auto"/>
          <w:bottom w:val="none" w:sz="0" w:space="0" w:color="auto"/>
          <w:right w:val="none" w:sz="0" w:space="0" w:color="auto"/>
          <w:between w:val="none" w:sz="0" w:space="0" w:color="auto"/>
        </w:pBdr>
        <w:spacing w:line="360" w:lineRule="auto"/>
        <w:ind w:firstLineChars="400" w:firstLine="720"/>
        <w:jc w:val="left"/>
        <w:rPr>
          <w:rFonts w:ascii="Cambria" w:hAnsi="Cambria"/>
        </w:rPr>
      </w:pPr>
      <w:r w:rsidRPr="00EF76EA">
        <w:rPr>
          <w:kern w:val="0"/>
          <w:sz w:val="18"/>
          <w:szCs w:val="18"/>
        </w:rPr>
        <w:t>IASB. 2011. Project Summary and Feedback Statement IFRS13 Fair Value Measurement.</w:t>
      </w:r>
    </w:p>
    <w:p w:rsidR="000D40EF" w:rsidRDefault="000D40EF" w:rsidP="000D40EF">
      <w:pPr>
        <w:pBdr>
          <w:top w:val="none" w:sz="0" w:space="0" w:color="auto"/>
          <w:left w:val="none" w:sz="0" w:space="0" w:color="auto"/>
          <w:bottom w:val="none" w:sz="0" w:space="0" w:color="auto"/>
          <w:right w:val="none" w:sz="0" w:space="0" w:color="auto"/>
          <w:between w:val="none" w:sz="0" w:space="0" w:color="auto"/>
        </w:pBdr>
        <w:spacing w:line="264" w:lineRule="auto"/>
        <w:rPr>
          <w:rFonts w:ascii="Cambria" w:hAnsi="Cambria"/>
        </w:rPr>
      </w:pPr>
    </w:p>
    <w:p w:rsidR="008D4335" w:rsidRPr="000D40EF" w:rsidRDefault="000D40EF" w:rsidP="000D40EF">
      <w:pPr>
        <w:pBdr>
          <w:top w:val="none" w:sz="0" w:space="0" w:color="auto"/>
          <w:left w:val="none" w:sz="0" w:space="0" w:color="auto"/>
          <w:bottom w:val="none" w:sz="0" w:space="0" w:color="auto"/>
          <w:right w:val="none" w:sz="0" w:space="0" w:color="auto"/>
          <w:between w:val="none" w:sz="0" w:space="0" w:color="auto"/>
        </w:pBdr>
        <w:spacing w:line="264" w:lineRule="auto"/>
        <w:ind w:firstLineChars="200" w:firstLine="480"/>
        <w:rPr>
          <w:rFonts w:ascii="Cambria" w:hAnsi="Cambria"/>
          <w:sz w:val="24"/>
          <w:szCs w:val="24"/>
        </w:rPr>
      </w:pPr>
      <w:r w:rsidRPr="000D40EF">
        <w:rPr>
          <w:rFonts w:ascii="Cambria" w:hAnsi="Cambria"/>
          <w:sz w:val="24"/>
          <w:szCs w:val="24"/>
        </w:rPr>
        <w:t xml:space="preserve">Measurement challenges in the application of fair value </w:t>
      </w:r>
      <w:r w:rsidRPr="000D40EF">
        <w:rPr>
          <w:rFonts w:ascii="Cambria" w:hAnsi="Cambria" w:hint="eastAsia"/>
          <w:sz w:val="24"/>
          <w:szCs w:val="24"/>
        </w:rPr>
        <w:t>a</w:t>
      </w:r>
      <w:r w:rsidRPr="000D40EF">
        <w:rPr>
          <w:rFonts w:ascii="Cambria" w:hAnsi="Cambria"/>
          <w:sz w:val="24"/>
          <w:szCs w:val="24"/>
        </w:rPr>
        <w:t xml:space="preserve">ccounting </w:t>
      </w:r>
      <w:r w:rsidRPr="000D40EF">
        <w:rPr>
          <w:rFonts w:ascii="Cambria" w:hAnsi="Cambria" w:hint="eastAsia"/>
          <w:sz w:val="24"/>
          <w:szCs w:val="24"/>
        </w:rPr>
        <w:t>s</w:t>
      </w:r>
      <w:r w:rsidRPr="000D40EF">
        <w:rPr>
          <w:rFonts w:ascii="Cambria" w:hAnsi="Cambria"/>
          <w:sz w:val="24"/>
          <w:szCs w:val="24"/>
        </w:rPr>
        <w:t>tandards</w:t>
      </w:r>
    </w:p>
    <w:p w:rsidR="00ED7B2B" w:rsidRPr="000D40EF" w:rsidRDefault="000D40EF" w:rsidP="00ED7B2B">
      <w:pPr>
        <w:pBdr>
          <w:top w:val="none" w:sz="0" w:space="0" w:color="auto"/>
          <w:left w:val="none" w:sz="0" w:space="0" w:color="auto"/>
          <w:bottom w:val="none" w:sz="0" w:space="0" w:color="auto"/>
          <w:right w:val="none" w:sz="0" w:space="0" w:color="auto"/>
          <w:between w:val="none" w:sz="0" w:space="0" w:color="auto"/>
        </w:pBdr>
        <w:spacing w:line="264" w:lineRule="auto"/>
        <w:rPr>
          <w:kern w:val="0"/>
          <w:szCs w:val="21"/>
          <w:highlight w:val="white"/>
        </w:rPr>
      </w:pPr>
      <w:r>
        <w:rPr>
          <w:rFonts w:hint="eastAsia"/>
          <w:kern w:val="0"/>
          <w:szCs w:val="21"/>
          <w:highlight w:val="white"/>
        </w:rPr>
        <w:t xml:space="preserve">                                       ------</w:t>
      </w:r>
      <w:r w:rsidR="00ED7B2B" w:rsidRPr="000D40EF">
        <w:rPr>
          <w:kern w:val="0"/>
          <w:szCs w:val="21"/>
          <w:highlight w:val="white"/>
        </w:rPr>
        <w:t>Theoretical Significance And Realistic Choice Of Fair Value Measurement Unit</w:t>
      </w:r>
    </w:p>
    <w:p w:rsidR="00ED7B2B" w:rsidRDefault="00ED7B2B" w:rsidP="00ED7B2B">
      <w:pPr>
        <w:pBdr>
          <w:top w:val="none" w:sz="0" w:space="0" w:color="auto"/>
          <w:left w:val="none" w:sz="0" w:space="0" w:color="auto"/>
          <w:bottom w:val="none" w:sz="0" w:space="0" w:color="auto"/>
          <w:right w:val="none" w:sz="0" w:space="0" w:color="auto"/>
          <w:between w:val="none" w:sz="0" w:space="0" w:color="auto"/>
        </w:pBdr>
        <w:rPr>
          <w:rFonts w:eastAsia="楷体_GB2312" w:cs="宋体"/>
          <w:b/>
          <w:kern w:val="0"/>
          <w:szCs w:val="21"/>
        </w:rPr>
      </w:pPr>
    </w:p>
    <w:p w:rsidR="000D40EF" w:rsidRPr="00BC3C57" w:rsidRDefault="00ED7B2B" w:rsidP="00ED7B2B">
      <w:pPr>
        <w:pBdr>
          <w:top w:val="none" w:sz="0" w:space="0" w:color="auto"/>
          <w:left w:val="none" w:sz="0" w:space="0" w:color="auto"/>
          <w:bottom w:val="none" w:sz="0" w:space="0" w:color="auto"/>
          <w:right w:val="none" w:sz="0" w:space="0" w:color="auto"/>
          <w:between w:val="none" w:sz="0" w:space="0" w:color="auto"/>
        </w:pBdr>
        <w:rPr>
          <w:rFonts w:eastAsia="楷体_GB2312" w:cs="宋体"/>
          <w:kern w:val="0"/>
          <w:szCs w:val="21"/>
        </w:rPr>
      </w:pPr>
      <w:r>
        <w:rPr>
          <w:rFonts w:eastAsia="楷体_GB2312" w:cs="宋体"/>
          <w:b/>
          <w:kern w:val="0"/>
          <w:szCs w:val="21"/>
        </w:rPr>
        <w:t>Abstract</w:t>
      </w:r>
      <w:r>
        <w:rPr>
          <w:rFonts w:eastAsia="楷体_GB2312" w:cs="宋体" w:hint="eastAsia"/>
          <w:b/>
          <w:kern w:val="0"/>
          <w:szCs w:val="21"/>
        </w:rPr>
        <w:t xml:space="preserve"> : </w:t>
      </w:r>
      <w:r w:rsidRPr="00ED5B9F">
        <w:rPr>
          <w:rFonts w:eastAsia="楷体_GB2312" w:cs="宋体"/>
          <w:kern w:val="0"/>
          <w:szCs w:val="21"/>
        </w:rPr>
        <w:t xml:space="preserve">In this paper, the definition of fair value is </w:t>
      </w:r>
      <w:r>
        <w:rPr>
          <w:rFonts w:eastAsia="楷体_GB2312" w:cs="宋体"/>
          <w:kern w:val="0"/>
          <w:szCs w:val="21"/>
        </w:rPr>
        <w:t xml:space="preserve">exit price that </w:t>
      </w:r>
      <w:r w:rsidRPr="00ED5B9F">
        <w:rPr>
          <w:rFonts w:eastAsia="楷体_GB2312" w:cs="宋体"/>
          <w:kern w:val="0"/>
          <w:szCs w:val="21"/>
        </w:rPr>
        <w:t>"</w:t>
      </w:r>
      <w:r w:rsidRPr="00ED5B9F">
        <w:rPr>
          <w:bCs/>
          <w:iCs/>
          <w:kern w:val="0"/>
          <w:szCs w:val="21"/>
        </w:rPr>
        <w:t>The price that would be received to sell an asset or paid to transfer a liability</w:t>
      </w:r>
      <w:r w:rsidRPr="00ED5B9F">
        <w:rPr>
          <w:rFonts w:eastAsia="楷体_GB2312" w:cs="宋体"/>
          <w:kern w:val="0"/>
          <w:szCs w:val="21"/>
        </w:rPr>
        <w:t xml:space="preserve">". In </w:t>
      </w:r>
      <w:smartTag w:uri="urn:schemas-microsoft-com:office:smarttags" w:element="country-region">
        <w:smartTag w:uri="urn:schemas-microsoft-com:office:smarttags" w:element="place">
          <w:r w:rsidRPr="00ED5B9F">
            <w:rPr>
              <w:rFonts w:eastAsia="楷体_GB2312" w:cs="宋体"/>
              <w:kern w:val="0"/>
              <w:szCs w:val="21"/>
            </w:rPr>
            <w:t>China</w:t>
          </w:r>
        </w:smartTag>
      </w:smartTag>
      <w:r w:rsidRPr="00ED5B9F">
        <w:rPr>
          <w:rFonts w:eastAsia="楷体_GB2312" w:cs="宋体"/>
          <w:kern w:val="0"/>
          <w:szCs w:val="21"/>
        </w:rPr>
        <w:t xml:space="preserve">, the fair value of assets for commodity transaction which include value added tax (VAT) while for accounting treatment excludes value-added tax. </w:t>
      </w:r>
      <w:r w:rsidR="00BC3C57" w:rsidRPr="00BC3C57">
        <w:rPr>
          <w:rFonts w:eastAsia="楷体_GB2312" w:cs="宋体"/>
          <w:kern w:val="0"/>
          <w:szCs w:val="21"/>
        </w:rPr>
        <w:t>Under the above preconditions</w:t>
      </w:r>
      <w:r w:rsidRPr="00ED5B9F">
        <w:rPr>
          <w:rFonts w:eastAsia="楷体_GB2312" w:cs="宋体"/>
          <w:kern w:val="0"/>
          <w:szCs w:val="21"/>
        </w:rPr>
        <w:t>, it is necessary to put forward and define 'fair value econometric measurement unit' and' fair value accounting measurement unit'. Meanwhile retrospect to the theoretical origin of concepts and explores the accounting standards root causes of the relevant problems to solve practical processing, realistic choice.</w:t>
      </w:r>
    </w:p>
    <w:p w:rsidR="00ED7B2B" w:rsidRPr="00ED5B9F" w:rsidRDefault="00ED7B2B" w:rsidP="00ED7B2B">
      <w:pPr>
        <w:pBdr>
          <w:top w:val="none" w:sz="0" w:space="0" w:color="auto"/>
          <w:left w:val="none" w:sz="0" w:space="0" w:color="auto"/>
          <w:bottom w:val="none" w:sz="0" w:space="0" w:color="auto"/>
          <w:right w:val="none" w:sz="0" w:space="0" w:color="auto"/>
          <w:between w:val="none" w:sz="0" w:space="0" w:color="auto"/>
        </w:pBdr>
        <w:ind w:firstLine="420"/>
        <w:rPr>
          <w:rFonts w:eastAsia="楷体_GB2312" w:cs="宋体"/>
          <w:kern w:val="0"/>
          <w:szCs w:val="21"/>
        </w:rPr>
      </w:pPr>
      <w:r w:rsidRPr="00ED5B9F">
        <w:rPr>
          <w:rFonts w:eastAsia="楷体_GB2312" w:cs="宋体"/>
          <w:kern w:val="0"/>
          <w:szCs w:val="21"/>
        </w:rPr>
        <w:t xml:space="preserve">The significance of this study, on the one hand, the implementation of fair value criterion, put forward specific guidelines for interpretation, which distinguish between different units of measurement of fair value; on the other hand, it points out research must proceed from reality, from Chinese national conditions. For accounting treatment, the VAT is neither included in the value of the assets nor the total income. Therefore, </w:t>
      </w:r>
      <w:r>
        <w:rPr>
          <w:rFonts w:eastAsia="楷体_GB2312" w:cs="宋体"/>
          <w:kern w:val="0"/>
          <w:szCs w:val="21"/>
        </w:rPr>
        <w:t xml:space="preserve">put forward </w:t>
      </w:r>
      <w:r w:rsidRPr="00ED5B9F">
        <w:rPr>
          <w:rFonts w:eastAsia="楷体_GB2312" w:cs="宋体"/>
          <w:kern w:val="0"/>
          <w:szCs w:val="21"/>
        </w:rPr>
        <w:t xml:space="preserve">some idea that the VAT does not affect the tax burden as which can be passed on so it does not have to enter the income statement. These views, in deepening reform of </w:t>
      </w:r>
      <w:smartTag w:uri="urn:schemas-microsoft-com:office:smarttags" w:element="country-region">
        <w:smartTag w:uri="urn:schemas-microsoft-com:office:smarttags" w:element="place">
          <w:r w:rsidRPr="00ED5B9F">
            <w:rPr>
              <w:rFonts w:eastAsia="楷体_GB2312" w:cs="宋体"/>
              <w:kern w:val="0"/>
              <w:szCs w:val="21"/>
            </w:rPr>
            <w:t>China</w:t>
          </w:r>
        </w:smartTag>
      </w:smartTag>
      <w:r w:rsidRPr="00ED5B9F">
        <w:rPr>
          <w:rFonts w:eastAsia="楷体_GB2312" w:cs="宋体"/>
          <w:kern w:val="0"/>
          <w:szCs w:val="21"/>
        </w:rPr>
        <w:t xml:space="preserve">'s taxation sector replace business tax by value added tax have further research value and questionable space. </w:t>
      </w:r>
    </w:p>
    <w:p w:rsidR="00ED7B2B" w:rsidRPr="00ED5B9F" w:rsidRDefault="00ED7B2B" w:rsidP="00ED7B2B">
      <w:pPr>
        <w:pBdr>
          <w:top w:val="none" w:sz="0" w:space="0" w:color="auto"/>
          <w:left w:val="none" w:sz="0" w:space="0" w:color="auto"/>
          <w:bottom w:val="none" w:sz="0" w:space="0" w:color="auto"/>
          <w:right w:val="none" w:sz="0" w:space="0" w:color="auto"/>
          <w:between w:val="none" w:sz="0" w:space="0" w:color="auto"/>
        </w:pBdr>
        <w:tabs>
          <w:tab w:val="left" w:pos="7140"/>
        </w:tabs>
        <w:rPr>
          <w:rFonts w:eastAsia="楷体_GB2312" w:cs="宋体"/>
          <w:kern w:val="0"/>
          <w:szCs w:val="21"/>
        </w:rPr>
      </w:pPr>
      <w:r w:rsidRPr="00ED5B9F">
        <w:rPr>
          <w:rFonts w:eastAsia="楷体_GB2312" w:cs="Arial"/>
          <w:b/>
          <w:kern w:val="0"/>
          <w:szCs w:val="21"/>
        </w:rPr>
        <w:t>Key words</w:t>
      </w:r>
      <w:r w:rsidRPr="00ED5B9F">
        <w:rPr>
          <w:rFonts w:ascii="Book Antiqua" w:eastAsia="楷体_GB2312" w:hAnsi="Book Antiqua" w:cs="Arial"/>
          <w:b/>
          <w:kern w:val="0"/>
          <w:szCs w:val="21"/>
        </w:rPr>
        <w:t>:</w:t>
      </w:r>
      <w:r w:rsidRPr="00ED5B9F">
        <w:rPr>
          <w:rFonts w:eastAsia="楷体_GB2312" w:cs="宋体"/>
          <w:kern w:val="0"/>
          <w:szCs w:val="21"/>
        </w:rPr>
        <w:t xml:space="preserve"> accounting subject attribute, fair val</w:t>
      </w:r>
      <w:r>
        <w:rPr>
          <w:rFonts w:eastAsia="楷体_GB2312" w:cs="宋体"/>
          <w:kern w:val="0"/>
          <w:szCs w:val="21"/>
        </w:rPr>
        <w:t>ue econometric measurement unit</w:t>
      </w:r>
      <w:r w:rsidRPr="00ED5B9F">
        <w:rPr>
          <w:rFonts w:eastAsia="楷体_GB2312" w:cs="宋体"/>
          <w:kern w:val="0"/>
          <w:szCs w:val="21"/>
        </w:rPr>
        <w:t>, fair value accounting measurement unit</w:t>
      </w:r>
    </w:p>
    <w:p w:rsidR="008D4335" w:rsidRDefault="008D4335" w:rsidP="00416737">
      <w:pPr>
        <w:pBdr>
          <w:top w:val="none" w:sz="0" w:space="0" w:color="auto"/>
          <w:left w:val="none" w:sz="0" w:space="0" w:color="auto"/>
          <w:bottom w:val="none" w:sz="0" w:space="0" w:color="auto"/>
          <w:right w:val="none" w:sz="0" w:space="0" w:color="auto"/>
          <w:between w:val="none" w:sz="0" w:space="0" w:color="auto"/>
        </w:pBdr>
        <w:spacing w:line="264" w:lineRule="auto"/>
        <w:ind w:firstLine="420"/>
        <w:rPr>
          <w:rFonts w:ascii="宋体"/>
          <w:szCs w:val="21"/>
        </w:rPr>
      </w:pPr>
    </w:p>
    <w:p w:rsidR="00AE66BC" w:rsidRDefault="00AE66BC" w:rsidP="00416737">
      <w:pPr>
        <w:pBdr>
          <w:top w:val="none" w:sz="0" w:space="0" w:color="auto"/>
          <w:left w:val="none" w:sz="0" w:space="0" w:color="auto"/>
          <w:bottom w:val="none" w:sz="0" w:space="0" w:color="auto"/>
          <w:right w:val="none" w:sz="0" w:space="0" w:color="auto"/>
          <w:between w:val="none" w:sz="0" w:space="0" w:color="auto"/>
        </w:pBdr>
        <w:spacing w:line="264" w:lineRule="auto"/>
        <w:ind w:firstLine="420"/>
        <w:rPr>
          <w:rFonts w:ascii="宋体"/>
          <w:szCs w:val="21"/>
        </w:rPr>
      </w:pPr>
    </w:p>
    <w:p w:rsidR="00BB3F93" w:rsidRDefault="00BB3F93" w:rsidP="00416737">
      <w:pPr>
        <w:pBdr>
          <w:top w:val="none" w:sz="0" w:space="0" w:color="auto"/>
          <w:left w:val="none" w:sz="0" w:space="0" w:color="auto"/>
          <w:bottom w:val="none" w:sz="0" w:space="0" w:color="auto"/>
          <w:right w:val="none" w:sz="0" w:space="0" w:color="auto"/>
          <w:between w:val="none" w:sz="0" w:space="0" w:color="auto"/>
        </w:pBdr>
        <w:spacing w:line="264" w:lineRule="auto"/>
        <w:ind w:firstLine="420"/>
        <w:rPr>
          <w:rFonts w:ascii="宋体"/>
          <w:szCs w:val="21"/>
        </w:rPr>
      </w:pPr>
    </w:p>
    <w:p w:rsidR="00BB3F93" w:rsidRDefault="00BB3F93" w:rsidP="00416737">
      <w:pPr>
        <w:pBdr>
          <w:top w:val="none" w:sz="0" w:space="0" w:color="auto"/>
          <w:left w:val="none" w:sz="0" w:space="0" w:color="auto"/>
          <w:bottom w:val="none" w:sz="0" w:space="0" w:color="auto"/>
          <w:right w:val="none" w:sz="0" w:space="0" w:color="auto"/>
          <w:between w:val="none" w:sz="0" w:space="0" w:color="auto"/>
        </w:pBdr>
        <w:spacing w:line="264" w:lineRule="auto"/>
        <w:ind w:firstLine="420"/>
        <w:rPr>
          <w:rFonts w:ascii="宋体"/>
          <w:szCs w:val="21"/>
        </w:rPr>
      </w:pPr>
    </w:p>
    <w:p w:rsidR="00BB3F93" w:rsidRDefault="00BB3F93" w:rsidP="00416737">
      <w:pPr>
        <w:pBdr>
          <w:top w:val="none" w:sz="0" w:space="0" w:color="auto"/>
          <w:left w:val="none" w:sz="0" w:space="0" w:color="auto"/>
          <w:bottom w:val="none" w:sz="0" w:space="0" w:color="auto"/>
          <w:right w:val="none" w:sz="0" w:space="0" w:color="auto"/>
          <w:between w:val="none" w:sz="0" w:space="0" w:color="auto"/>
        </w:pBdr>
        <w:spacing w:line="264" w:lineRule="auto"/>
        <w:ind w:firstLine="420"/>
        <w:rPr>
          <w:rFonts w:ascii="宋体"/>
          <w:szCs w:val="21"/>
        </w:rPr>
      </w:pPr>
    </w:p>
    <w:p w:rsidR="00BB3F93" w:rsidRDefault="00BB3F93" w:rsidP="00416737">
      <w:pPr>
        <w:pBdr>
          <w:top w:val="none" w:sz="0" w:space="0" w:color="auto"/>
          <w:left w:val="none" w:sz="0" w:space="0" w:color="auto"/>
          <w:bottom w:val="none" w:sz="0" w:space="0" w:color="auto"/>
          <w:right w:val="none" w:sz="0" w:space="0" w:color="auto"/>
          <w:between w:val="none" w:sz="0" w:space="0" w:color="auto"/>
        </w:pBdr>
        <w:spacing w:line="264" w:lineRule="auto"/>
        <w:ind w:firstLine="420"/>
        <w:rPr>
          <w:rFonts w:ascii="宋体"/>
          <w:szCs w:val="21"/>
        </w:rPr>
      </w:pPr>
    </w:p>
    <w:p w:rsidR="00BB3F93" w:rsidRDefault="00BB3F93" w:rsidP="00BC3C57">
      <w:pPr>
        <w:pBdr>
          <w:top w:val="none" w:sz="0" w:space="0" w:color="auto"/>
          <w:left w:val="none" w:sz="0" w:space="0" w:color="auto"/>
          <w:bottom w:val="none" w:sz="0" w:space="0" w:color="auto"/>
          <w:right w:val="none" w:sz="0" w:space="0" w:color="auto"/>
          <w:between w:val="none" w:sz="0" w:space="0" w:color="auto"/>
        </w:pBdr>
        <w:spacing w:line="264" w:lineRule="auto"/>
        <w:rPr>
          <w:rFonts w:ascii="宋体"/>
          <w:szCs w:val="21"/>
        </w:rPr>
      </w:pPr>
    </w:p>
    <w:p w:rsidR="00BC3C57" w:rsidRDefault="00BC3C57" w:rsidP="00BC3C57">
      <w:pPr>
        <w:pBdr>
          <w:top w:val="none" w:sz="0" w:space="0" w:color="auto"/>
          <w:left w:val="none" w:sz="0" w:space="0" w:color="auto"/>
          <w:bottom w:val="none" w:sz="0" w:space="0" w:color="auto"/>
          <w:right w:val="none" w:sz="0" w:space="0" w:color="auto"/>
          <w:between w:val="none" w:sz="0" w:space="0" w:color="auto"/>
        </w:pBdr>
        <w:spacing w:line="264" w:lineRule="auto"/>
        <w:rPr>
          <w:rFonts w:ascii="宋体"/>
          <w:szCs w:val="21"/>
        </w:rPr>
      </w:pPr>
    </w:p>
    <w:tbl>
      <w:tblPr>
        <w:tblpPr w:leftFromText="180" w:rightFromText="180" w:vertAnchor="page" w:horzAnchor="margin" w:tblpY="2221"/>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260"/>
        <w:gridCol w:w="1998"/>
        <w:gridCol w:w="7"/>
        <w:gridCol w:w="2123"/>
        <w:gridCol w:w="2892"/>
      </w:tblGrid>
      <w:tr w:rsidR="008D4335" w:rsidTr="00B8350B">
        <w:tc>
          <w:tcPr>
            <w:tcW w:w="2268" w:type="dxa"/>
            <w:gridSpan w:val="2"/>
            <w:tcBorders>
              <w:tl2br w:val="single" w:sz="4" w:space="0" w:color="auto"/>
            </w:tcBorders>
          </w:tcPr>
          <w:p w:rsidR="008D4335" w:rsidRDefault="008D4335" w:rsidP="00B8350B">
            <w:pPr>
              <w:spacing w:line="264" w:lineRule="auto"/>
              <w:rPr>
                <w:rFonts w:ascii="宋体" w:hAnsi="宋体"/>
                <w:sz w:val="18"/>
                <w:szCs w:val="18"/>
              </w:rPr>
            </w:pPr>
            <w:bookmarkStart w:id="0" w:name="_GoBack"/>
            <w:bookmarkEnd w:id="0"/>
            <w:r>
              <w:rPr>
                <w:rFonts w:ascii="宋体" w:hAnsi="宋体" w:hint="eastAsia"/>
                <w:sz w:val="18"/>
                <w:szCs w:val="18"/>
              </w:rPr>
              <w:lastRenderedPageBreak/>
              <w:t xml:space="preserve">          公允价值</w:t>
            </w:r>
          </w:p>
          <w:p w:rsidR="008D4335" w:rsidRDefault="008D4335" w:rsidP="00B8350B">
            <w:pPr>
              <w:spacing w:line="264" w:lineRule="auto"/>
              <w:rPr>
                <w:rFonts w:ascii="宋体" w:hAnsi="宋体"/>
                <w:sz w:val="18"/>
                <w:szCs w:val="18"/>
              </w:rPr>
            </w:pPr>
            <w:r>
              <w:rPr>
                <w:rFonts w:ascii="宋体" w:hAnsi="宋体" w:hint="eastAsia"/>
                <w:sz w:val="18"/>
                <w:szCs w:val="18"/>
              </w:rPr>
              <w:t>具体位置</w:t>
            </w:r>
          </w:p>
        </w:tc>
        <w:tc>
          <w:tcPr>
            <w:tcW w:w="2005" w:type="dxa"/>
            <w:gridSpan w:val="2"/>
            <w:vAlign w:val="center"/>
          </w:tcPr>
          <w:p w:rsidR="008D4335" w:rsidRDefault="008D4335" w:rsidP="00B8350B">
            <w:pPr>
              <w:spacing w:line="264" w:lineRule="auto"/>
              <w:jc w:val="center"/>
              <w:rPr>
                <w:rFonts w:ascii="宋体" w:hAnsi="宋体"/>
                <w:sz w:val="18"/>
                <w:szCs w:val="18"/>
              </w:rPr>
            </w:pPr>
            <w:r>
              <w:rPr>
                <w:rFonts w:ascii="宋体" w:hAnsi="宋体" w:hint="eastAsia"/>
                <w:sz w:val="18"/>
                <w:szCs w:val="18"/>
              </w:rPr>
              <w:t>包含增值税</w:t>
            </w:r>
          </w:p>
        </w:tc>
        <w:tc>
          <w:tcPr>
            <w:tcW w:w="2123" w:type="dxa"/>
            <w:vAlign w:val="center"/>
          </w:tcPr>
          <w:p w:rsidR="008D4335" w:rsidRDefault="008D4335" w:rsidP="00B8350B">
            <w:pPr>
              <w:spacing w:line="264" w:lineRule="auto"/>
              <w:jc w:val="center"/>
              <w:rPr>
                <w:rFonts w:ascii="宋体" w:hAnsi="宋体"/>
                <w:sz w:val="18"/>
                <w:szCs w:val="18"/>
              </w:rPr>
            </w:pPr>
            <w:r>
              <w:rPr>
                <w:rFonts w:ascii="宋体" w:hAnsi="宋体" w:hint="eastAsia"/>
                <w:sz w:val="18"/>
                <w:szCs w:val="18"/>
              </w:rPr>
              <w:t>不含增值税</w:t>
            </w:r>
          </w:p>
        </w:tc>
        <w:tc>
          <w:tcPr>
            <w:tcW w:w="2892" w:type="dxa"/>
            <w:vAlign w:val="center"/>
          </w:tcPr>
          <w:p w:rsidR="008D4335" w:rsidRDefault="008D4335" w:rsidP="00B8350B">
            <w:pPr>
              <w:spacing w:line="264" w:lineRule="auto"/>
              <w:jc w:val="center"/>
              <w:rPr>
                <w:rFonts w:ascii="宋体" w:hAnsi="宋体"/>
                <w:sz w:val="18"/>
                <w:szCs w:val="18"/>
              </w:rPr>
            </w:pPr>
            <w:r>
              <w:rPr>
                <w:rFonts w:ascii="宋体" w:hAnsi="宋体" w:hint="eastAsia"/>
                <w:sz w:val="18"/>
                <w:szCs w:val="18"/>
              </w:rPr>
              <w:t>不明确</w:t>
            </w:r>
          </w:p>
        </w:tc>
      </w:tr>
      <w:tr w:rsidR="008D4335" w:rsidTr="00B8350B">
        <w:trPr>
          <w:trHeight w:val="1008"/>
        </w:trPr>
        <w:tc>
          <w:tcPr>
            <w:tcW w:w="1008" w:type="dxa"/>
          </w:tcPr>
          <w:p w:rsidR="008D4335" w:rsidRDefault="008D4335" w:rsidP="00B8350B">
            <w:pPr>
              <w:spacing w:line="264" w:lineRule="auto"/>
              <w:rPr>
                <w:rFonts w:ascii="宋体" w:hAnsi="宋体"/>
                <w:sz w:val="18"/>
                <w:szCs w:val="18"/>
              </w:rPr>
            </w:pPr>
            <w:r>
              <w:rPr>
                <w:rFonts w:ascii="宋体" w:hAnsi="宋体"/>
                <w:sz w:val="18"/>
                <w:szCs w:val="18"/>
              </w:rPr>
              <w:t>基本</w:t>
            </w:r>
          </w:p>
          <w:p w:rsidR="008D4335" w:rsidRDefault="008D4335" w:rsidP="00B8350B">
            <w:pPr>
              <w:spacing w:line="264" w:lineRule="auto"/>
              <w:rPr>
                <w:rFonts w:ascii="宋体" w:hAnsi="宋体"/>
                <w:sz w:val="18"/>
                <w:szCs w:val="18"/>
              </w:rPr>
            </w:pPr>
            <w:r>
              <w:rPr>
                <w:rFonts w:ascii="宋体" w:hAnsi="宋体"/>
                <w:sz w:val="18"/>
                <w:szCs w:val="18"/>
              </w:rPr>
              <w:t>准则</w:t>
            </w: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第四十二条</w:t>
            </w:r>
          </w:p>
          <w:p w:rsidR="008D4335" w:rsidRDefault="008D4335" w:rsidP="00B8350B">
            <w:pPr>
              <w:spacing w:line="264" w:lineRule="auto"/>
              <w:rPr>
                <w:rFonts w:ascii="宋体" w:hAnsi="宋体"/>
                <w:sz w:val="18"/>
                <w:szCs w:val="18"/>
              </w:rPr>
            </w:pPr>
          </w:p>
        </w:tc>
        <w:tc>
          <w:tcPr>
            <w:tcW w:w="1998" w:type="dxa"/>
          </w:tcPr>
          <w:p w:rsidR="008D4335" w:rsidRDefault="008D4335" w:rsidP="00B8350B">
            <w:pPr>
              <w:spacing w:line="264" w:lineRule="auto"/>
              <w:rPr>
                <w:rFonts w:ascii="宋体" w:hAnsi="宋体"/>
                <w:sz w:val="18"/>
                <w:szCs w:val="18"/>
              </w:rPr>
            </w:pPr>
          </w:p>
        </w:tc>
        <w:tc>
          <w:tcPr>
            <w:tcW w:w="2130" w:type="dxa"/>
            <w:gridSpan w:val="2"/>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hint="eastAsia"/>
                <w:sz w:val="18"/>
                <w:szCs w:val="18"/>
              </w:rPr>
              <w:t>（一）</w:t>
            </w:r>
            <w:r>
              <w:rPr>
                <w:rFonts w:ascii="宋体" w:hAnsi="宋体"/>
                <w:sz w:val="18"/>
                <w:szCs w:val="18"/>
              </w:rPr>
              <w:t>按照购置资产时所付出的对价的公允价值计量</w:t>
            </w:r>
          </w:p>
          <w:p w:rsidR="008D4335" w:rsidRDefault="008D4335" w:rsidP="00B8350B">
            <w:pPr>
              <w:spacing w:line="264" w:lineRule="auto"/>
              <w:rPr>
                <w:rFonts w:ascii="宋体" w:hAnsi="宋体"/>
                <w:sz w:val="18"/>
                <w:szCs w:val="18"/>
              </w:rPr>
            </w:pPr>
            <w:r>
              <w:rPr>
                <w:rFonts w:ascii="宋体" w:hAnsi="宋体" w:hint="eastAsia"/>
                <w:sz w:val="18"/>
                <w:szCs w:val="18"/>
              </w:rPr>
              <w:t>（五）公允价值定义</w:t>
            </w:r>
          </w:p>
        </w:tc>
      </w:tr>
      <w:tr w:rsidR="008D4335" w:rsidTr="00B8350B">
        <w:tc>
          <w:tcPr>
            <w:tcW w:w="1008" w:type="dxa"/>
            <w:vMerge w:val="restart"/>
          </w:tcPr>
          <w:p w:rsidR="008D4335" w:rsidRDefault="008D4335" w:rsidP="00B8350B">
            <w:pPr>
              <w:spacing w:line="264" w:lineRule="auto"/>
              <w:rPr>
                <w:rFonts w:ascii="宋体" w:hAnsi="宋体"/>
                <w:sz w:val="18"/>
                <w:szCs w:val="18"/>
              </w:rPr>
            </w:pPr>
            <w:r>
              <w:rPr>
                <w:rFonts w:ascii="宋体" w:hAnsi="宋体"/>
                <w:sz w:val="18"/>
                <w:szCs w:val="18"/>
              </w:rPr>
              <w:t>第2号——长期股权投资</w:t>
            </w:r>
          </w:p>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第四条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r>
              <w:rPr>
                <w:rFonts w:ascii="宋体" w:hAnsi="宋体"/>
                <w:sz w:val="18"/>
                <w:szCs w:val="18"/>
              </w:rPr>
              <w:t>（二）以发行权益性证券取得的长期股权投资，应当按照发行权益性证券的公允价值作为初始投资成本。</w:t>
            </w:r>
          </w:p>
        </w:tc>
        <w:tc>
          <w:tcPr>
            <w:tcW w:w="2892" w:type="dxa"/>
          </w:tcPr>
          <w:p w:rsidR="008D4335" w:rsidRDefault="008D4335" w:rsidP="00B8350B">
            <w:pPr>
              <w:spacing w:line="264" w:lineRule="auto"/>
              <w:rPr>
                <w:rFonts w:ascii="宋体" w:hAnsi="宋体"/>
                <w:sz w:val="18"/>
                <w:szCs w:val="18"/>
              </w:rPr>
            </w:pPr>
          </w:p>
        </w:tc>
      </w:tr>
      <w:tr w:rsidR="008D4335" w:rsidTr="00B8350B">
        <w:tc>
          <w:tcPr>
            <w:tcW w:w="1008" w:type="dxa"/>
            <w:vMerge/>
          </w:tcPr>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hint="eastAsia"/>
                <w:sz w:val="18"/>
                <w:szCs w:val="18"/>
              </w:rPr>
              <w:t>第五条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r>
              <w:rPr>
                <w:rFonts w:ascii="宋体" w:hAnsi="宋体" w:hint="eastAsia"/>
                <w:sz w:val="18"/>
                <w:szCs w:val="18"/>
              </w:rPr>
              <w:t>（二）</w:t>
            </w:r>
            <w:r>
              <w:rPr>
                <w:rFonts w:ascii="宋体" w:hAnsi="宋体"/>
                <w:sz w:val="18"/>
                <w:szCs w:val="18"/>
              </w:rPr>
              <w:t>公允价值不能可靠计量</w:t>
            </w:r>
          </w:p>
        </w:tc>
        <w:tc>
          <w:tcPr>
            <w:tcW w:w="2892" w:type="dxa"/>
          </w:tcPr>
          <w:p w:rsidR="008D4335" w:rsidRDefault="008D4335" w:rsidP="00B8350B">
            <w:pPr>
              <w:spacing w:line="264" w:lineRule="auto"/>
              <w:rPr>
                <w:rFonts w:ascii="宋体" w:hAnsi="宋体"/>
                <w:sz w:val="18"/>
                <w:szCs w:val="18"/>
              </w:rPr>
            </w:pPr>
          </w:p>
        </w:tc>
      </w:tr>
      <w:tr w:rsidR="008D4335" w:rsidTr="00B8350B">
        <w:tc>
          <w:tcPr>
            <w:tcW w:w="1008" w:type="dxa"/>
            <w:vMerge/>
          </w:tcPr>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第九条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被投资单位可辨认净资产公允价值</w:t>
            </w:r>
          </w:p>
        </w:tc>
      </w:tr>
      <w:tr w:rsidR="008D4335" w:rsidTr="00B8350B">
        <w:tc>
          <w:tcPr>
            <w:tcW w:w="1008" w:type="dxa"/>
            <w:vMerge/>
          </w:tcPr>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第十条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投资性房地产的公允价值</w:t>
            </w:r>
          </w:p>
        </w:tc>
      </w:tr>
      <w:tr w:rsidR="008D4335" w:rsidTr="00B8350B">
        <w:tc>
          <w:tcPr>
            <w:tcW w:w="1008" w:type="dxa"/>
          </w:tcPr>
          <w:p w:rsidR="008D4335" w:rsidRDefault="008D4335" w:rsidP="00B8350B">
            <w:pPr>
              <w:spacing w:line="264" w:lineRule="auto"/>
              <w:rPr>
                <w:rFonts w:ascii="宋体" w:hAnsi="宋体"/>
                <w:sz w:val="18"/>
                <w:szCs w:val="18"/>
              </w:rPr>
            </w:pPr>
            <w:r>
              <w:rPr>
                <w:rFonts w:ascii="宋体" w:hAnsi="宋体"/>
                <w:sz w:val="18"/>
                <w:szCs w:val="18"/>
              </w:rPr>
              <w:t>第5号—生物资产</w:t>
            </w: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第二十二条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对生物资产采用公允价值计量</w:t>
            </w:r>
          </w:p>
        </w:tc>
      </w:tr>
      <w:tr w:rsidR="008D4335" w:rsidTr="00B8350B">
        <w:trPr>
          <w:trHeight w:val="1627"/>
        </w:trPr>
        <w:tc>
          <w:tcPr>
            <w:tcW w:w="1008" w:type="dxa"/>
            <w:vMerge w:val="restart"/>
          </w:tcPr>
          <w:p w:rsidR="008D4335" w:rsidRDefault="008D4335" w:rsidP="00B8350B">
            <w:pPr>
              <w:spacing w:line="264" w:lineRule="auto"/>
              <w:rPr>
                <w:rFonts w:ascii="宋体" w:hAnsi="宋体"/>
                <w:sz w:val="18"/>
                <w:szCs w:val="18"/>
              </w:rPr>
            </w:pPr>
            <w:r>
              <w:rPr>
                <w:rFonts w:ascii="宋体" w:hAnsi="宋体"/>
                <w:sz w:val="18"/>
                <w:szCs w:val="18"/>
              </w:rPr>
              <w:t>第</w:t>
            </w:r>
            <w:r w:rsidR="009F211F">
              <w:rPr>
                <w:rFonts w:ascii="宋体" w:hAnsi="宋体"/>
                <w:sz w:val="18"/>
                <w:szCs w:val="18"/>
              </w:rPr>
              <w:t>6</w:t>
            </w:r>
            <w:r>
              <w:rPr>
                <w:rFonts w:ascii="宋体" w:hAnsi="宋体"/>
                <w:sz w:val="18"/>
                <w:szCs w:val="18"/>
              </w:rPr>
              <w:t>号——非货币性资产交换</w:t>
            </w: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第三条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r>
              <w:rPr>
                <w:rFonts w:ascii="宋体" w:hAnsi="宋体"/>
                <w:sz w:val="18"/>
                <w:szCs w:val="18"/>
              </w:rPr>
              <w:t>应当以公允价值和应支付的相关税费作为换入资产的成本，公允价值与换出资产账面价值的差额计入当期损益</w:t>
            </w:r>
          </w:p>
        </w:tc>
        <w:tc>
          <w:tcPr>
            <w:tcW w:w="2892" w:type="dxa"/>
          </w:tcPr>
          <w:p w:rsidR="008D4335" w:rsidRDefault="008D4335" w:rsidP="00B8350B">
            <w:pPr>
              <w:spacing w:line="264" w:lineRule="auto"/>
              <w:rPr>
                <w:rFonts w:ascii="宋体" w:hAnsi="宋体"/>
                <w:sz w:val="18"/>
                <w:szCs w:val="18"/>
              </w:rPr>
            </w:pPr>
          </w:p>
        </w:tc>
      </w:tr>
      <w:tr w:rsidR="008D4335" w:rsidTr="00B8350B">
        <w:trPr>
          <w:trHeight w:val="1080"/>
        </w:trPr>
        <w:tc>
          <w:tcPr>
            <w:tcW w:w="1008" w:type="dxa"/>
            <w:vMerge/>
          </w:tcPr>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bCs/>
                <w:sz w:val="18"/>
                <w:szCs w:val="18"/>
              </w:rPr>
              <w:t>第七条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r>
              <w:rPr>
                <w:rFonts w:ascii="宋体" w:hAnsi="宋体" w:hint="eastAsia"/>
                <w:sz w:val="18"/>
                <w:szCs w:val="18"/>
              </w:rPr>
              <w:t>补价不含增值税。补价与公允价值具有同质性；公允价值不含增值税，补价不含增值税</w:t>
            </w:r>
          </w:p>
        </w:tc>
        <w:tc>
          <w:tcPr>
            <w:tcW w:w="2892" w:type="dxa"/>
          </w:tcPr>
          <w:p w:rsidR="008D4335" w:rsidRDefault="008D4335" w:rsidP="00B8350B">
            <w:pPr>
              <w:spacing w:line="264" w:lineRule="auto"/>
              <w:rPr>
                <w:rFonts w:ascii="宋体" w:hAnsi="宋体"/>
                <w:sz w:val="18"/>
                <w:szCs w:val="18"/>
              </w:rPr>
            </w:pPr>
          </w:p>
        </w:tc>
      </w:tr>
      <w:tr w:rsidR="008D4335" w:rsidTr="00B8350B">
        <w:tc>
          <w:tcPr>
            <w:tcW w:w="1008" w:type="dxa"/>
            <w:vMerge w:val="restart"/>
          </w:tcPr>
          <w:p w:rsidR="008D4335" w:rsidRDefault="008D4335" w:rsidP="00B8350B">
            <w:pPr>
              <w:spacing w:line="264" w:lineRule="auto"/>
              <w:rPr>
                <w:rFonts w:ascii="宋体" w:hAnsi="宋体"/>
                <w:sz w:val="18"/>
                <w:szCs w:val="18"/>
              </w:rPr>
            </w:pPr>
            <w:r>
              <w:rPr>
                <w:rFonts w:ascii="宋体" w:hAnsi="宋体"/>
                <w:sz w:val="18"/>
                <w:szCs w:val="18"/>
              </w:rPr>
              <w:t xml:space="preserve">第8号——资产减值 </w:t>
            </w:r>
          </w:p>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第六条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可收回金额应当根据资产的公允价值减去处置费用后的净额与资产预计未来现金流量的现值两者之间较高者确定</w:t>
            </w:r>
            <w:r>
              <w:rPr>
                <w:rFonts w:ascii="宋体" w:hAnsi="宋体" w:hint="eastAsia"/>
                <w:sz w:val="18"/>
                <w:szCs w:val="18"/>
              </w:rPr>
              <w:t>（由于资产账面价值有些含增值税）。</w:t>
            </w:r>
          </w:p>
        </w:tc>
      </w:tr>
      <w:tr w:rsidR="008D4335" w:rsidTr="00B8350B">
        <w:tc>
          <w:tcPr>
            <w:tcW w:w="1008" w:type="dxa"/>
            <w:vMerge/>
          </w:tcPr>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第二十四条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资产组或者资产组组合的公允价值</w:t>
            </w:r>
          </w:p>
        </w:tc>
      </w:tr>
      <w:tr w:rsidR="008D4335" w:rsidTr="00B8350B">
        <w:tc>
          <w:tcPr>
            <w:tcW w:w="1008" w:type="dxa"/>
          </w:tcPr>
          <w:p w:rsidR="008D4335" w:rsidRDefault="008D4335" w:rsidP="00B8350B">
            <w:pPr>
              <w:spacing w:line="264" w:lineRule="auto"/>
              <w:rPr>
                <w:rFonts w:ascii="宋体" w:hAnsi="宋体"/>
                <w:sz w:val="18"/>
                <w:szCs w:val="18"/>
              </w:rPr>
            </w:pPr>
            <w:r>
              <w:rPr>
                <w:rFonts w:ascii="宋体" w:hAnsi="宋体"/>
                <w:sz w:val="18"/>
                <w:szCs w:val="18"/>
              </w:rPr>
              <w:t>第10号——企业年金基金</w:t>
            </w: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第六条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r>
              <w:rPr>
                <w:rFonts w:ascii="宋体" w:hAnsi="宋体"/>
                <w:sz w:val="18"/>
                <w:szCs w:val="18"/>
              </w:rPr>
              <w:t>公允价值与原账面价值的差额计入当期损益</w:t>
            </w:r>
          </w:p>
        </w:tc>
        <w:tc>
          <w:tcPr>
            <w:tcW w:w="2892" w:type="dxa"/>
          </w:tcPr>
          <w:p w:rsidR="008D4335" w:rsidRDefault="008D4335" w:rsidP="00B8350B">
            <w:pPr>
              <w:spacing w:line="264" w:lineRule="auto"/>
              <w:rPr>
                <w:rFonts w:ascii="宋体" w:hAnsi="宋体"/>
                <w:sz w:val="18"/>
                <w:szCs w:val="18"/>
              </w:rPr>
            </w:pPr>
          </w:p>
        </w:tc>
      </w:tr>
      <w:tr w:rsidR="008D4335" w:rsidTr="00B8350B">
        <w:trPr>
          <w:trHeight w:val="920"/>
        </w:trPr>
        <w:tc>
          <w:tcPr>
            <w:tcW w:w="1008" w:type="dxa"/>
            <w:vMerge w:val="restart"/>
          </w:tcPr>
          <w:p w:rsidR="008D4335" w:rsidRDefault="008D4335" w:rsidP="00B8350B">
            <w:pPr>
              <w:spacing w:line="264" w:lineRule="auto"/>
              <w:rPr>
                <w:rFonts w:ascii="宋体" w:hAnsi="宋体"/>
                <w:sz w:val="18"/>
                <w:szCs w:val="18"/>
              </w:rPr>
            </w:pPr>
            <w:r>
              <w:rPr>
                <w:rFonts w:ascii="宋体" w:hAnsi="宋体" w:hint="eastAsia"/>
                <w:sz w:val="18"/>
                <w:szCs w:val="18"/>
              </w:rPr>
              <w:t>第11号</w:t>
            </w:r>
            <w:r>
              <w:rPr>
                <w:rFonts w:ascii="宋体" w:hAnsi="宋体"/>
                <w:sz w:val="18"/>
                <w:szCs w:val="18"/>
              </w:rPr>
              <w:t>——</w:t>
            </w:r>
            <w:r>
              <w:rPr>
                <w:rFonts w:ascii="宋体" w:hAnsi="宋体" w:hint="eastAsia"/>
                <w:sz w:val="18"/>
                <w:szCs w:val="18"/>
              </w:rPr>
              <w:t>股份支付</w:t>
            </w:r>
          </w:p>
        </w:tc>
        <w:tc>
          <w:tcPr>
            <w:tcW w:w="1260" w:type="dxa"/>
          </w:tcPr>
          <w:p w:rsidR="008D4335" w:rsidRDefault="008D4335" w:rsidP="00B8350B">
            <w:pPr>
              <w:widowControl/>
              <w:spacing w:line="264" w:lineRule="auto"/>
              <w:rPr>
                <w:rFonts w:ascii="宋体" w:hAnsi="宋体"/>
                <w:sz w:val="18"/>
                <w:szCs w:val="18"/>
              </w:rPr>
            </w:pPr>
            <w:r>
              <w:rPr>
                <w:rFonts w:ascii="宋体" w:hAnsi="宋体"/>
                <w:sz w:val="18"/>
                <w:szCs w:val="18"/>
              </w:rPr>
              <w:t>第四条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以权益结算的股份支付换取职工提供服务的，应当以授予职工权益工具的公允价值计量。</w:t>
            </w:r>
          </w:p>
        </w:tc>
      </w:tr>
      <w:tr w:rsidR="008D4335" w:rsidTr="00B8350B">
        <w:tc>
          <w:tcPr>
            <w:tcW w:w="1008" w:type="dxa"/>
            <w:vMerge/>
          </w:tcPr>
          <w:p w:rsidR="008D4335" w:rsidRDefault="008D4335" w:rsidP="00B8350B">
            <w:pPr>
              <w:spacing w:line="264" w:lineRule="auto"/>
              <w:rPr>
                <w:rFonts w:ascii="宋体" w:hAnsi="宋体"/>
                <w:sz w:val="18"/>
                <w:szCs w:val="18"/>
              </w:rPr>
            </w:pPr>
          </w:p>
        </w:tc>
        <w:tc>
          <w:tcPr>
            <w:tcW w:w="1260" w:type="dxa"/>
          </w:tcPr>
          <w:p w:rsidR="008D4335" w:rsidRDefault="008D4335" w:rsidP="00B8350B">
            <w:pPr>
              <w:widowControl/>
              <w:spacing w:line="264" w:lineRule="auto"/>
              <w:rPr>
                <w:rFonts w:ascii="宋体" w:hAnsi="宋体"/>
                <w:sz w:val="18"/>
                <w:szCs w:val="18"/>
              </w:rPr>
            </w:pPr>
            <w:r>
              <w:rPr>
                <w:rFonts w:ascii="宋体" w:hAnsi="宋体"/>
                <w:sz w:val="18"/>
                <w:szCs w:val="18"/>
              </w:rPr>
              <w:t>第</w:t>
            </w:r>
            <w:r>
              <w:rPr>
                <w:rFonts w:ascii="宋体" w:hAnsi="宋体" w:hint="eastAsia"/>
                <w:sz w:val="18"/>
                <w:szCs w:val="18"/>
              </w:rPr>
              <w:t>十条</w:t>
            </w:r>
          </w:p>
          <w:p w:rsidR="008D4335" w:rsidRDefault="008D4335" w:rsidP="00B8350B">
            <w:pPr>
              <w:spacing w:line="264" w:lineRule="auto"/>
              <w:rPr>
                <w:rFonts w:ascii="宋体" w:hAnsi="宋体"/>
                <w:sz w:val="18"/>
                <w:szCs w:val="18"/>
              </w:rPr>
            </w:pP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bCs/>
                <w:sz w:val="18"/>
                <w:szCs w:val="18"/>
              </w:rPr>
              <w:t>应当按照企业承担的以股份或其他权益工具为基础计算确定的负债的公允价值计量</w:t>
            </w:r>
          </w:p>
        </w:tc>
      </w:tr>
      <w:tr w:rsidR="008D4335" w:rsidTr="00B8350B">
        <w:tc>
          <w:tcPr>
            <w:tcW w:w="1008" w:type="dxa"/>
            <w:vMerge w:val="restart"/>
          </w:tcPr>
          <w:p w:rsidR="008D4335" w:rsidRDefault="008D4335" w:rsidP="00B8350B">
            <w:pPr>
              <w:pStyle w:val="1"/>
              <w:spacing w:before="0" w:after="0" w:line="264" w:lineRule="auto"/>
              <w:rPr>
                <w:rFonts w:ascii="宋体" w:hAnsi="宋体"/>
                <w:b w:val="0"/>
                <w:kern w:val="21"/>
                <w:sz w:val="18"/>
                <w:szCs w:val="18"/>
              </w:rPr>
            </w:pPr>
            <w:r>
              <w:rPr>
                <w:rFonts w:ascii="宋体" w:hAnsi="宋体"/>
                <w:b w:val="0"/>
                <w:kern w:val="21"/>
                <w:sz w:val="18"/>
                <w:szCs w:val="18"/>
              </w:rPr>
              <w:t>第12号——债务重组</w:t>
            </w:r>
          </w:p>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bCs/>
                <w:sz w:val="18"/>
                <w:szCs w:val="18"/>
              </w:rPr>
              <w:t>第五条</w:t>
            </w:r>
            <w:r>
              <w:rPr>
                <w:rFonts w:ascii="宋体" w:hAnsi="宋体" w:hint="eastAsia"/>
                <w:sz w:val="18"/>
                <w:szCs w:val="18"/>
              </w:rPr>
              <w:t xml:space="preserve"> </w:t>
            </w:r>
          </w:p>
        </w:tc>
        <w:tc>
          <w:tcPr>
            <w:tcW w:w="2005" w:type="dxa"/>
            <w:gridSpan w:val="2"/>
          </w:tcPr>
          <w:p w:rsidR="008D4335" w:rsidRDefault="008D4335" w:rsidP="00B8350B">
            <w:pPr>
              <w:spacing w:line="264" w:lineRule="auto"/>
              <w:rPr>
                <w:rFonts w:ascii="宋体" w:hAnsi="宋体"/>
                <w:sz w:val="18"/>
                <w:szCs w:val="18"/>
              </w:rPr>
            </w:pPr>
            <w:r>
              <w:rPr>
                <w:rFonts w:ascii="宋体" w:hAnsi="宋体"/>
                <w:sz w:val="18"/>
                <w:szCs w:val="18"/>
              </w:rPr>
              <w:t>以非现金资产清偿债务的，债务人应当将重组债务的账面价值与转让的非现金资产公允价值之间的差额，计入当期损益。</w:t>
            </w:r>
          </w:p>
        </w:tc>
        <w:tc>
          <w:tcPr>
            <w:tcW w:w="2123" w:type="dxa"/>
          </w:tcPr>
          <w:p w:rsidR="008D4335" w:rsidRDefault="008D4335" w:rsidP="00B8350B">
            <w:pPr>
              <w:spacing w:line="264" w:lineRule="auto"/>
              <w:rPr>
                <w:rFonts w:ascii="宋体" w:hAnsi="宋体"/>
                <w:sz w:val="18"/>
                <w:szCs w:val="18"/>
              </w:rPr>
            </w:pPr>
            <w:r>
              <w:rPr>
                <w:rFonts w:ascii="宋体" w:hAnsi="宋体"/>
                <w:sz w:val="18"/>
                <w:szCs w:val="18"/>
              </w:rPr>
              <w:t>转让的非现金资产公允价值与其账面价值之间的差额，计入当期损益</w:t>
            </w:r>
          </w:p>
        </w:tc>
        <w:tc>
          <w:tcPr>
            <w:tcW w:w="2892" w:type="dxa"/>
          </w:tcPr>
          <w:p w:rsidR="008D4335" w:rsidRDefault="008D4335" w:rsidP="00B8350B">
            <w:pPr>
              <w:spacing w:line="264" w:lineRule="auto"/>
              <w:rPr>
                <w:rFonts w:ascii="宋体" w:hAnsi="宋体"/>
                <w:sz w:val="18"/>
                <w:szCs w:val="18"/>
              </w:rPr>
            </w:pPr>
          </w:p>
        </w:tc>
      </w:tr>
      <w:tr w:rsidR="008D4335" w:rsidTr="00B8350B">
        <w:tc>
          <w:tcPr>
            <w:tcW w:w="1008" w:type="dxa"/>
            <w:vMerge/>
          </w:tcPr>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bCs/>
                <w:sz w:val="18"/>
                <w:szCs w:val="18"/>
              </w:rPr>
              <w:t>第十条</w:t>
            </w:r>
          </w:p>
        </w:tc>
        <w:tc>
          <w:tcPr>
            <w:tcW w:w="2005" w:type="dxa"/>
            <w:gridSpan w:val="2"/>
          </w:tcPr>
          <w:p w:rsidR="008D4335" w:rsidRDefault="008D4335" w:rsidP="00B8350B">
            <w:pPr>
              <w:spacing w:line="264" w:lineRule="auto"/>
              <w:rPr>
                <w:rFonts w:ascii="宋体" w:hAnsi="宋体"/>
                <w:sz w:val="18"/>
                <w:szCs w:val="18"/>
              </w:rPr>
            </w:pPr>
            <w:r>
              <w:rPr>
                <w:rFonts w:ascii="宋体" w:hAnsi="宋体"/>
                <w:sz w:val="18"/>
                <w:szCs w:val="18"/>
              </w:rPr>
              <w:t>重组债权的账面余额与受让的非现金资产</w:t>
            </w:r>
            <w:r>
              <w:rPr>
                <w:rFonts w:ascii="宋体" w:hAnsi="宋体"/>
                <w:sz w:val="18"/>
                <w:szCs w:val="18"/>
              </w:rPr>
              <w:lastRenderedPageBreak/>
              <w:t>的公允价值之间的差额</w:t>
            </w:r>
          </w:p>
        </w:tc>
        <w:tc>
          <w:tcPr>
            <w:tcW w:w="2123" w:type="dxa"/>
          </w:tcPr>
          <w:p w:rsidR="008D4335" w:rsidRDefault="008D4335" w:rsidP="00B8350B">
            <w:pPr>
              <w:spacing w:line="264" w:lineRule="auto"/>
              <w:rPr>
                <w:rFonts w:ascii="宋体" w:hAnsi="宋体"/>
                <w:sz w:val="18"/>
                <w:szCs w:val="18"/>
              </w:rPr>
            </w:pPr>
            <w:r>
              <w:rPr>
                <w:rFonts w:ascii="宋体" w:hAnsi="宋体"/>
                <w:sz w:val="18"/>
                <w:szCs w:val="18"/>
              </w:rPr>
              <w:lastRenderedPageBreak/>
              <w:t>以非现金资产清偿债务的，债权人应当对受让</w:t>
            </w:r>
            <w:r>
              <w:rPr>
                <w:rFonts w:ascii="宋体" w:hAnsi="宋体"/>
                <w:sz w:val="18"/>
                <w:szCs w:val="18"/>
              </w:rPr>
              <w:lastRenderedPageBreak/>
              <w:t>的非现金资产按其公允价值入账</w:t>
            </w:r>
          </w:p>
        </w:tc>
        <w:tc>
          <w:tcPr>
            <w:tcW w:w="2892" w:type="dxa"/>
          </w:tcPr>
          <w:p w:rsidR="008D4335" w:rsidRDefault="008D4335" w:rsidP="00B8350B">
            <w:pPr>
              <w:spacing w:line="264" w:lineRule="auto"/>
              <w:rPr>
                <w:rFonts w:ascii="宋体" w:hAnsi="宋体"/>
                <w:sz w:val="18"/>
                <w:szCs w:val="18"/>
              </w:rPr>
            </w:pPr>
          </w:p>
        </w:tc>
      </w:tr>
      <w:tr w:rsidR="008D4335" w:rsidTr="00B8350B">
        <w:trPr>
          <w:trHeight w:val="734"/>
        </w:trPr>
        <w:tc>
          <w:tcPr>
            <w:tcW w:w="1008" w:type="dxa"/>
            <w:vMerge/>
          </w:tcPr>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bCs/>
                <w:sz w:val="18"/>
                <w:szCs w:val="18"/>
              </w:rPr>
              <w:t>第十四条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（五）债务重组中转让的非现金资产的公允价值</w:t>
            </w:r>
          </w:p>
        </w:tc>
      </w:tr>
      <w:tr w:rsidR="008D4335" w:rsidTr="00B8350B">
        <w:tc>
          <w:tcPr>
            <w:tcW w:w="1008" w:type="dxa"/>
          </w:tcPr>
          <w:p w:rsidR="008D4335" w:rsidRDefault="008D4335" w:rsidP="00B8350B">
            <w:pPr>
              <w:spacing w:line="264" w:lineRule="auto"/>
              <w:rPr>
                <w:rFonts w:ascii="宋体" w:hAnsi="宋体"/>
                <w:sz w:val="18"/>
                <w:szCs w:val="18"/>
              </w:rPr>
            </w:pPr>
            <w:r>
              <w:rPr>
                <w:rFonts w:ascii="宋体" w:hAnsi="宋体"/>
                <w:sz w:val="18"/>
                <w:szCs w:val="18"/>
              </w:rPr>
              <w:t>第14号——收入</w:t>
            </w:r>
          </w:p>
        </w:tc>
        <w:tc>
          <w:tcPr>
            <w:tcW w:w="1260" w:type="dxa"/>
          </w:tcPr>
          <w:p w:rsidR="008D4335" w:rsidRDefault="008D4335" w:rsidP="00B8350B">
            <w:pPr>
              <w:spacing w:line="264" w:lineRule="auto"/>
              <w:rPr>
                <w:rFonts w:ascii="宋体" w:hAnsi="宋体"/>
                <w:sz w:val="18"/>
                <w:szCs w:val="18"/>
              </w:rPr>
            </w:pPr>
            <w:r>
              <w:rPr>
                <w:rFonts w:ascii="宋体" w:hAnsi="宋体"/>
                <w:bCs/>
                <w:sz w:val="18"/>
                <w:szCs w:val="18"/>
              </w:rPr>
              <w:t>第五条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r>
              <w:rPr>
                <w:rFonts w:ascii="宋体" w:hAnsi="宋体"/>
                <w:sz w:val="18"/>
                <w:szCs w:val="18"/>
              </w:rPr>
              <w:t>应按照应收的合同或协议价款的公允价值确定销售商品收入金额</w:t>
            </w:r>
          </w:p>
        </w:tc>
        <w:tc>
          <w:tcPr>
            <w:tcW w:w="2892" w:type="dxa"/>
          </w:tcPr>
          <w:p w:rsidR="008D4335" w:rsidRDefault="008D4335" w:rsidP="00B8350B">
            <w:pPr>
              <w:spacing w:line="264" w:lineRule="auto"/>
              <w:rPr>
                <w:rFonts w:ascii="宋体" w:hAnsi="宋体"/>
                <w:sz w:val="18"/>
                <w:szCs w:val="18"/>
              </w:rPr>
            </w:pPr>
          </w:p>
        </w:tc>
      </w:tr>
      <w:tr w:rsidR="008D4335" w:rsidTr="00B8350B">
        <w:tc>
          <w:tcPr>
            <w:tcW w:w="1008" w:type="dxa"/>
          </w:tcPr>
          <w:p w:rsidR="008D4335" w:rsidRDefault="008D4335" w:rsidP="00B8350B">
            <w:pPr>
              <w:pStyle w:val="1"/>
              <w:spacing w:before="0" w:after="0" w:line="264" w:lineRule="auto"/>
              <w:rPr>
                <w:rFonts w:ascii="宋体" w:hAnsi="宋体"/>
                <w:b w:val="0"/>
                <w:kern w:val="0"/>
                <w:sz w:val="18"/>
                <w:szCs w:val="18"/>
              </w:rPr>
            </w:pPr>
            <w:r>
              <w:rPr>
                <w:rFonts w:ascii="宋体" w:hAnsi="宋体"/>
                <w:b w:val="0"/>
                <w:kern w:val="0"/>
                <w:sz w:val="18"/>
                <w:szCs w:val="18"/>
              </w:rPr>
              <w:t>第16号—政府补助</w:t>
            </w:r>
          </w:p>
        </w:tc>
        <w:tc>
          <w:tcPr>
            <w:tcW w:w="1260" w:type="dxa"/>
          </w:tcPr>
          <w:p w:rsidR="008D4335" w:rsidRDefault="008D4335" w:rsidP="00B8350B">
            <w:pPr>
              <w:spacing w:line="264" w:lineRule="auto"/>
              <w:rPr>
                <w:rFonts w:ascii="宋体" w:hAnsi="宋体"/>
                <w:sz w:val="18"/>
                <w:szCs w:val="18"/>
              </w:rPr>
            </w:pPr>
            <w:r>
              <w:rPr>
                <w:rFonts w:ascii="宋体" w:hAnsi="宋体"/>
                <w:bCs/>
                <w:sz w:val="18"/>
                <w:szCs w:val="18"/>
              </w:rPr>
              <w:t>第六条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政府补助为非货币性资产的，应当按照公允价值计量</w:t>
            </w:r>
          </w:p>
        </w:tc>
      </w:tr>
      <w:tr w:rsidR="008D4335" w:rsidTr="00B8350B">
        <w:trPr>
          <w:trHeight w:val="1015"/>
        </w:trPr>
        <w:tc>
          <w:tcPr>
            <w:tcW w:w="1008" w:type="dxa"/>
            <w:vMerge w:val="restart"/>
          </w:tcPr>
          <w:p w:rsidR="008D4335" w:rsidRDefault="008D4335" w:rsidP="00B8350B">
            <w:pPr>
              <w:pStyle w:val="1"/>
              <w:spacing w:before="0" w:after="0" w:line="264" w:lineRule="auto"/>
              <w:rPr>
                <w:rFonts w:ascii="宋体" w:hAnsi="宋体"/>
                <w:b w:val="0"/>
                <w:sz w:val="18"/>
                <w:szCs w:val="18"/>
              </w:rPr>
            </w:pPr>
            <w:r>
              <w:rPr>
                <w:rFonts w:ascii="宋体" w:hAnsi="宋体"/>
                <w:b w:val="0"/>
                <w:bCs w:val="0"/>
                <w:sz w:val="18"/>
                <w:szCs w:val="18"/>
              </w:rPr>
              <w:t>第20号—企业合并</w:t>
            </w:r>
          </w:p>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第十二条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r>
              <w:rPr>
                <w:rFonts w:ascii="宋体" w:hAnsi="宋体"/>
                <w:sz w:val="18"/>
                <w:szCs w:val="18"/>
              </w:rPr>
              <w:t>公允价值与其账面价值的差额，计入当期损益</w:t>
            </w: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购买方在购买日对作为企业合并对价付出的资产、发生或承担的负债应当按照公允价值计量</w:t>
            </w:r>
          </w:p>
        </w:tc>
      </w:tr>
      <w:tr w:rsidR="008D4335" w:rsidTr="00B8350B">
        <w:trPr>
          <w:trHeight w:val="1507"/>
        </w:trPr>
        <w:tc>
          <w:tcPr>
            <w:tcW w:w="1008" w:type="dxa"/>
            <w:vMerge/>
          </w:tcPr>
          <w:p w:rsidR="008D4335" w:rsidRDefault="008D4335" w:rsidP="00B8350B">
            <w:pPr>
              <w:pStyle w:val="1"/>
              <w:spacing w:before="0" w:after="0" w:line="264" w:lineRule="auto"/>
              <w:rPr>
                <w:rFonts w:ascii="宋体" w:hAnsi="宋体"/>
                <w:b w:val="0"/>
                <w:bCs w:val="0"/>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第十三条</w:t>
            </w:r>
          </w:p>
        </w:tc>
        <w:tc>
          <w:tcPr>
            <w:tcW w:w="2005" w:type="dxa"/>
            <w:gridSpan w:val="2"/>
          </w:tcPr>
          <w:p w:rsidR="008D4335" w:rsidRDefault="008D4335" w:rsidP="00B8350B">
            <w:pPr>
              <w:spacing w:line="264" w:lineRule="auto"/>
              <w:rPr>
                <w:rFonts w:ascii="宋体" w:hAnsi="宋体"/>
                <w:sz w:val="18"/>
                <w:szCs w:val="18"/>
              </w:rPr>
            </w:pPr>
            <w:r>
              <w:rPr>
                <w:rFonts w:ascii="宋体" w:hAnsi="宋体"/>
                <w:sz w:val="18"/>
                <w:szCs w:val="18"/>
              </w:rPr>
              <w:t>（一）购买方对合并成本大于合并中取得的被购买方可辨认净资产公允价值份额的差额，应当确认为商誉</w:t>
            </w: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p>
        </w:tc>
      </w:tr>
      <w:tr w:rsidR="008D4335" w:rsidTr="00B8350B">
        <w:trPr>
          <w:trHeight w:val="1178"/>
        </w:trPr>
        <w:tc>
          <w:tcPr>
            <w:tcW w:w="1008" w:type="dxa"/>
            <w:vMerge/>
          </w:tcPr>
          <w:p w:rsidR="008D4335" w:rsidRDefault="008D4335" w:rsidP="00B8350B">
            <w:pPr>
              <w:pStyle w:val="1"/>
              <w:spacing w:before="0" w:after="0" w:line="264" w:lineRule="auto"/>
              <w:rPr>
                <w:rFonts w:ascii="宋体" w:hAnsi="宋体"/>
                <w:b w:val="0"/>
                <w:bCs w:val="0"/>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hint="eastAsia"/>
                <w:sz w:val="18"/>
                <w:szCs w:val="18"/>
              </w:rPr>
              <w:t>第十四条</w:t>
            </w:r>
          </w:p>
        </w:tc>
        <w:tc>
          <w:tcPr>
            <w:tcW w:w="2005" w:type="dxa"/>
            <w:gridSpan w:val="2"/>
          </w:tcPr>
          <w:p w:rsidR="008D4335" w:rsidRDefault="008D4335" w:rsidP="00B8350B">
            <w:pPr>
              <w:spacing w:line="264" w:lineRule="auto"/>
              <w:rPr>
                <w:rFonts w:ascii="宋体" w:hAnsi="宋体"/>
                <w:sz w:val="18"/>
                <w:szCs w:val="18"/>
              </w:rPr>
            </w:pPr>
            <w:r>
              <w:rPr>
                <w:rFonts w:ascii="宋体" w:hAnsi="宋体"/>
                <w:sz w:val="18"/>
                <w:szCs w:val="18"/>
              </w:rPr>
              <w:t>被购买方可辨认资产的公允价值减去负债及或有负债公允价值后的余额</w:t>
            </w: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p>
        </w:tc>
      </w:tr>
      <w:tr w:rsidR="008D4335" w:rsidTr="00B8350B">
        <w:trPr>
          <w:trHeight w:val="1231"/>
        </w:trPr>
        <w:tc>
          <w:tcPr>
            <w:tcW w:w="1008" w:type="dxa"/>
            <w:vMerge/>
          </w:tcPr>
          <w:p w:rsidR="008D4335" w:rsidRDefault="008D4335" w:rsidP="00B8350B">
            <w:pPr>
              <w:pStyle w:val="1"/>
              <w:spacing w:before="0" w:after="0" w:line="264" w:lineRule="auto"/>
              <w:rPr>
                <w:rFonts w:ascii="宋体" w:hAnsi="宋体"/>
                <w:b w:val="0"/>
                <w:bCs w:val="0"/>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第十九条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（四）被购买方各项可辨认资产、负债在上一会计期间资产负债表日及购买日的账面价值和公允价值。</w:t>
            </w:r>
          </w:p>
        </w:tc>
      </w:tr>
      <w:tr w:rsidR="008D4335" w:rsidTr="00B8350B">
        <w:tc>
          <w:tcPr>
            <w:tcW w:w="1008" w:type="dxa"/>
            <w:vMerge w:val="restart"/>
          </w:tcPr>
          <w:p w:rsidR="008D4335" w:rsidRDefault="008D4335" w:rsidP="00B8350B">
            <w:pPr>
              <w:pStyle w:val="1"/>
              <w:spacing w:before="0" w:after="0" w:line="264" w:lineRule="auto"/>
              <w:rPr>
                <w:rFonts w:ascii="宋体" w:hAnsi="宋体"/>
                <w:b w:val="0"/>
                <w:sz w:val="18"/>
                <w:szCs w:val="18"/>
              </w:rPr>
            </w:pPr>
            <w:r>
              <w:rPr>
                <w:rFonts w:ascii="宋体" w:hAnsi="宋体"/>
                <w:b w:val="0"/>
                <w:sz w:val="18"/>
                <w:szCs w:val="18"/>
              </w:rPr>
              <w:t>第21号——租赁</w:t>
            </w:r>
          </w:p>
        </w:tc>
        <w:tc>
          <w:tcPr>
            <w:tcW w:w="1260" w:type="dxa"/>
          </w:tcPr>
          <w:p w:rsidR="008D4335" w:rsidRDefault="008D4335" w:rsidP="00B8350B">
            <w:pPr>
              <w:pStyle w:val="1"/>
              <w:spacing w:before="0" w:after="0" w:line="264" w:lineRule="auto"/>
              <w:rPr>
                <w:rFonts w:ascii="宋体" w:hAnsi="宋体"/>
                <w:b w:val="0"/>
                <w:sz w:val="18"/>
                <w:szCs w:val="18"/>
              </w:rPr>
            </w:pPr>
            <w:r>
              <w:rPr>
                <w:rFonts w:ascii="宋体" w:hAnsi="宋体"/>
                <w:b w:val="0"/>
                <w:sz w:val="18"/>
                <w:szCs w:val="18"/>
              </w:rPr>
              <w:t>第十一条</w:t>
            </w:r>
          </w:p>
        </w:tc>
        <w:tc>
          <w:tcPr>
            <w:tcW w:w="2005" w:type="dxa"/>
            <w:gridSpan w:val="2"/>
          </w:tcPr>
          <w:p w:rsidR="008D4335" w:rsidRDefault="008D4335" w:rsidP="00B8350B">
            <w:pPr>
              <w:pStyle w:val="1"/>
              <w:spacing w:before="0" w:after="0" w:line="264" w:lineRule="auto"/>
              <w:rPr>
                <w:rFonts w:ascii="宋体" w:hAnsi="宋体"/>
                <w:b w:val="0"/>
                <w:sz w:val="18"/>
                <w:szCs w:val="18"/>
              </w:rPr>
            </w:pPr>
            <w:r>
              <w:rPr>
                <w:rFonts w:ascii="宋体" w:hAnsi="宋体"/>
                <w:b w:val="0"/>
                <w:sz w:val="18"/>
                <w:szCs w:val="18"/>
              </w:rPr>
              <w:t>在租赁期开始日，承租人应当将租赁开始日租赁资产公允价值与最低租赁付款额现值两者中较低者作为租入资产的入账价值，将最低租赁付款额作为长期应付款的入账价值，其差额作为未确认融资费用。</w:t>
            </w: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p>
        </w:tc>
      </w:tr>
      <w:tr w:rsidR="008D4335" w:rsidTr="00B8350B">
        <w:tc>
          <w:tcPr>
            <w:tcW w:w="1008" w:type="dxa"/>
            <w:vMerge/>
          </w:tcPr>
          <w:p w:rsidR="008D4335" w:rsidRDefault="008D4335" w:rsidP="00B8350B">
            <w:pPr>
              <w:spacing w:line="264" w:lineRule="auto"/>
              <w:rPr>
                <w:rFonts w:ascii="宋体" w:hAnsi="宋体"/>
                <w:sz w:val="18"/>
                <w:szCs w:val="18"/>
              </w:rPr>
            </w:pPr>
          </w:p>
        </w:tc>
        <w:tc>
          <w:tcPr>
            <w:tcW w:w="1260" w:type="dxa"/>
          </w:tcPr>
          <w:p w:rsidR="008D4335" w:rsidRDefault="008D4335" w:rsidP="00B8350B">
            <w:pPr>
              <w:spacing w:line="264" w:lineRule="auto"/>
              <w:rPr>
                <w:rFonts w:ascii="宋体" w:hAnsi="宋体"/>
                <w:sz w:val="18"/>
                <w:szCs w:val="18"/>
              </w:rPr>
            </w:pPr>
            <w:r>
              <w:rPr>
                <w:rFonts w:ascii="宋体" w:hAnsi="宋体"/>
                <w:sz w:val="18"/>
                <w:szCs w:val="18"/>
              </w:rPr>
              <w:t>第三十二条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r>
              <w:rPr>
                <w:rFonts w:ascii="宋体" w:hAnsi="宋体"/>
                <w:sz w:val="18"/>
                <w:szCs w:val="18"/>
              </w:rPr>
              <w:t>有确凿证据表明售后租回交易是按照公允价值达成的，售价与资产账面价值之间的差额应当计入当期损益</w:t>
            </w:r>
          </w:p>
        </w:tc>
        <w:tc>
          <w:tcPr>
            <w:tcW w:w="2892" w:type="dxa"/>
          </w:tcPr>
          <w:p w:rsidR="008D4335" w:rsidRDefault="008D4335" w:rsidP="00B8350B">
            <w:pPr>
              <w:spacing w:line="264" w:lineRule="auto"/>
              <w:rPr>
                <w:rFonts w:ascii="宋体" w:hAnsi="宋体"/>
                <w:sz w:val="18"/>
                <w:szCs w:val="18"/>
              </w:rPr>
            </w:pPr>
          </w:p>
        </w:tc>
      </w:tr>
      <w:tr w:rsidR="008D4335" w:rsidTr="00B8350B">
        <w:tc>
          <w:tcPr>
            <w:tcW w:w="1008" w:type="dxa"/>
          </w:tcPr>
          <w:p w:rsidR="008D4335" w:rsidRDefault="008D4335" w:rsidP="00B8350B">
            <w:pPr>
              <w:spacing w:line="264" w:lineRule="auto"/>
              <w:rPr>
                <w:rFonts w:ascii="宋体" w:hAnsi="宋体"/>
                <w:sz w:val="18"/>
                <w:szCs w:val="18"/>
              </w:rPr>
            </w:pPr>
            <w:r>
              <w:rPr>
                <w:rFonts w:ascii="宋体" w:hAnsi="宋体"/>
                <w:sz w:val="18"/>
                <w:szCs w:val="18"/>
              </w:rPr>
              <w:t>第22号——金融工具确认和计量</w:t>
            </w:r>
          </w:p>
        </w:tc>
        <w:tc>
          <w:tcPr>
            <w:tcW w:w="1260" w:type="dxa"/>
          </w:tcPr>
          <w:p w:rsidR="008D4335" w:rsidRDefault="008D4335" w:rsidP="00B8350B">
            <w:pPr>
              <w:spacing w:line="264" w:lineRule="auto"/>
              <w:rPr>
                <w:rFonts w:ascii="宋体" w:hAnsi="宋体"/>
                <w:sz w:val="18"/>
                <w:szCs w:val="18"/>
              </w:rPr>
            </w:pPr>
            <w:r>
              <w:rPr>
                <w:rFonts w:ascii="宋体" w:hAnsi="宋体"/>
                <w:bCs/>
                <w:sz w:val="18"/>
                <w:szCs w:val="18"/>
              </w:rPr>
              <w:t>第七条</w:t>
            </w:r>
            <w:r>
              <w:rPr>
                <w:rFonts w:ascii="宋体" w:hAnsi="宋体" w:hint="eastAsia"/>
                <w:sz w:val="18"/>
                <w:szCs w:val="18"/>
              </w:rPr>
              <w:t xml:space="preserve"> </w:t>
            </w:r>
          </w:p>
          <w:p w:rsidR="008D4335" w:rsidRDefault="008D4335" w:rsidP="00B8350B">
            <w:pPr>
              <w:spacing w:line="264" w:lineRule="auto"/>
              <w:rPr>
                <w:rFonts w:ascii="宋体" w:hAnsi="宋体"/>
                <w:sz w:val="18"/>
                <w:szCs w:val="18"/>
              </w:rPr>
            </w:pP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（一）以公允价值计量且其变动计入当期损益的金融资产，包括交易性金融资产和指定为以公允价值计量且其变动计入当期损益的金融资产；</w:t>
            </w:r>
          </w:p>
        </w:tc>
      </w:tr>
      <w:tr w:rsidR="008D4335" w:rsidTr="00B8350B">
        <w:tc>
          <w:tcPr>
            <w:tcW w:w="1008" w:type="dxa"/>
          </w:tcPr>
          <w:p w:rsidR="008D4335" w:rsidRDefault="008D4335" w:rsidP="00B8350B">
            <w:pPr>
              <w:spacing w:line="264" w:lineRule="auto"/>
              <w:rPr>
                <w:rFonts w:ascii="宋体" w:hAnsi="宋体"/>
                <w:sz w:val="18"/>
                <w:szCs w:val="18"/>
              </w:rPr>
            </w:pPr>
            <w:r>
              <w:rPr>
                <w:rFonts w:ascii="宋体" w:hAnsi="宋体"/>
                <w:bCs/>
                <w:sz w:val="18"/>
                <w:szCs w:val="18"/>
              </w:rPr>
              <w:t>第24号—套期保值</w:t>
            </w:r>
          </w:p>
        </w:tc>
        <w:tc>
          <w:tcPr>
            <w:tcW w:w="1260" w:type="dxa"/>
          </w:tcPr>
          <w:p w:rsidR="008D4335" w:rsidRDefault="008D4335" w:rsidP="00B8350B">
            <w:pPr>
              <w:spacing w:line="264" w:lineRule="auto"/>
              <w:rPr>
                <w:rFonts w:ascii="宋体" w:hAnsi="宋体"/>
                <w:sz w:val="18"/>
                <w:szCs w:val="18"/>
              </w:rPr>
            </w:pPr>
            <w:r>
              <w:rPr>
                <w:rFonts w:ascii="宋体" w:hAnsi="宋体"/>
                <w:bCs/>
                <w:sz w:val="18"/>
                <w:szCs w:val="18"/>
              </w:rPr>
              <w:t>第二十六条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hint="eastAsia"/>
                <w:sz w:val="18"/>
                <w:szCs w:val="18"/>
              </w:rPr>
              <w:t xml:space="preserve">   </w:t>
            </w:r>
            <w:r>
              <w:rPr>
                <w:rFonts w:ascii="宋体" w:hAnsi="宋体"/>
                <w:sz w:val="18"/>
                <w:szCs w:val="18"/>
              </w:rPr>
              <w:t>在购买资产或承担负债的确定承诺的公允价值套期中</w:t>
            </w:r>
            <w:r>
              <w:rPr>
                <w:rFonts w:ascii="宋体" w:hAnsi="宋体" w:hint="eastAsia"/>
                <w:sz w:val="18"/>
                <w:szCs w:val="18"/>
              </w:rPr>
              <w:t>----</w:t>
            </w:r>
          </w:p>
        </w:tc>
      </w:tr>
      <w:tr w:rsidR="008D4335" w:rsidTr="00B8350B">
        <w:trPr>
          <w:trHeight w:val="990"/>
        </w:trPr>
        <w:tc>
          <w:tcPr>
            <w:tcW w:w="1008" w:type="dxa"/>
          </w:tcPr>
          <w:p w:rsidR="008D4335" w:rsidRDefault="008D4335" w:rsidP="00B8350B">
            <w:pPr>
              <w:spacing w:line="264" w:lineRule="auto"/>
              <w:rPr>
                <w:rFonts w:ascii="宋体" w:hAnsi="宋体"/>
                <w:sz w:val="18"/>
                <w:szCs w:val="18"/>
              </w:rPr>
            </w:pPr>
            <w:r>
              <w:rPr>
                <w:rFonts w:ascii="宋体" w:hAnsi="宋体"/>
                <w:sz w:val="18"/>
                <w:szCs w:val="18"/>
              </w:rPr>
              <w:lastRenderedPageBreak/>
              <w:t>第2</w:t>
            </w:r>
            <w:r w:rsidR="009F211F">
              <w:rPr>
                <w:rFonts w:ascii="宋体" w:hAnsi="宋体"/>
                <w:sz w:val="18"/>
                <w:szCs w:val="18"/>
              </w:rPr>
              <w:t>6</w:t>
            </w:r>
            <w:r>
              <w:rPr>
                <w:rFonts w:ascii="宋体" w:hAnsi="宋体"/>
                <w:sz w:val="18"/>
                <w:szCs w:val="18"/>
              </w:rPr>
              <w:t>号—石油天然气开采</w:t>
            </w:r>
          </w:p>
        </w:tc>
        <w:tc>
          <w:tcPr>
            <w:tcW w:w="1260" w:type="dxa"/>
          </w:tcPr>
          <w:p w:rsidR="008D4335" w:rsidRDefault="008D4335" w:rsidP="00B8350B">
            <w:pPr>
              <w:spacing w:line="264" w:lineRule="auto"/>
              <w:rPr>
                <w:rFonts w:ascii="宋体" w:hAnsi="宋体"/>
                <w:sz w:val="18"/>
                <w:szCs w:val="18"/>
              </w:rPr>
            </w:pPr>
            <w:r>
              <w:rPr>
                <w:rFonts w:ascii="宋体" w:hAnsi="宋体"/>
                <w:bCs/>
                <w:sz w:val="18"/>
                <w:szCs w:val="18"/>
              </w:rPr>
              <w:t>第七条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（二）未探明矿区权益公允价值低于账面价值的差额，应当确认为减值损失，计入当期损益。</w:t>
            </w:r>
          </w:p>
        </w:tc>
      </w:tr>
      <w:tr w:rsidR="008D4335" w:rsidTr="00B8350B">
        <w:trPr>
          <w:trHeight w:val="978"/>
        </w:trPr>
        <w:tc>
          <w:tcPr>
            <w:tcW w:w="1008" w:type="dxa"/>
          </w:tcPr>
          <w:p w:rsidR="008D4335" w:rsidRDefault="008D4335" w:rsidP="00B8350B">
            <w:pPr>
              <w:spacing w:line="264" w:lineRule="auto"/>
              <w:rPr>
                <w:rFonts w:ascii="宋体" w:hAnsi="宋体"/>
                <w:sz w:val="18"/>
                <w:szCs w:val="18"/>
              </w:rPr>
            </w:pPr>
            <w:r>
              <w:rPr>
                <w:rFonts w:ascii="宋体" w:hAnsi="宋体"/>
                <w:sz w:val="18"/>
                <w:szCs w:val="18"/>
              </w:rPr>
              <w:t>第30号——财务报表列报</w:t>
            </w:r>
          </w:p>
        </w:tc>
        <w:tc>
          <w:tcPr>
            <w:tcW w:w="1260" w:type="dxa"/>
          </w:tcPr>
          <w:p w:rsidR="008D4335" w:rsidRDefault="008D4335" w:rsidP="00B8350B">
            <w:pPr>
              <w:spacing w:line="264" w:lineRule="auto"/>
              <w:rPr>
                <w:rFonts w:ascii="宋体" w:hAnsi="宋体"/>
                <w:bCs/>
                <w:sz w:val="18"/>
                <w:szCs w:val="18"/>
              </w:rPr>
            </w:pPr>
            <w:r>
              <w:rPr>
                <w:rFonts w:ascii="宋体" w:hAnsi="宋体"/>
                <w:bCs/>
                <w:sz w:val="18"/>
                <w:szCs w:val="18"/>
              </w:rPr>
              <w:t>第二十七条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（八）公允价值变动损益</w:t>
            </w:r>
          </w:p>
        </w:tc>
      </w:tr>
      <w:tr w:rsidR="008D4335" w:rsidTr="00B8350B">
        <w:trPr>
          <w:trHeight w:val="920"/>
        </w:trPr>
        <w:tc>
          <w:tcPr>
            <w:tcW w:w="1008" w:type="dxa"/>
          </w:tcPr>
          <w:p w:rsidR="008D4335" w:rsidRDefault="008D4335" w:rsidP="00B8350B">
            <w:pPr>
              <w:spacing w:line="264" w:lineRule="auto"/>
              <w:rPr>
                <w:rFonts w:ascii="宋体" w:hAnsi="宋体"/>
                <w:sz w:val="18"/>
                <w:szCs w:val="18"/>
              </w:rPr>
            </w:pPr>
            <w:r>
              <w:rPr>
                <w:rFonts w:ascii="宋体" w:hAnsi="宋体" w:cs="宋体" w:hint="eastAsia"/>
                <w:sz w:val="18"/>
                <w:szCs w:val="18"/>
              </w:rPr>
              <w:t>第</w:t>
            </w:r>
            <w:r>
              <w:rPr>
                <w:rFonts w:ascii="宋体" w:hAnsi="宋体"/>
                <w:sz w:val="18"/>
                <w:szCs w:val="18"/>
              </w:rPr>
              <w:t>3</w:t>
            </w:r>
            <w:r w:rsidR="009F211F">
              <w:rPr>
                <w:rFonts w:ascii="宋体" w:hAnsi="宋体"/>
                <w:sz w:val="18"/>
                <w:szCs w:val="18"/>
              </w:rPr>
              <w:t>6</w:t>
            </w:r>
            <w:r>
              <w:rPr>
                <w:rFonts w:ascii="宋体" w:hAnsi="宋体" w:cs="宋体" w:hint="eastAsia"/>
                <w:sz w:val="18"/>
                <w:szCs w:val="18"/>
              </w:rPr>
              <w:t>号</w:t>
            </w:r>
            <w:r>
              <w:rPr>
                <w:rFonts w:ascii="宋体" w:hAnsi="宋体"/>
                <w:sz w:val="18"/>
                <w:szCs w:val="18"/>
              </w:rPr>
              <w:t>——</w:t>
            </w:r>
            <w:r>
              <w:rPr>
                <w:rFonts w:ascii="宋体" w:hAnsi="宋体" w:cs="宋体" w:hint="eastAsia"/>
                <w:sz w:val="18"/>
                <w:szCs w:val="18"/>
              </w:rPr>
              <w:t>金融工具列报</w:t>
            </w:r>
          </w:p>
        </w:tc>
        <w:tc>
          <w:tcPr>
            <w:tcW w:w="1260" w:type="dxa"/>
          </w:tcPr>
          <w:p w:rsidR="008D4335" w:rsidRDefault="008D4335" w:rsidP="00B8350B">
            <w:pPr>
              <w:spacing w:line="264" w:lineRule="auto"/>
              <w:rPr>
                <w:rFonts w:ascii="宋体" w:hAnsi="宋体"/>
                <w:bCs/>
                <w:sz w:val="18"/>
                <w:szCs w:val="18"/>
              </w:rPr>
            </w:pPr>
            <w:r>
              <w:rPr>
                <w:rFonts w:ascii="宋体" w:hAnsi="宋体" w:cs="宋体" w:hint="eastAsia"/>
                <w:sz w:val="18"/>
                <w:szCs w:val="18"/>
              </w:rPr>
              <w:t>第十六条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B8350B">
            <w:pPr>
              <w:spacing w:line="264" w:lineRule="auto"/>
              <w:rPr>
                <w:rFonts w:ascii="宋体" w:hAnsi="宋体"/>
                <w:sz w:val="18"/>
                <w:szCs w:val="18"/>
              </w:rPr>
            </w:pPr>
            <w:r>
              <w:rPr>
                <w:rFonts w:ascii="宋体" w:hAnsi="宋体"/>
                <w:sz w:val="18"/>
                <w:szCs w:val="18"/>
              </w:rPr>
              <w:t>（</w:t>
            </w:r>
            <w:r>
              <w:rPr>
                <w:rFonts w:ascii="宋体" w:hAnsi="宋体" w:cs="宋体" w:hint="eastAsia"/>
                <w:sz w:val="18"/>
                <w:szCs w:val="18"/>
              </w:rPr>
              <w:t>五</w:t>
            </w:r>
            <w:r>
              <w:rPr>
                <w:rFonts w:ascii="宋体" w:hAnsi="宋体"/>
                <w:sz w:val="18"/>
                <w:szCs w:val="18"/>
              </w:rPr>
              <w:t>）</w:t>
            </w:r>
            <w:r>
              <w:rPr>
                <w:rFonts w:ascii="宋体" w:hAnsi="宋体" w:cs="宋体" w:hint="eastAsia"/>
                <w:sz w:val="18"/>
                <w:szCs w:val="18"/>
              </w:rPr>
              <w:t>以公允价值计量且其变动计入当期损益的金融负债</w:t>
            </w:r>
          </w:p>
        </w:tc>
      </w:tr>
      <w:tr w:rsidR="008D4335" w:rsidTr="00B8350B">
        <w:trPr>
          <w:trHeight w:val="735"/>
        </w:trPr>
        <w:tc>
          <w:tcPr>
            <w:tcW w:w="1008" w:type="dxa"/>
          </w:tcPr>
          <w:p w:rsidR="008D4335" w:rsidRDefault="008D4335" w:rsidP="00B8350B">
            <w:pPr>
              <w:spacing w:line="264" w:lineRule="auto"/>
              <w:rPr>
                <w:rFonts w:ascii="宋体" w:hAnsi="宋体" w:cs="宋体"/>
                <w:sz w:val="18"/>
                <w:szCs w:val="18"/>
              </w:rPr>
            </w:pPr>
            <w:r>
              <w:rPr>
                <w:rFonts w:ascii="宋体" w:hAnsi="宋体" w:cs="宋体" w:hint="eastAsia"/>
                <w:sz w:val="18"/>
                <w:szCs w:val="18"/>
              </w:rPr>
              <w:t>第</w:t>
            </w:r>
            <w:r>
              <w:rPr>
                <w:rFonts w:ascii="宋体" w:hAnsi="宋体" w:cs="宋体"/>
                <w:sz w:val="18"/>
                <w:szCs w:val="18"/>
              </w:rPr>
              <w:t>38</w:t>
            </w:r>
            <w:r>
              <w:rPr>
                <w:rFonts w:ascii="宋体" w:hAnsi="宋体" w:cs="宋体" w:hint="eastAsia"/>
                <w:sz w:val="18"/>
                <w:szCs w:val="18"/>
              </w:rPr>
              <w:t>号</w:t>
            </w:r>
            <w:r>
              <w:rPr>
                <w:rFonts w:ascii="宋体" w:hAnsi="宋体" w:cs="宋体"/>
                <w:sz w:val="18"/>
                <w:szCs w:val="18"/>
              </w:rPr>
              <w:t>—</w:t>
            </w:r>
            <w:r>
              <w:rPr>
                <w:rFonts w:ascii="宋体" w:hAnsi="宋体" w:cs="宋体" w:hint="eastAsia"/>
                <w:sz w:val="18"/>
                <w:szCs w:val="18"/>
              </w:rPr>
              <w:t>首次执行会计准则</w:t>
            </w:r>
          </w:p>
        </w:tc>
        <w:tc>
          <w:tcPr>
            <w:tcW w:w="1260" w:type="dxa"/>
          </w:tcPr>
          <w:p w:rsidR="008D4335" w:rsidRDefault="008D4335" w:rsidP="00B8350B">
            <w:pPr>
              <w:spacing w:line="264" w:lineRule="auto"/>
              <w:rPr>
                <w:rFonts w:ascii="宋体" w:hAnsi="宋体" w:cs="宋体"/>
                <w:sz w:val="18"/>
                <w:szCs w:val="18"/>
              </w:rPr>
            </w:pPr>
            <w:r>
              <w:rPr>
                <w:rFonts w:ascii="宋体" w:hAnsi="宋体"/>
                <w:bCs/>
                <w:sz w:val="18"/>
                <w:szCs w:val="18"/>
              </w:rPr>
              <w:t>第四十二条</w:t>
            </w:r>
          </w:p>
        </w:tc>
        <w:tc>
          <w:tcPr>
            <w:tcW w:w="2005" w:type="dxa"/>
            <w:gridSpan w:val="2"/>
          </w:tcPr>
          <w:p w:rsidR="008D4335" w:rsidRDefault="008D4335" w:rsidP="00B8350B">
            <w:pPr>
              <w:spacing w:line="264" w:lineRule="auto"/>
              <w:rPr>
                <w:rFonts w:ascii="宋体" w:hAnsi="宋体"/>
                <w:sz w:val="18"/>
                <w:szCs w:val="18"/>
              </w:rPr>
            </w:pPr>
          </w:p>
        </w:tc>
        <w:tc>
          <w:tcPr>
            <w:tcW w:w="2123" w:type="dxa"/>
          </w:tcPr>
          <w:p w:rsidR="008D4335" w:rsidRDefault="008D4335" w:rsidP="00B8350B">
            <w:pPr>
              <w:spacing w:line="264" w:lineRule="auto"/>
              <w:rPr>
                <w:rFonts w:ascii="宋体" w:hAnsi="宋体"/>
                <w:sz w:val="18"/>
                <w:szCs w:val="18"/>
              </w:rPr>
            </w:pPr>
          </w:p>
        </w:tc>
        <w:tc>
          <w:tcPr>
            <w:tcW w:w="2892" w:type="dxa"/>
          </w:tcPr>
          <w:p w:rsidR="008D4335" w:rsidRDefault="008D4335" w:rsidP="008D4335">
            <w:pPr>
              <w:numPr>
                <w:ilvl w:val="0"/>
                <w:numId w:val="12"/>
              </w:numPr>
              <w:pBdr>
                <w:top w:val="none" w:sz="0" w:space="0" w:color="auto"/>
                <w:left w:val="none" w:sz="0" w:space="0" w:color="auto"/>
                <w:bottom w:val="none" w:sz="0" w:space="0" w:color="auto"/>
                <w:right w:val="none" w:sz="0" w:space="0" w:color="auto"/>
                <w:between w:val="none" w:sz="0" w:space="0" w:color="auto"/>
              </w:pBdr>
              <w:spacing w:line="264" w:lineRule="auto"/>
              <w:rPr>
                <w:rFonts w:ascii="宋体" w:hAnsi="宋体"/>
                <w:sz w:val="18"/>
                <w:szCs w:val="18"/>
              </w:rPr>
            </w:pPr>
            <w:r>
              <w:rPr>
                <w:rFonts w:ascii="宋体" w:hAnsi="宋体"/>
                <w:sz w:val="18"/>
                <w:szCs w:val="18"/>
              </w:rPr>
              <w:t>历史成本</w:t>
            </w:r>
          </w:p>
          <w:p w:rsidR="008D4335" w:rsidRDefault="008D4335" w:rsidP="00B8350B">
            <w:pPr>
              <w:spacing w:line="264" w:lineRule="auto"/>
              <w:rPr>
                <w:rFonts w:ascii="宋体" w:hAnsi="宋体"/>
                <w:sz w:val="18"/>
                <w:szCs w:val="18"/>
              </w:rPr>
            </w:pPr>
            <w:r>
              <w:rPr>
                <w:rFonts w:ascii="宋体" w:hAnsi="宋体"/>
                <w:sz w:val="18"/>
                <w:szCs w:val="18"/>
              </w:rPr>
              <w:t>或者按照购置资产时所付出的对价的公允价值计量</w:t>
            </w:r>
          </w:p>
        </w:tc>
      </w:tr>
    </w:tbl>
    <w:p w:rsidR="00C9636A" w:rsidRDefault="008D4335" w:rsidP="008D433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64" w:lineRule="auto"/>
        <w:ind w:firstLineChars="1050" w:firstLine="2205"/>
        <w:jc w:val="left"/>
        <w:rPr>
          <w:rFonts w:ascii="宋体" w:hAnsi="宋体"/>
          <w:sz w:val="18"/>
          <w:szCs w:val="18"/>
        </w:rPr>
      </w:pPr>
      <w:r>
        <w:rPr>
          <w:rFonts w:hint="eastAsia"/>
        </w:rPr>
        <w:t>附表</w:t>
      </w:r>
      <w:r w:rsidR="00735AF0">
        <w:rPr>
          <w:rFonts w:ascii="宋体" w:hAnsi="宋体"/>
          <w:sz w:val="18"/>
          <w:szCs w:val="18"/>
        </w:rPr>
        <w:fldChar w:fldCharType="begin"/>
      </w:r>
      <w:r>
        <w:rPr>
          <w:rFonts w:ascii="宋体" w:hAnsi="宋体"/>
          <w:sz w:val="18"/>
          <w:szCs w:val="18"/>
        </w:rPr>
        <w:instrText>= 1 \* GB3</w:instrText>
      </w:r>
      <w:r w:rsidR="00735AF0">
        <w:rPr>
          <w:rFonts w:ascii="宋体" w:hAnsi="宋体"/>
          <w:sz w:val="18"/>
          <w:szCs w:val="18"/>
        </w:rPr>
        <w:fldChar w:fldCharType="separate"/>
      </w:r>
      <w:r>
        <w:rPr>
          <w:rFonts w:ascii="宋体" w:hAnsi="宋体" w:hint="eastAsia"/>
          <w:sz w:val="18"/>
          <w:szCs w:val="18"/>
        </w:rPr>
        <w:t>①</w:t>
      </w:r>
      <w:r w:rsidR="00735AF0">
        <w:rPr>
          <w:rFonts w:ascii="宋体" w:hAnsi="宋体"/>
          <w:sz w:val="18"/>
          <w:szCs w:val="18"/>
        </w:rPr>
        <w:fldChar w:fldCharType="end"/>
      </w:r>
      <w:r>
        <w:rPr>
          <w:rFonts w:ascii="宋体" w:hAnsi="宋体" w:hint="eastAsia"/>
          <w:sz w:val="18"/>
          <w:szCs w:val="18"/>
        </w:rPr>
        <w:t>：公允价值在准则体系中的具体应用情况</w:t>
      </w:r>
    </w:p>
    <w:p w:rsidR="007F3226" w:rsidRDefault="007F3226" w:rsidP="007F32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64" w:lineRule="auto"/>
        <w:jc w:val="left"/>
        <w:rPr>
          <w:rFonts w:ascii="宋体" w:hAnsi="宋体"/>
          <w:sz w:val="18"/>
          <w:szCs w:val="18"/>
        </w:rPr>
      </w:pPr>
    </w:p>
    <w:p w:rsidR="007F3226" w:rsidRDefault="007F3226" w:rsidP="007F32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64" w:lineRule="auto"/>
        <w:jc w:val="left"/>
        <w:rPr>
          <w:rFonts w:ascii="宋体" w:hAnsi="宋体"/>
          <w:sz w:val="18"/>
          <w:szCs w:val="18"/>
        </w:rPr>
      </w:pPr>
    </w:p>
    <w:p w:rsidR="007F3226" w:rsidRDefault="007F3226" w:rsidP="007F322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64" w:lineRule="auto"/>
        <w:jc w:val="left"/>
        <w:rPr>
          <w:rFonts w:ascii="宋体" w:hAnsi="宋体"/>
          <w:sz w:val="18"/>
          <w:szCs w:val="18"/>
        </w:rPr>
      </w:pPr>
    </w:p>
    <w:sectPr w:rsidR="007F3226" w:rsidSect="00416737">
      <w:headerReference w:type="even" r:id="rId9"/>
      <w:headerReference w:type="default" r:id="rId10"/>
      <w:endnotePr>
        <w:numFmt w:val="decimal"/>
      </w:endnotePr>
      <w:pgSz w:w="11906" w:h="16838" w:code="9"/>
      <w:pgMar w:top="1440" w:right="1406" w:bottom="1440" w:left="1575" w:header="720" w:footer="720" w:gutter="0"/>
      <w:cols w:space="720"/>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184" w:rsidRDefault="00796184" w:rsidP="001D3A25">
      <w:pPr>
        <w:pBdr>
          <w:top w:val="none" w:sz="0" w:space="0" w:color="auto"/>
          <w:left w:val="none" w:sz="0" w:space="0" w:color="auto"/>
          <w:bottom w:val="none" w:sz="0" w:space="0" w:color="auto"/>
          <w:right w:val="none" w:sz="0" w:space="0" w:color="auto"/>
          <w:between w:val="none" w:sz="0" w:space="0" w:color="auto"/>
        </w:pBdr>
      </w:pPr>
      <w:r>
        <w:separator/>
      </w:r>
    </w:p>
  </w:endnote>
  <w:endnote w:type="continuationSeparator" w:id="1">
    <w:p w:rsidR="00796184" w:rsidRDefault="00796184" w:rsidP="001D3A25">
      <w:pPr>
        <w:pBdr>
          <w:top w:val="none" w:sz="0" w:space="0" w:color="auto"/>
          <w:left w:val="none" w:sz="0" w:space="0" w:color="auto"/>
          <w:bottom w:val="none" w:sz="0" w:space="0" w:color="auto"/>
          <w:right w:val="none" w:sz="0" w:space="0" w:color="auto"/>
          <w:between w:val="none" w:sz="0" w:space="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仿宋_GB2312">
    <w:altName w:val="黑体"/>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angSong_GB2312,Bold">
    <w:panose1 w:val="00000000000000000000"/>
    <w:charset w:val="86"/>
    <w:family w:val="auto"/>
    <w:notTrueType/>
    <w:pitch w:val="default"/>
    <w:sig w:usb0="00000001" w:usb1="080E0000" w:usb2="00000010" w:usb3="00000000" w:csb0="00040000" w:csb1="00000000"/>
  </w:font>
  <w:font w:name="SwiftLTPro-ExtraBold">
    <w:altName w:val="方正兰亭超细黑简体"/>
    <w:panose1 w:val="00000000000000000000"/>
    <w:charset w:val="86"/>
    <w:family w:val="auto"/>
    <w:notTrueType/>
    <w:pitch w:val="default"/>
    <w:sig w:usb0="00000001" w:usb1="080E0000" w:usb2="00000010" w:usb3="00000000" w:csb0="00040000" w:csb1="00000000"/>
  </w:font>
  <w:font w:name="SwiftLTPro-Regular">
    <w:altName w:val="方正兰亭超细黑简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Book Antiqua">
    <w:altName w:val="Palatino Linotype"/>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184" w:rsidRDefault="00796184" w:rsidP="001D3A25">
      <w:pPr>
        <w:pBdr>
          <w:top w:val="none" w:sz="0" w:space="0" w:color="auto"/>
          <w:left w:val="none" w:sz="0" w:space="0" w:color="auto"/>
          <w:bottom w:val="none" w:sz="0" w:space="0" w:color="auto"/>
          <w:right w:val="none" w:sz="0" w:space="0" w:color="auto"/>
          <w:between w:val="none" w:sz="0" w:space="0" w:color="auto"/>
        </w:pBdr>
      </w:pPr>
      <w:r>
        <w:separator/>
      </w:r>
    </w:p>
  </w:footnote>
  <w:footnote w:type="continuationSeparator" w:id="1">
    <w:p w:rsidR="00796184" w:rsidRDefault="00796184" w:rsidP="001D3A25">
      <w:pPr>
        <w:pBdr>
          <w:top w:val="none" w:sz="0" w:space="0" w:color="auto"/>
          <w:left w:val="none" w:sz="0" w:space="0" w:color="auto"/>
          <w:bottom w:val="none" w:sz="0" w:space="0" w:color="auto"/>
          <w:right w:val="none" w:sz="0" w:space="0" w:color="auto"/>
          <w:between w:val="none" w:sz="0" w:space="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36A" w:rsidRDefault="00C9636A" w:rsidP="00310C57">
    <w:pPr>
      <w:pStyle w:val="a5"/>
      <w:pBdr>
        <w:top w:val="none" w:sz="0" w:space="0" w:color="auto"/>
        <w:left w:val="none" w:sz="0" w:space="0" w:color="auto"/>
        <w:bottom w:val="none" w:sz="0" w:space="0" w:color="auto"/>
        <w:right w:val="none" w:sz="0" w:space="0" w:color="auto"/>
        <w:between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36A" w:rsidRDefault="00C9636A" w:rsidP="00310C57">
    <w:pPr>
      <w:pStyle w:val="a5"/>
      <w:pBdr>
        <w:top w:val="none" w:sz="0" w:space="0" w:color="auto"/>
        <w:left w:val="none" w:sz="0" w:space="0" w:color="auto"/>
        <w:bottom w:val="none" w:sz="0" w:space="0" w:color="auto"/>
        <w:right w:val="none" w:sz="0" w:space="0" w:color="auto"/>
        <w:between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multilevel"/>
    <w:tmpl w:val="0000000D"/>
    <w:lvl w:ilvl="0">
      <w:start w:val="1"/>
      <w:numFmt w:val="japaneseCounting"/>
      <w:lvlText w:val="（%1）"/>
      <w:lvlJc w:val="left"/>
      <w:pPr>
        <w:tabs>
          <w:tab w:val="num" w:pos="720"/>
        </w:tabs>
        <w:ind w:left="720" w:hanging="720"/>
      </w:pPr>
      <w:rPr>
        <w:rFonts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7167677"/>
    <w:multiLevelType w:val="singleLevel"/>
    <w:tmpl w:val="E51C182C"/>
    <w:name w:val="Bullet 8"/>
    <w:lvl w:ilvl="0">
      <w:start w:val="1"/>
      <w:numFmt w:val="decimal"/>
      <w:lvlText w:val="%1"/>
      <w:lvlJc w:val="left"/>
      <w:pPr>
        <w:tabs>
          <w:tab w:val="num" w:pos="0"/>
        </w:tabs>
      </w:pPr>
      <w:rPr>
        <w:rFonts w:cs="Times New Roman"/>
      </w:rPr>
    </w:lvl>
  </w:abstractNum>
  <w:abstractNum w:abstractNumId="2">
    <w:nsid w:val="0B08673F"/>
    <w:multiLevelType w:val="hybridMultilevel"/>
    <w:tmpl w:val="93862128"/>
    <w:lvl w:ilvl="0" w:tplc="5E86A990">
      <w:start w:val="3"/>
      <w:numFmt w:val="japaneseCounting"/>
      <w:lvlText w:val="%1、"/>
      <w:lvlJc w:val="left"/>
      <w:pPr>
        <w:ind w:left="863" w:hanging="45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3">
    <w:nsid w:val="21AC0BDD"/>
    <w:multiLevelType w:val="hybridMultilevel"/>
    <w:tmpl w:val="2AEC2CEC"/>
    <w:lvl w:ilvl="0" w:tplc="F260FD68">
      <w:start w:val="1"/>
      <w:numFmt w:val="decimal"/>
      <w:lvlText w:val="%1、"/>
      <w:lvlJc w:val="left"/>
      <w:pPr>
        <w:ind w:left="1223" w:hanging="360"/>
      </w:pPr>
      <w:rPr>
        <w:rFonts w:hint="default"/>
      </w:rPr>
    </w:lvl>
    <w:lvl w:ilvl="1" w:tplc="04090019" w:tentative="1">
      <w:start w:val="1"/>
      <w:numFmt w:val="lowerLetter"/>
      <w:lvlText w:val="%2)"/>
      <w:lvlJc w:val="left"/>
      <w:pPr>
        <w:ind w:left="1703" w:hanging="420"/>
      </w:pPr>
    </w:lvl>
    <w:lvl w:ilvl="2" w:tplc="0409001B" w:tentative="1">
      <w:start w:val="1"/>
      <w:numFmt w:val="lowerRoman"/>
      <w:lvlText w:val="%3."/>
      <w:lvlJc w:val="right"/>
      <w:pPr>
        <w:ind w:left="2123" w:hanging="420"/>
      </w:pPr>
    </w:lvl>
    <w:lvl w:ilvl="3" w:tplc="0409000F" w:tentative="1">
      <w:start w:val="1"/>
      <w:numFmt w:val="decimal"/>
      <w:lvlText w:val="%4."/>
      <w:lvlJc w:val="left"/>
      <w:pPr>
        <w:ind w:left="2543" w:hanging="420"/>
      </w:pPr>
    </w:lvl>
    <w:lvl w:ilvl="4" w:tplc="04090019" w:tentative="1">
      <w:start w:val="1"/>
      <w:numFmt w:val="lowerLetter"/>
      <w:lvlText w:val="%5)"/>
      <w:lvlJc w:val="left"/>
      <w:pPr>
        <w:ind w:left="2963" w:hanging="420"/>
      </w:pPr>
    </w:lvl>
    <w:lvl w:ilvl="5" w:tplc="0409001B" w:tentative="1">
      <w:start w:val="1"/>
      <w:numFmt w:val="lowerRoman"/>
      <w:lvlText w:val="%6."/>
      <w:lvlJc w:val="right"/>
      <w:pPr>
        <w:ind w:left="3383" w:hanging="420"/>
      </w:pPr>
    </w:lvl>
    <w:lvl w:ilvl="6" w:tplc="0409000F" w:tentative="1">
      <w:start w:val="1"/>
      <w:numFmt w:val="decimal"/>
      <w:lvlText w:val="%7."/>
      <w:lvlJc w:val="left"/>
      <w:pPr>
        <w:ind w:left="3803" w:hanging="420"/>
      </w:pPr>
    </w:lvl>
    <w:lvl w:ilvl="7" w:tplc="04090019" w:tentative="1">
      <w:start w:val="1"/>
      <w:numFmt w:val="lowerLetter"/>
      <w:lvlText w:val="%8)"/>
      <w:lvlJc w:val="left"/>
      <w:pPr>
        <w:ind w:left="4223" w:hanging="420"/>
      </w:pPr>
    </w:lvl>
    <w:lvl w:ilvl="8" w:tplc="0409001B" w:tentative="1">
      <w:start w:val="1"/>
      <w:numFmt w:val="lowerRoman"/>
      <w:lvlText w:val="%9."/>
      <w:lvlJc w:val="right"/>
      <w:pPr>
        <w:ind w:left="4643" w:hanging="420"/>
      </w:pPr>
    </w:lvl>
  </w:abstractNum>
  <w:abstractNum w:abstractNumId="4">
    <w:nsid w:val="222476DB"/>
    <w:multiLevelType w:val="singleLevel"/>
    <w:tmpl w:val="1CFC3FAA"/>
    <w:name w:val="Bullet 5"/>
    <w:lvl w:ilvl="0">
      <w:start w:val="2"/>
      <w:numFmt w:val="decimal"/>
      <w:lvlText w:val="%1"/>
      <w:lvlJc w:val="left"/>
      <w:pPr>
        <w:tabs>
          <w:tab w:val="num" w:pos="0"/>
        </w:tabs>
      </w:pPr>
      <w:rPr>
        <w:rFonts w:cs="Times New Roman"/>
      </w:rPr>
    </w:lvl>
  </w:abstractNum>
  <w:abstractNum w:abstractNumId="5">
    <w:nsid w:val="31F4221C"/>
    <w:multiLevelType w:val="hybridMultilevel"/>
    <w:tmpl w:val="C494E126"/>
    <w:lvl w:ilvl="0" w:tplc="39E46B4C">
      <w:start w:val="5"/>
      <w:numFmt w:val="japaneseCounting"/>
      <w:lvlText w:val="%1、"/>
      <w:lvlJc w:val="left"/>
      <w:pPr>
        <w:ind w:left="863" w:hanging="45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6">
    <w:nsid w:val="324E21B9"/>
    <w:multiLevelType w:val="singleLevel"/>
    <w:tmpl w:val="025A95D8"/>
    <w:name w:val="Bullet 7"/>
    <w:lvl w:ilvl="0">
      <w:start w:val="1"/>
      <w:numFmt w:val="lowerRoman"/>
      <w:lvlText w:val="%1"/>
      <w:lvlJc w:val="left"/>
      <w:pPr>
        <w:tabs>
          <w:tab w:val="num" w:pos="0"/>
        </w:tabs>
      </w:pPr>
      <w:rPr>
        <w:rFonts w:cs="Times New Roman"/>
      </w:rPr>
    </w:lvl>
  </w:abstractNum>
  <w:abstractNum w:abstractNumId="7">
    <w:nsid w:val="3AAC20CC"/>
    <w:multiLevelType w:val="multilevel"/>
    <w:tmpl w:val="C0CA9C80"/>
    <w:name w:val="编号列表 2"/>
    <w:lvl w:ilvl="0">
      <w:start w:val="1"/>
      <w:numFmt w:val="japaneseCounting"/>
      <w:lvlText w:val="%1、"/>
      <w:lvlJc w:val="left"/>
      <w:pPr>
        <w:ind w:left="2977"/>
      </w:pPr>
      <w:rPr>
        <w:rFonts w:cs="Times New Roman"/>
      </w:rPr>
    </w:lvl>
    <w:lvl w:ilvl="1">
      <w:start w:val="1"/>
      <w:numFmt w:val="lowerLetter"/>
      <w:lvlText w:val="%2)"/>
      <w:lvlJc w:val="left"/>
      <w:pPr>
        <w:ind w:left="3397"/>
      </w:pPr>
      <w:rPr>
        <w:rFonts w:cs="Times New Roman"/>
      </w:rPr>
    </w:lvl>
    <w:lvl w:ilvl="2">
      <w:start w:val="1"/>
      <w:numFmt w:val="lowerRoman"/>
      <w:lvlText w:val="%3."/>
      <w:lvlJc w:val="left"/>
      <w:pPr>
        <w:ind w:left="3817"/>
      </w:pPr>
      <w:rPr>
        <w:rFonts w:cs="Times New Roman"/>
      </w:rPr>
    </w:lvl>
    <w:lvl w:ilvl="3">
      <w:start w:val="1"/>
      <w:numFmt w:val="decimal"/>
      <w:lvlText w:val="%4."/>
      <w:lvlJc w:val="left"/>
      <w:pPr>
        <w:ind w:left="4237"/>
      </w:pPr>
      <w:rPr>
        <w:rFonts w:cs="Times New Roman"/>
      </w:rPr>
    </w:lvl>
    <w:lvl w:ilvl="4">
      <w:start w:val="1"/>
      <w:numFmt w:val="lowerLetter"/>
      <w:lvlText w:val="%5)"/>
      <w:lvlJc w:val="left"/>
      <w:pPr>
        <w:ind w:left="4657"/>
      </w:pPr>
      <w:rPr>
        <w:rFonts w:cs="Times New Roman"/>
      </w:rPr>
    </w:lvl>
    <w:lvl w:ilvl="5">
      <w:start w:val="1"/>
      <w:numFmt w:val="lowerRoman"/>
      <w:lvlText w:val="%6."/>
      <w:lvlJc w:val="left"/>
      <w:pPr>
        <w:ind w:left="5077"/>
      </w:pPr>
      <w:rPr>
        <w:rFonts w:cs="Times New Roman"/>
      </w:rPr>
    </w:lvl>
    <w:lvl w:ilvl="6">
      <w:start w:val="1"/>
      <w:numFmt w:val="decimal"/>
      <w:lvlText w:val="%7."/>
      <w:lvlJc w:val="left"/>
      <w:pPr>
        <w:ind w:left="5497"/>
      </w:pPr>
      <w:rPr>
        <w:rFonts w:cs="Times New Roman"/>
      </w:rPr>
    </w:lvl>
    <w:lvl w:ilvl="7">
      <w:start w:val="1"/>
      <w:numFmt w:val="lowerLetter"/>
      <w:lvlText w:val="%8)"/>
      <w:lvlJc w:val="left"/>
      <w:pPr>
        <w:ind w:left="5917"/>
      </w:pPr>
      <w:rPr>
        <w:rFonts w:cs="Times New Roman"/>
      </w:rPr>
    </w:lvl>
    <w:lvl w:ilvl="8">
      <w:start w:val="1"/>
      <w:numFmt w:val="lowerRoman"/>
      <w:lvlText w:val="%9."/>
      <w:lvlJc w:val="left"/>
      <w:pPr>
        <w:ind w:left="6337"/>
      </w:pPr>
      <w:rPr>
        <w:rFonts w:cs="Times New Roman"/>
      </w:rPr>
    </w:lvl>
  </w:abstractNum>
  <w:abstractNum w:abstractNumId="8">
    <w:nsid w:val="3D36099A"/>
    <w:multiLevelType w:val="multilevel"/>
    <w:tmpl w:val="09B85AAC"/>
    <w:name w:val="编号列表 3"/>
    <w:lvl w:ilvl="0">
      <w:start w:val="1"/>
      <w:numFmt w:val="japaneseCounting"/>
      <w:lvlText w:val="%1、"/>
      <w:lvlJc w:val="left"/>
      <w:pPr>
        <w:ind w:left="3261"/>
      </w:pPr>
      <w:rPr>
        <w:rFonts w:cs="Times New Roman"/>
      </w:rPr>
    </w:lvl>
    <w:lvl w:ilvl="1">
      <w:start w:val="1"/>
      <w:numFmt w:val="lowerLetter"/>
      <w:lvlText w:val="%2)"/>
      <w:lvlJc w:val="left"/>
      <w:pPr>
        <w:ind w:left="3681"/>
      </w:pPr>
      <w:rPr>
        <w:rFonts w:cs="Times New Roman"/>
      </w:rPr>
    </w:lvl>
    <w:lvl w:ilvl="2">
      <w:start w:val="1"/>
      <w:numFmt w:val="lowerRoman"/>
      <w:lvlText w:val="%3."/>
      <w:lvlJc w:val="left"/>
      <w:pPr>
        <w:ind w:left="4101"/>
      </w:pPr>
      <w:rPr>
        <w:rFonts w:cs="Times New Roman"/>
      </w:rPr>
    </w:lvl>
    <w:lvl w:ilvl="3">
      <w:start w:val="1"/>
      <w:numFmt w:val="decimal"/>
      <w:lvlText w:val="%4."/>
      <w:lvlJc w:val="left"/>
      <w:pPr>
        <w:ind w:left="4521"/>
      </w:pPr>
      <w:rPr>
        <w:rFonts w:cs="Times New Roman"/>
      </w:rPr>
    </w:lvl>
    <w:lvl w:ilvl="4">
      <w:start w:val="1"/>
      <w:numFmt w:val="lowerLetter"/>
      <w:lvlText w:val="%5)"/>
      <w:lvlJc w:val="left"/>
      <w:pPr>
        <w:ind w:left="4941"/>
      </w:pPr>
      <w:rPr>
        <w:rFonts w:cs="Times New Roman"/>
      </w:rPr>
    </w:lvl>
    <w:lvl w:ilvl="5">
      <w:start w:val="1"/>
      <w:numFmt w:val="lowerRoman"/>
      <w:lvlText w:val="%6."/>
      <w:lvlJc w:val="left"/>
      <w:pPr>
        <w:ind w:left="5361"/>
      </w:pPr>
      <w:rPr>
        <w:rFonts w:cs="Times New Roman"/>
      </w:rPr>
    </w:lvl>
    <w:lvl w:ilvl="6">
      <w:start w:val="1"/>
      <w:numFmt w:val="decimal"/>
      <w:lvlText w:val="%7."/>
      <w:lvlJc w:val="left"/>
      <w:pPr>
        <w:ind w:left="5781"/>
      </w:pPr>
      <w:rPr>
        <w:rFonts w:cs="Times New Roman"/>
      </w:rPr>
    </w:lvl>
    <w:lvl w:ilvl="7">
      <w:start w:val="1"/>
      <w:numFmt w:val="lowerLetter"/>
      <w:lvlText w:val="%8)"/>
      <w:lvlJc w:val="left"/>
      <w:pPr>
        <w:ind w:left="6201"/>
      </w:pPr>
      <w:rPr>
        <w:rFonts w:cs="Times New Roman"/>
      </w:rPr>
    </w:lvl>
    <w:lvl w:ilvl="8">
      <w:start w:val="1"/>
      <w:numFmt w:val="lowerRoman"/>
      <w:lvlText w:val="%9."/>
      <w:lvlJc w:val="left"/>
      <w:pPr>
        <w:ind w:left="6621"/>
      </w:pPr>
      <w:rPr>
        <w:rFonts w:cs="Times New Roman"/>
      </w:rPr>
    </w:lvl>
  </w:abstractNum>
  <w:abstractNum w:abstractNumId="9">
    <w:nsid w:val="442E5966"/>
    <w:multiLevelType w:val="multilevel"/>
    <w:tmpl w:val="E66C5F68"/>
    <w:name w:val="编号列表 1"/>
    <w:lvl w:ilvl="0">
      <w:start w:val="2"/>
      <w:numFmt w:val="decimal"/>
      <w:lvlText w:val="%1、"/>
      <w:lvlJc w:val="left"/>
      <w:pPr>
        <w:ind w:left="360"/>
      </w:pPr>
      <w:rPr>
        <w:rFonts w:cs="Times New Roman"/>
      </w:rPr>
    </w:lvl>
    <w:lvl w:ilvl="1">
      <w:start w:val="1"/>
      <w:numFmt w:val="lowerLetter"/>
      <w:lvlText w:val="%2)"/>
      <w:lvlJc w:val="left"/>
      <w:pPr>
        <w:ind w:left="780"/>
      </w:pPr>
      <w:rPr>
        <w:rFonts w:cs="Times New Roman"/>
      </w:rPr>
    </w:lvl>
    <w:lvl w:ilvl="2">
      <w:start w:val="1"/>
      <w:numFmt w:val="lowerRoman"/>
      <w:lvlText w:val="%3."/>
      <w:lvlJc w:val="left"/>
      <w:pPr>
        <w:ind w:left="1200"/>
      </w:pPr>
      <w:rPr>
        <w:rFonts w:cs="Times New Roman"/>
      </w:rPr>
    </w:lvl>
    <w:lvl w:ilvl="3">
      <w:start w:val="1"/>
      <w:numFmt w:val="decimal"/>
      <w:lvlText w:val="%4."/>
      <w:lvlJc w:val="left"/>
      <w:pPr>
        <w:ind w:left="1620"/>
      </w:pPr>
      <w:rPr>
        <w:rFonts w:cs="Times New Roman"/>
      </w:rPr>
    </w:lvl>
    <w:lvl w:ilvl="4">
      <w:start w:val="1"/>
      <w:numFmt w:val="lowerLetter"/>
      <w:lvlText w:val="%5)"/>
      <w:lvlJc w:val="left"/>
      <w:pPr>
        <w:ind w:left="2040"/>
      </w:pPr>
      <w:rPr>
        <w:rFonts w:cs="Times New Roman"/>
      </w:rPr>
    </w:lvl>
    <w:lvl w:ilvl="5">
      <w:start w:val="1"/>
      <w:numFmt w:val="lowerRoman"/>
      <w:lvlText w:val="%6."/>
      <w:lvlJc w:val="left"/>
      <w:pPr>
        <w:ind w:left="2460"/>
      </w:pPr>
      <w:rPr>
        <w:rFonts w:cs="Times New Roman"/>
      </w:rPr>
    </w:lvl>
    <w:lvl w:ilvl="6">
      <w:start w:val="1"/>
      <w:numFmt w:val="decimal"/>
      <w:lvlText w:val="%7."/>
      <w:lvlJc w:val="left"/>
      <w:pPr>
        <w:ind w:left="2880"/>
      </w:pPr>
      <w:rPr>
        <w:rFonts w:cs="Times New Roman"/>
      </w:rPr>
    </w:lvl>
    <w:lvl w:ilvl="7">
      <w:start w:val="1"/>
      <w:numFmt w:val="lowerLetter"/>
      <w:lvlText w:val="%8)"/>
      <w:lvlJc w:val="left"/>
      <w:pPr>
        <w:ind w:left="3300"/>
      </w:pPr>
      <w:rPr>
        <w:rFonts w:cs="Times New Roman"/>
      </w:rPr>
    </w:lvl>
    <w:lvl w:ilvl="8">
      <w:start w:val="1"/>
      <w:numFmt w:val="lowerRoman"/>
      <w:lvlText w:val="%9."/>
      <w:lvlJc w:val="left"/>
      <w:pPr>
        <w:ind w:left="3720"/>
      </w:pPr>
      <w:rPr>
        <w:rFonts w:cs="Times New Roman"/>
      </w:rPr>
    </w:lvl>
  </w:abstractNum>
  <w:abstractNum w:abstractNumId="10">
    <w:nsid w:val="45D664FA"/>
    <w:multiLevelType w:val="hybridMultilevel"/>
    <w:tmpl w:val="62445892"/>
    <w:lvl w:ilvl="0" w:tplc="45C89E3E">
      <w:start w:val="1"/>
      <w:numFmt w:val="japaneseCounting"/>
      <w:lvlText w:val="%1、"/>
      <w:lvlJc w:val="left"/>
      <w:pPr>
        <w:ind w:left="863" w:hanging="45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1">
    <w:nsid w:val="46B8547D"/>
    <w:multiLevelType w:val="singleLevel"/>
    <w:tmpl w:val="2578C7F8"/>
    <w:name w:val="Bullet 10"/>
    <w:lvl w:ilvl="0">
      <w:start w:val="1"/>
      <w:numFmt w:val="japaneseCounting"/>
      <w:lvlText w:val="%1"/>
      <w:lvlJc w:val="left"/>
      <w:pPr>
        <w:tabs>
          <w:tab w:val="num" w:pos="0"/>
        </w:tabs>
      </w:pPr>
      <w:rPr>
        <w:rFonts w:ascii="Times New Roman" w:hAnsi="Times New Roman" w:cs="Times New Roman"/>
        <w:b/>
      </w:rPr>
    </w:lvl>
  </w:abstractNum>
  <w:abstractNum w:abstractNumId="12">
    <w:nsid w:val="48C15741"/>
    <w:multiLevelType w:val="hybridMultilevel"/>
    <w:tmpl w:val="74125C40"/>
    <w:lvl w:ilvl="0" w:tplc="CBD4FFB6">
      <w:start w:val="1"/>
      <w:numFmt w:val="decimal"/>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CB746DC"/>
    <w:multiLevelType w:val="hybridMultilevel"/>
    <w:tmpl w:val="CCD0C85A"/>
    <w:lvl w:ilvl="0" w:tplc="BB228632">
      <w:start w:val="5"/>
      <w:numFmt w:val="japaneseCounting"/>
      <w:lvlText w:val="%1、"/>
      <w:lvlJc w:val="left"/>
      <w:pPr>
        <w:ind w:left="863" w:hanging="45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4">
    <w:nsid w:val="4E374C82"/>
    <w:multiLevelType w:val="singleLevel"/>
    <w:tmpl w:val="D30607B8"/>
    <w:name w:val="Bullet 9"/>
    <w:lvl w:ilvl="0">
      <w:start w:val="1"/>
      <w:numFmt w:val="japaneseCounting"/>
      <w:lvlText w:val="%1"/>
      <w:lvlJc w:val="left"/>
      <w:pPr>
        <w:tabs>
          <w:tab w:val="num" w:pos="0"/>
        </w:tabs>
      </w:pPr>
      <w:rPr>
        <w:rFonts w:cs="Times New Roman"/>
      </w:rPr>
    </w:lvl>
  </w:abstractNum>
  <w:abstractNum w:abstractNumId="15">
    <w:nsid w:val="5A467187"/>
    <w:multiLevelType w:val="hybridMultilevel"/>
    <w:tmpl w:val="FB3CEDD2"/>
    <w:lvl w:ilvl="0" w:tplc="F8C67CB0">
      <w:start w:val="1"/>
      <w:numFmt w:val="decimal"/>
      <w:lvlText w:val="%1、"/>
      <w:lvlJc w:val="left"/>
      <w:pPr>
        <w:ind w:left="1223" w:hanging="360"/>
      </w:pPr>
      <w:rPr>
        <w:rFonts w:hint="default"/>
      </w:rPr>
    </w:lvl>
    <w:lvl w:ilvl="1" w:tplc="04090019" w:tentative="1">
      <w:start w:val="1"/>
      <w:numFmt w:val="lowerLetter"/>
      <w:lvlText w:val="%2)"/>
      <w:lvlJc w:val="left"/>
      <w:pPr>
        <w:ind w:left="1703" w:hanging="420"/>
      </w:pPr>
    </w:lvl>
    <w:lvl w:ilvl="2" w:tplc="0409001B" w:tentative="1">
      <w:start w:val="1"/>
      <w:numFmt w:val="lowerRoman"/>
      <w:lvlText w:val="%3."/>
      <w:lvlJc w:val="right"/>
      <w:pPr>
        <w:ind w:left="2123" w:hanging="420"/>
      </w:pPr>
    </w:lvl>
    <w:lvl w:ilvl="3" w:tplc="0409000F" w:tentative="1">
      <w:start w:val="1"/>
      <w:numFmt w:val="decimal"/>
      <w:lvlText w:val="%4."/>
      <w:lvlJc w:val="left"/>
      <w:pPr>
        <w:ind w:left="2543" w:hanging="420"/>
      </w:pPr>
    </w:lvl>
    <w:lvl w:ilvl="4" w:tplc="04090019" w:tentative="1">
      <w:start w:val="1"/>
      <w:numFmt w:val="lowerLetter"/>
      <w:lvlText w:val="%5)"/>
      <w:lvlJc w:val="left"/>
      <w:pPr>
        <w:ind w:left="2963" w:hanging="420"/>
      </w:pPr>
    </w:lvl>
    <w:lvl w:ilvl="5" w:tplc="0409001B" w:tentative="1">
      <w:start w:val="1"/>
      <w:numFmt w:val="lowerRoman"/>
      <w:lvlText w:val="%6."/>
      <w:lvlJc w:val="right"/>
      <w:pPr>
        <w:ind w:left="3383" w:hanging="420"/>
      </w:pPr>
    </w:lvl>
    <w:lvl w:ilvl="6" w:tplc="0409000F" w:tentative="1">
      <w:start w:val="1"/>
      <w:numFmt w:val="decimal"/>
      <w:lvlText w:val="%7."/>
      <w:lvlJc w:val="left"/>
      <w:pPr>
        <w:ind w:left="3803" w:hanging="420"/>
      </w:pPr>
    </w:lvl>
    <w:lvl w:ilvl="7" w:tplc="04090019" w:tentative="1">
      <w:start w:val="1"/>
      <w:numFmt w:val="lowerLetter"/>
      <w:lvlText w:val="%8)"/>
      <w:lvlJc w:val="left"/>
      <w:pPr>
        <w:ind w:left="4223" w:hanging="420"/>
      </w:pPr>
    </w:lvl>
    <w:lvl w:ilvl="8" w:tplc="0409001B" w:tentative="1">
      <w:start w:val="1"/>
      <w:numFmt w:val="lowerRoman"/>
      <w:lvlText w:val="%9."/>
      <w:lvlJc w:val="right"/>
      <w:pPr>
        <w:ind w:left="4643" w:hanging="420"/>
      </w:pPr>
    </w:lvl>
  </w:abstractNum>
  <w:abstractNum w:abstractNumId="16">
    <w:nsid w:val="616C30CB"/>
    <w:multiLevelType w:val="hybridMultilevel"/>
    <w:tmpl w:val="7BE0E164"/>
    <w:lvl w:ilvl="0" w:tplc="3814C956">
      <w:start w:val="1"/>
      <w:numFmt w:val="decimal"/>
      <w:lvlText w:val="%1、"/>
      <w:lvlJc w:val="left"/>
      <w:pPr>
        <w:ind w:left="773" w:hanging="36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7">
    <w:nsid w:val="685F53B1"/>
    <w:multiLevelType w:val="hybridMultilevel"/>
    <w:tmpl w:val="047A2708"/>
    <w:lvl w:ilvl="0" w:tplc="68FC23CE">
      <w:start w:val="1"/>
      <w:numFmt w:val="decimal"/>
      <w:lvlText w:val="%1、"/>
      <w:lvlJc w:val="left"/>
      <w:pPr>
        <w:ind w:left="1223" w:hanging="360"/>
      </w:pPr>
      <w:rPr>
        <w:rFonts w:hint="default"/>
      </w:rPr>
    </w:lvl>
    <w:lvl w:ilvl="1" w:tplc="04090019" w:tentative="1">
      <w:start w:val="1"/>
      <w:numFmt w:val="lowerLetter"/>
      <w:lvlText w:val="%2)"/>
      <w:lvlJc w:val="left"/>
      <w:pPr>
        <w:ind w:left="1703" w:hanging="420"/>
      </w:pPr>
    </w:lvl>
    <w:lvl w:ilvl="2" w:tplc="0409001B" w:tentative="1">
      <w:start w:val="1"/>
      <w:numFmt w:val="lowerRoman"/>
      <w:lvlText w:val="%3."/>
      <w:lvlJc w:val="right"/>
      <w:pPr>
        <w:ind w:left="2123" w:hanging="420"/>
      </w:pPr>
    </w:lvl>
    <w:lvl w:ilvl="3" w:tplc="0409000F" w:tentative="1">
      <w:start w:val="1"/>
      <w:numFmt w:val="decimal"/>
      <w:lvlText w:val="%4."/>
      <w:lvlJc w:val="left"/>
      <w:pPr>
        <w:ind w:left="2543" w:hanging="420"/>
      </w:pPr>
    </w:lvl>
    <w:lvl w:ilvl="4" w:tplc="04090019" w:tentative="1">
      <w:start w:val="1"/>
      <w:numFmt w:val="lowerLetter"/>
      <w:lvlText w:val="%5)"/>
      <w:lvlJc w:val="left"/>
      <w:pPr>
        <w:ind w:left="2963" w:hanging="420"/>
      </w:pPr>
    </w:lvl>
    <w:lvl w:ilvl="5" w:tplc="0409001B" w:tentative="1">
      <w:start w:val="1"/>
      <w:numFmt w:val="lowerRoman"/>
      <w:lvlText w:val="%6."/>
      <w:lvlJc w:val="right"/>
      <w:pPr>
        <w:ind w:left="3383" w:hanging="420"/>
      </w:pPr>
    </w:lvl>
    <w:lvl w:ilvl="6" w:tplc="0409000F" w:tentative="1">
      <w:start w:val="1"/>
      <w:numFmt w:val="decimal"/>
      <w:lvlText w:val="%7."/>
      <w:lvlJc w:val="left"/>
      <w:pPr>
        <w:ind w:left="3803" w:hanging="420"/>
      </w:pPr>
    </w:lvl>
    <w:lvl w:ilvl="7" w:tplc="04090019" w:tentative="1">
      <w:start w:val="1"/>
      <w:numFmt w:val="lowerLetter"/>
      <w:lvlText w:val="%8)"/>
      <w:lvlJc w:val="left"/>
      <w:pPr>
        <w:ind w:left="4223" w:hanging="420"/>
      </w:pPr>
    </w:lvl>
    <w:lvl w:ilvl="8" w:tplc="0409001B" w:tentative="1">
      <w:start w:val="1"/>
      <w:numFmt w:val="lowerRoman"/>
      <w:lvlText w:val="%9."/>
      <w:lvlJc w:val="right"/>
      <w:pPr>
        <w:ind w:left="4643" w:hanging="420"/>
      </w:pPr>
    </w:lvl>
  </w:abstractNum>
  <w:abstractNum w:abstractNumId="18">
    <w:nsid w:val="6F695DD2"/>
    <w:multiLevelType w:val="hybridMultilevel"/>
    <w:tmpl w:val="3028C326"/>
    <w:lvl w:ilvl="0" w:tplc="87B6ECAC">
      <w:start w:val="1"/>
      <w:numFmt w:val="decimal"/>
      <w:lvlText w:val="%1、"/>
      <w:lvlJc w:val="left"/>
      <w:pPr>
        <w:ind w:left="773" w:hanging="360"/>
      </w:pPr>
      <w:rPr>
        <w:rFonts w:hint="default"/>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9">
    <w:nsid w:val="71EE14BA"/>
    <w:multiLevelType w:val="singleLevel"/>
    <w:tmpl w:val="AE48A2AE"/>
    <w:name w:val="Bullet 6"/>
    <w:lvl w:ilvl="0">
      <w:start w:val="1"/>
      <w:numFmt w:val="lowerLetter"/>
      <w:lvlText w:val="%1"/>
      <w:lvlJc w:val="left"/>
      <w:pPr>
        <w:tabs>
          <w:tab w:val="num" w:pos="0"/>
        </w:tabs>
      </w:pPr>
      <w:rPr>
        <w:rFonts w:cs="Times New Roman"/>
      </w:rPr>
    </w:lvl>
  </w:abstractNum>
  <w:abstractNum w:abstractNumId="20">
    <w:nsid w:val="73DF74D6"/>
    <w:multiLevelType w:val="hybridMultilevel"/>
    <w:tmpl w:val="FCF603A2"/>
    <w:lvl w:ilvl="0" w:tplc="EE9C772A">
      <w:start w:val="1"/>
      <w:numFmt w:val="decimal"/>
      <w:lvlText w:val="%1、"/>
      <w:lvlJc w:val="left"/>
      <w:pPr>
        <w:ind w:left="1223" w:hanging="360"/>
      </w:pPr>
      <w:rPr>
        <w:rFonts w:hint="default"/>
      </w:rPr>
    </w:lvl>
    <w:lvl w:ilvl="1" w:tplc="04090019" w:tentative="1">
      <w:start w:val="1"/>
      <w:numFmt w:val="lowerLetter"/>
      <w:lvlText w:val="%2)"/>
      <w:lvlJc w:val="left"/>
      <w:pPr>
        <w:ind w:left="1703" w:hanging="420"/>
      </w:pPr>
    </w:lvl>
    <w:lvl w:ilvl="2" w:tplc="0409001B" w:tentative="1">
      <w:start w:val="1"/>
      <w:numFmt w:val="lowerRoman"/>
      <w:lvlText w:val="%3."/>
      <w:lvlJc w:val="right"/>
      <w:pPr>
        <w:ind w:left="2123" w:hanging="420"/>
      </w:pPr>
    </w:lvl>
    <w:lvl w:ilvl="3" w:tplc="0409000F" w:tentative="1">
      <w:start w:val="1"/>
      <w:numFmt w:val="decimal"/>
      <w:lvlText w:val="%4."/>
      <w:lvlJc w:val="left"/>
      <w:pPr>
        <w:ind w:left="2543" w:hanging="420"/>
      </w:pPr>
    </w:lvl>
    <w:lvl w:ilvl="4" w:tplc="04090019" w:tentative="1">
      <w:start w:val="1"/>
      <w:numFmt w:val="lowerLetter"/>
      <w:lvlText w:val="%5)"/>
      <w:lvlJc w:val="left"/>
      <w:pPr>
        <w:ind w:left="2963" w:hanging="420"/>
      </w:pPr>
    </w:lvl>
    <w:lvl w:ilvl="5" w:tplc="0409001B" w:tentative="1">
      <w:start w:val="1"/>
      <w:numFmt w:val="lowerRoman"/>
      <w:lvlText w:val="%6."/>
      <w:lvlJc w:val="right"/>
      <w:pPr>
        <w:ind w:left="3383" w:hanging="420"/>
      </w:pPr>
    </w:lvl>
    <w:lvl w:ilvl="6" w:tplc="0409000F" w:tentative="1">
      <w:start w:val="1"/>
      <w:numFmt w:val="decimal"/>
      <w:lvlText w:val="%7."/>
      <w:lvlJc w:val="left"/>
      <w:pPr>
        <w:ind w:left="3803" w:hanging="420"/>
      </w:pPr>
    </w:lvl>
    <w:lvl w:ilvl="7" w:tplc="04090019" w:tentative="1">
      <w:start w:val="1"/>
      <w:numFmt w:val="lowerLetter"/>
      <w:lvlText w:val="%8)"/>
      <w:lvlJc w:val="left"/>
      <w:pPr>
        <w:ind w:left="4223" w:hanging="420"/>
      </w:pPr>
    </w:lvl>
    <w:lvl w:ilvl="8" w:tplc="0409001B" w:tentative="1">
      <w:start w:val="1"/>
      <w:numFmt w:val="lowerRoman"/>
      <w:lvlText w:val="%9."/>
      <w:lvlJc w:val="right"/>
      <w:pPr>
        <w:ind w:left="4643" w:hanging="420"/>
      </w:pPr>
    </w:lvl>
  </w:abstractNum>
  <w:abstractNum w:abstractNumId="21">
    <w:nsid w:val="77890A51"/>
    <w:multiLevelType w:val="multilevel"/>
    <w:tmpl w:val="48A66E80"/>
    <w:lvl w:ilvl="0">
      <w:numFmt w:val="none"/>
      <w:lvlText w:val=""/>
      <w:lvlJc w:val="left"/>
      <w:pPr>
        <w:tabs>
          <w:tab w:val="num" w:pos="360"/>
        </w:tabs>
        <w:ind w:left="360" w:hanging="360"/>
      </w:pPr>
      <w:rPr>
        <w:rFonts w:cs="Times New Roman"/>
      </w:rPr>
    </w:lvl>
    <w:lvl w:ilvl="1">
      <w:numFmt w:val="none"/>
      <w:lvlText w:val=""/>
      <w:lvlJc w:val="left"/>
      <w:pPr>
        <w:tabs>
          <w:tab w:val="num" w:pos="360"/>
        </w:tabs>
        <w:ind w:left="360" w:hanging="360"/>
      </w:pPr>
      <w:rPr>
        <w:rFonts w:cs="Times New Roman"/>
      </w:rPr>
    </w:lvl>
    <w:lvl w:ilvl="2">
      <w:numFmt w:val="none"/>
      <w:lvlText w:val=""/>
      <w:lvlJc w:val="left"/>
      <w:pPr>
        <w:tabs>
          <w:tab w:val="num" w:pos="360"/>
        </w:tabs>
        <w:ind w:left="360" w:hanging="360"/>
      </w:pPr>
      <w:rPr>
        <w:rFonts w:cs="Times New Roman"/>
      </w:rPr>
    </w:lvl>
    <w:lvl w:ilvl="3">
      <w:numFmt w:val="none"/>
      <w:lvlText w:val=""/>
      <w:lvlJc w:val="left"/>
      <w:pPr>
        <w:tabs>
          <w:tab w:val="num" w:pos="360"/>
        </w:tabs>
        <w:ind w:left="360" w:hanging="360"/>
      </w:pPr>
      <w:rPr>
        <w:rFonts w:cs="Times New Roman"/>
      </w:rPr>
    </w:lvl>
    <w:lvl w:ilvl="4">
      <w:numFmt w:val="none"/>
      <w:lvlText w:val=""/>
      <w:lvlJc w:val="left"/>
      <w:pPr>
        <w:tabs>
          <w:tab w:val="num" w:pos="360"/>
        </w:tabs>
        <w:ind w:left="360" w:hanging="360"/>
      </w:pPr>
      <w:rPr>
        <w:rFonts w:cs="Times New Roman"/>
      </w:rPr>
    </w:lvl>
    <w:lvl w:ilvl="5">
      <w:numFmt w:val="none"/>
      <w:lvlText w:val=""/>
      <w:lvlJc w:val="left"/>
      <w:pPr>
        <w:tabs>
          <w:tab w:val="num" w:pos="360"/>
        </w:tabs>
        <w:ind w:left="360" w:hanging="360"/>
      </w:pPr>
      <w:rPr>
        <w:rFonts w:cs="Times New Roman"/>
      </w:rPr>
    </w:lvl>
    <w:lvl w:ilvl="6">
      <w:numFmt w:val="none"/>
      <w:lvlText w:val=""/>
      <w:lvlJc w:val="left"/>
      <w:pPr>
        <w:tabs>
          <w:tab w:val="num" w:pos="360"/>
        </w:tabs>
        <w:ind w:left="360" w:hanging="360"/>
      </w:pPr>
      <w:rPr>
        <w:rFonts w:cs="Times New Roman"/>
      </w:rPr>
    </w:lvl>
    <w:lvl w:ilvl="7">
      <w:numFmt w:val="none"/>
      <w:lvlText w:val=""/>
      <w:lvlJc w:val="left"/>
      <w:pPr>
        <w:tabs>
          <w:tab w:val="num" w:pos="360"/>
        </w:tabs>
        <w:ind w:left="360" w:hanging="360"/>
      </w:pPr>
      <w:rPr>
        <w:rFonts w:cs="Times New Roman"/>
      </w:rPr>
    </w:lvl>
    <w:lvl w:ilvl="8">
      <w:numFmt w:val="none"/>
      <w:lvlText w:val=""/>
      <w:lvlJc w:val="left"/>
      <w:pPr>
        <w:tabs>
          <w:tab w:val="num" w:pos="360"/>
        </w:tabs>
        <w:ind w:left="360" w:hanging="360"/>
      </w:pPr>
      <w:rPr>
        <w:rFonts w:cs="Times New Roman"/>
      </w:rPr>
    </w:lvl>
  </w:abstractNum>
  <w:abstractNum w:abstractNumId="22">
    <w:nsid w:val="7E392E5B"/>
    <w:multiLevelType w:val="singleLevel"/>
    <w:tmpl w:val="4F92EA4E"/>
    <w:name w:val="Bullet 4"/>
    <w:lvl w:ilvl="0">
      <w:numFmt w:val="none"/>
      <w:lvlText w:val="%1"/>
      <w:lvlJc w:val="left"/>
      <w:pPr>
        <w:tabs>
          <w:tab w:val="num" w:pos="0"/>
        </w:tabs>
      </w:pPr>
      <w:rPr>
        <w:rFonts w:cs="Times New Roman"/>
      </w:rPr>
    </w:lvl>
  </w:abstractNum>
  <w:abstractNum w:abstractNumId="23">
    <w:nsid w:val="7EDA5554"/>
    <w:multiLevelType w:val="hybridMultilevel"/>
    <w:tmpl w:val="57F6FDF4"/>
    <w:lvl w:ilvl="0" w:tplc="6B3C3AB4">
      <w:start w:val="1"/>
      <w:numFmt w:val="decimal"/>
      <w:lvlText w:val="%1、"/>
      <w:lvlJc w:val="left"/>
      <w:pPr>
        <w:ind w:left="1155" w:hanging="735"/>
      </w:pPr>
      <w:rPr>
        <w:rFonts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7"/>
  </w:num>
  <w:num w:numId="3">
    <w:abstractNumId w:val="8"/>
  </w:num>
  <w:num w:numId="4">
    <w:abstractNumId w:val="22"/>
  </w:num>
  <w:num w:numId="5">
    <w:abstractNumId w:val="4"/>
  </w:num>
  <w:num w:numId="6">
    <w:abstractNumId w:val="19"/>
  </w:num>
  <w:num w:numId="7">
    <w:abstractNumId w:val="6"/>
  </w:num>
  <w:num w:numId="8">
    <w:abstractNumId w:val="1"/>
  </w:num>
  <w:num w:numId="9">
    <w:abstractNumId w:val="14"/>
  </w:num>
  <w:num w:numId="10">
    <w:abstractNumId w:val="11"/>
  </w:num>
  <w:num w:numId="11">
    <w:abstractNumId w:val="21"/>
  </w:num>
  <w:num w:numId="12">
    <w:abstractNumId w:val="0"/>
  </w:num>
  <w:num w:numId="13">
    <w:abstractNumId w:val="10"/>
  </w:num>
  <w:num w:numId="14">
    <w:abstractNumId w:val="17"/>
  </w:num>
  <w:num w:numId="15">
    <w:abstractNumId w:val="20"/>
  </w:num>
  <w:num w:numId="16">
    <w:abstractNumId w:val="15"/>
  </w:num>
  <w:num w:numId="17">
    <w:abstractNumId w:val="3"/>
  </w:num>
  <w:num w:numId="18">
    <w:abstractNumId w:val="23"/>
  </w:num>
  <w:num w:numId="19">
    <w:abstractNumId w:val="13"/>
  </w:num>
  <w:num w:numId="20">
    <w:abstractNumId w:val="12"/>
  </w:num>
  <w:num w:numId="21">
    <w:abstractNumId w:val="5"/>
  </w:num>
  <w:num w:numId="22">
    <w:abstractNumId w:val="16"/>
  </w:num>
  <w:num w:numId="23">
    <w:abstractNumId w:val="2"/>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HorizontalSpacing w:val="105"/>
  <w:drawingGridVerticalSpacing w:val="156"/>
  <w:displayHorizontalDrawingGridEvery w:val="2"/>
  <w:characterSpacingControl w:val="doNotCompress"/>
  <w:noLineBreaksAfter w:lang="zh-CN" w:val="$([{£¥·‘“〈《「『【〔〖〝﹙﹛﹝＄（．［｛￡￥"/>
  <w:noLineBreaksBefore w:lang="zh-CN" w:val="!%),.:;&gt;?]}¢¨°·ˇˉ―‖’”…‰′″›℃∶、。〃〉》」』】〕〗〞︶︺︾﹀﹄﹚﹜﹞！＂％＇），．：；？］｀｜｝～￠"/>
  <w:hdrShapeDefaults>
    <o:shapedefaults v:ext="edit" spidmax="98306"/>
  </w:hdrShapeDefaults>
  <w:footnotePr>
    <w:footnote w:id="0"/>
    <w:footnote w:id="1"/>
  </w:footnotePr>
  <w:endnotePr>
    <w:numFmt w:val="decimal"/>
    <w:endnote w:id="0"/>
    <w:endnote w:id="1"/>
  </w:endnotePr>
  <w:compat>
    <w:doNotExpandShiftReturn/>
    <w:useFELayout/>
  </w:compat>
  <w:rsids>
    <w:rsidRoot w:val="00A7689A"/>
    <w:rsid w:val="00016D05"/>
    <w:rsid w:val="0004487B"/>
    <w:rsid w:val="00054211"/>
    <w:rsid w:val="000553B3"/>
    <w:rsid w:val="00080C25"/>
    <w:rsid w:val="000B5A4B"/>
    <w:rsid w:val="000C1CB1"/>
    <w:rsid w:val="000C55F0"/>
    <w:rsid w:val="000D1836"/>
    <w:rsid w:val="000D40EF"/>
    <w:rsid w:val="000E7637"/>
    <w:rsid w:val="000F25D4"/>
    <w:rsid w:val="000F53F7"/>
    <w:rsid w:val="000F74B0"/>
    <w:rsid w:val="000F79B1"/>
    <w:rsid w:val="0011141D"/>
    <w:rsid w:val="001256DC"/>
    <w:rsid w:val="00132F8F"/>
    <w:rsid w:val="001374A7"/>
    <w:rsid w:val="00146744"/>
    <w:rsid w:val="00166688"/>
    <w:rsid w:val="001705FE"/>
    <w:rsid w:val="0018423B"/>
    <w:rsid w:val="00184DA3"/>
    <w:rsid w:val="00192B63"/>
    <w:rsid w:val="00197AF3"/>
    <w:rsid w:val="001A2314"/>
    <w:rsid w:val="001B6757"/>
    <w:rsid w:val="001D3A25"/>
    <w:rsid w:val="00223583"/>
    <w:rsid w:val="00234155"/>
    <w:rsid w:val="00244346"/>
    <w:rsid w:val="00253B04"/>
    <w:rsid w:val="00260C60"/>
    <w:rsid w:val="00272E9E"/>
    <w:rsid w:val="002850B0"/>
    <w:rsid w:val="002A23D1"/>
    <w:rsid w:val="002F5E3A"/>
    <w:rsid w:val="003017A1"/>
    <w:rsid w:val="00310C57"/>
    <w:rsid w:val="00320FE4"/>
    <w:rsid w:val="003313BC"/>
    <w:rsid w:val="00333465"/>
    <w:rsid w:val="0033659D"/>
    <w:rsid w:val="00342BB3"/>
    <w:rsid w:val="00352C46"/>
    <w:rsid w:val="003670F9"/>
    <w:rsid w:val="00376455"/>
    <w:rsid w:val="003819CE"/>
    <w:rsid w:val="00381DFF"/>
    <w:rsid w:val="003A11CC"/>
    <w:rsid w:val="003A23C3"/>
    <w:rsid w:val="003A278E"/>
    <w:rsid w:val="003A43A2"/>
    <w:rsid w:val="003B4785"/>
    <w:rsid w:val="003B5400"/>
    <w:rsid w:val="003D08CA"/>
    <w:rsid w:val="003D3EA2"/>
    <w:rsid w:val="003E31C1"/>
    <w:rsid w:val="003E42F8"/>
    <w:rsid w:val="003E57B2"/>
    <w:rsid w:val="003F1282"/>
    <w:rsid w:val="003F5D29"/>
    <w:rsid w:val="003F756C"/>
    <w:rsid w:val="004014A3"/>
    <w:rsid w:val="00416737"/>
    <w:rsid w:val="00435785"/>
    <w:rsid w:val="00443A36"/>
    <w:rsid w:val="004449C8"/>
    <w:rsid w:val="004525B7"/>
    <w:rsid w:val="00471F06"/>
    <w:rsid w:val="0048434D"/>
    <w:rsid w:val="00485E65"/>
    <w:rsid w:val="0049719E"/>
    <w:rsid w:val="004A1DB2"/>
    <w:rsid w:val="004D06BA"/>
    <w:rsid w:val="004D36F0"/>
    <w:rsid w:val="004D4FE9"/>
    <w:rsid w:val="004D70D5"/>
    <w:rsid w:val="004E7666"/>
    <w:rsid w:val="004F5EB6"/>
    <w:rsid w:val="00502A26"/>
    <w:rsid w:val="00506FE1"/>
    <w:rsid w:val="005160B8"/>
    <w:rsid w:val="00521C1F"/>
    <w:rsid w:val="00537DFC"/>
    <w:rsid w:val="00543B69"/>
    <w:rsid w:val="00555ED0"/>
    <w:rsid w:val="00561CD6"/>
    <w:rsid w:val="00582004"/>
    <w:rsid w:val="005937EE"/>
    <w:rsid w:val="00594F1D"/>
    <w:rsid w:val="005A13B0"/>
    <w:rsid w:val="005D4F61"/>
    <w:rsid w:val="005D7741"/>
    <w:rsid w:val="005D792A"/>
    <w:rsid w:val="005E2F2B"/>
    <w:rsid w:val="005F5BB6"/>
    <w:rsid w:val="005F6C9D"/>
    <w:rsid w:val="00610C7D"/>
    <w:rsid w:val="00610F3A"/>
    <w:rsid w:val="006119CB"/>
    <w:rsid w:val="006A075E"/>
    <w:rsid w:val="006A47F0"/>
    <w:rsid w:val="006C7119"/>
    <w:rsid w:val="00711D5B"/>
    <w:rsid w:val="00720F81"/>
    <w:rsid w:val="00723032"/>
    <w:rsid w:val="0073344C"/>
    <w:rsid w:val="007343FA"/>
    <w:rsid w:val="00735AF0"/>
    <w:rsid w:val="00744797"/>
    <w:rsid w:val="00746929"/>
    <w:rsid w:val="00747BA7"/>
    <w:rsid w:val="0076261F"/>
    <w:rsid w:val="00763556"/>
    <w:rsid w:val="00771230"/>
    <w:rsid w:val="0077384A"/>
    <w:rsid w:val="00791F8F"/>
    <w:rsid w:val="0079317E"/>
    <w:rsid w:val="00796184"/>
    <w:rsid w:val="007A261F"/>
    <w:rsid w:val="007A2E28"/>
    <w:rsid w:val="007A61AE"/>
    <w:rsid w:val="007B2AF6"/>
    <w:rsid w:val="007C47BA"/>
    <w:rsid w:val="007D6E63"/>
    <w:rsid w:val="007E0A82"/>
    <w:rsid w:val="007F2C5E"/>
    <w:rsid w:val="007F3226"/>
    <w:rsid w:val="007F3FC5"/>
    <w:rsid w:val="007F6E61"/>
    <w:rsid w:val="007F727E"/>
    <w:rsid w:val="00811D6C"/>
    <w:rsid w:val="008259FA"/>
    <w:rsid w:val="00826F25"/>
    <w:rsid w:val="008376FD"/>
    <w:rsid w:val="00847DD7"/>
    <w:rsid w:val="00857BDA"/>
    <w:rsid w:val="008732FB"/>
    <w:rsid w:val="00884C25"/>
    <w:rsid w:val="00896CC6"/>
    <w:rsid w:val="008A00FB"/>
    <w:rsid w:val="008A6857"/>
    <w:rsid w:val="008A7CFA"/>
    <w:rsid w:val="008D1927"/>
    <w:rsid w:val="008D4335"/>
    <w:rsid w:val="008D4E25"/>
    <w:rsid w:val="008E0EDF"/>
    <w:rsid w:val="008E5372"/>
    <w:rsid w:val="00907430"/>
    <w:rsid w:val="00913823"/>
    <w:rsid w:val="009305F2"/>
    <w:rsid w:val="00931334"/>
    <w:rsid w:val="0094504C"/>
    <w:rsid w:val="00946E62"/>
    <w:rsid w:val="009574BA"/>
    <w:rsid w:val="0097277E"/>
    <w:rsid w:val="009760CD"/>
    <w:rsid w:val="00984EDB"/>
    <w:rsid w:val="00986256"/>
    <w:rsid w:val="009960F7"/>
    <w:rsid w:val="009A66A4"/>
    <w:rsid w:val="009B58BD"/>
    <w:rsid w:val="009C4392"/>
    <w:rsid w:val="009C70ED"/>
    <w:rsid w:val="009D006C"/>
    <w:rsid w:val="009F211F"/>
    <w:rsid w:val="009F2D1B"/>
    <w:rsid w:val="00A0060D"/>
    <w:rsid w:val="00A03C26"/>
    <w:rsid w:val="00A0601C"/>
    <w:rsid w:val="00A35D57"/>
    <w:rsid w:val="00A46620"/>
    <w:rsid w:val="00A46746"/>
    <w:rsid w:val="00A63308"/>
    <w:rsid w:val="00A70982"/>
    <w:rsid w:val="00A7689A"/>
    <w:rsid w:val="00A76D20"/>
    <w:rsid w:val="00A82B44"/>
    <w:rsid w:val="00A830D6"/>
    <w:rsid w:val="00A90C6F"/>
    <w:rsid w:val="00AA60FE"/>
    <w:rsid w:val="00AD2116"/>
    <w:rsid w:val="00AD3B00"/>
    <w:rsid w:val="00AD5B7A"/>
    <w:rsid w:val="00AE5B8E"/>
    <w:rsid w:val="00AE66BC"/>
    <w:rsid w:val="00B01BBC"/>
    <w:rsid w:val="00B05F04"/>
    <w:rsid w:val="00B24390"/>
    <w:rsid w:val="00B25262"/>
    <w:rsid w:val="00B35984"/>
    <w:rsid w:val="00B47BC4"/>
    <w:rsid w:val="00B6409B"/>
    <w:rsid w:val="00B67F42"/>
    <w:rsid w:val="00B90D1F"/>
    <w:rsid w:val="00BA003B"/>
    <w:rsid w:val="00BB000F"/>
    <w:rsid w:val="00BB1918"/>
    <w:rsid w:val="00BB3F93"/>
    <w:rsid w:val="00BB7A9F"/>
    <w:rsid w:val="00BB7E56"/>
    <w:rsid w:val="00BC3C57"/>
    <w:rsid w:val="00BD17B5"/>
    <w:rsid w:val="00BD6C35"/>
    <w:rsid w:val="00BE4D34"/>
    <w:rsid w:val="00BE5735"/>
    <w:rsid w:val="00BE6FCB"/>
    <w:rsid w:val="00BF77A5"/>
    <w:rsid w:val="00C21776"/>
    <w:rsid w:val="00C32862"/>
    <w:rsid w:val="00C34F77"/>
    <w:rsid w:val="00C55B9D"/>
    <w:rsid w:val="00C56A15"/>
    <w:rsid w:val="00C6632A"/>
    <w:rsid w:val="00C73F82"/>
    <w:rsid w:val="00C80A66"/>
    <w:rsid w:val="00C9636A"/>
    <w:rsid w:val="00CA0508"/>
    <w:rsid w:val="00CA0A72"/>
    <w:rsid w:val="00CA13CF"/>
    <w:rsid w:val="00CD2395"/>
    <w:rsid w:val="00CE51AD"/>
    <w:rsid w:val="00CE7126"/>
    <w:rsid w:val="00CF5D2D"/>
    <w:rsid w:val="00D00AD6"/>
    <w:rsid w:val="00D161D3"/>
    <w:rsid w:val="00D47871"/>
    <w:rsid w:val="00D50351"/>
    <w:rsid w:val="00D509D8"/>
    <w:rsid w:val="00D52116"/>
    <w:rsid w:val="00D53A08"/>
    <w:rsid w:val="00D71264"/>
    <w:rsid w:val="00D8330C"/>
    <w:rsid w:val="00D96521"/>
    <w:rsid w:val="00DB1B8E"/>
    <w:rsid w:val="00DB2AEB"/>
    <w:rsid w:val="00DB57CD"/>
    <w:rsid w:val="00DC3003"/>
    <w:rsid w:val="00DD17C3"/>
    <w:rsid w:val="00DD657E"/>
    <w:rsid w:val="00DE5AAA"/>
    <w:rsid w:val="00E21AC5"/>
    <w:rsid w:val="00E72595"/>
    <w:rsid w:val="00E7328A"/>
    <w:rsid w:val="00E77933"/>
    <w:rsid w:val="00E85E75"/>
    <w:rsid w:val="00E878F4"/>
    <w:rsid w:val="00E9226E"/>
    <w:rsid w:val="00E929AB"/>
    <w:rsid w:val="00EB49A3"/>
    <w:rsid w:val="00EC3A95"/>
    <w:rsid w:val="00ED3512"/>
    <w:rsid w:val="00ED50D1"/>
    <w:rsid w:val="00ED7B2B"/>
    <w:rsid w:val="00EE6906"/>
    <w:rsid w:val="00EE7CED"/>
    <w:rsid w:val="00EF6FF7"/>
    <w:rsid w:val="00F07212"/>
    <w:rsid w:val="00F34EF9"/>
    <w:rsid w:val="00F455D2"/>
    <w:rsid w:val="00F54912"/>
    <w:rsid w:val="00F56AD1"/>
    <w:rsid w:val="00F573B0"/>
    <w:rsid w:val="00FA4EDD"/>
    <w:rsid w:val="00FD0D20"/>
    <w:rsid w:val="00FD7792"/>
    <w:rsid w:val="00FD78EB"/>
    <w:rsid w:val="00FE0795"/>
    <w:rsid w:val="00FE3B92"/>
    <w:rsid w:val="00FE4726"/>
    <w:rsid w:val="00FE4D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98306"/>
    <o:shapelayout v:ext="edit">
      <o:idmap v:ext="edit" data="1"/>
      <o:rules v:ext="edit">
        <o:r id="V:Rule1" type="callout" idref="#_x0000_s1074"/>
        <o:r id="V:Rule2" type="callout"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89A"/>
    <w:pPr>
      <w:widowControl w:val="0"/>
      <w:pBdr>
        <w:top w:val="none" w:sz="0" w:space="0" w:color="000000"/>
        <w:left w:val="none" w:sz="0" w:space="0" w:color="000000"/>
        <w:bottom w:val="none" w:sz="0" w:space="0" w:color="000000"/>
        <w:right w:val="none" w:sz="0" w:space="0" w:color="000000"/>
        <w:between w:val="none" w:sz="0" w:space="0" w:color="000000"/>
      </w:pBdr>
      <w:jc w:val="both"/>
    </w:pPr>
    <w:rPr>
      <w:kern w:val="1"/>
      <w:sz w:val="21"/>
      <w:szCs w:val="22"/>
    </w:rPr>
  </w:style>
  <w:style w:type="paragraph" w:styleId="1">
    <w:name w:val="heading 1"/>
    <w:basedOn w:val="a"/>
    <w:next w:val="a"/>
    <w:link w:val="1Char"/>
    <w:qFormat/>
    <w:locked/>
    <w:rsid w:val="003F5D29"/>
    <w:pPr>
      <w:keepNext/>
      <w:keepLines/>
      <w:pBdr>
        <w:top w:val="none" w:sz="0" w:space="0" w:color="auto"/>
        <w:left w:val="none" w:sz="0" w:space="0" w:color="auto"/>
        <w:bottom w:val="none" w:sz="0" w:space="0" w:color="auto"/>
        <w:right w:val="none" w:sz="0" w:space="0" w:color="auto"/>
        <w:between w:val="none" w:sz="0" w:space="0" w:color="auto"/>
      </w:pBdr>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semiHidden/>
    <w:unhideWhenUsed/>
    <w:qFormat/>
    <w:locked/>
    <w:rsid w:val="000D18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locked/>
    <w:rsid w:val="003F5D29"/>
    <w:rPr>
      <w:rFonts w:ascii="Times New Roman" w:hAnsi="Times New Roman" w:cs="Times New Roman"/>
      <w:b/>
      <w:bCs/>
      <w:kern w:val="44"/>
      <w:sz w:val="44"/>
      <w:szCs w:val="44"/>
    </w:rPr>
  </w:style>
  <w:style w:type="paragraph" w:styleId="a3">
    <w:name w:val="List Paragraph"/>
    <w:basedOn w:val="a"/>
    <w:uiPriority w:val="99"/>
    <w:qFormat/>
    <w:rsid w:val="00A7689A"/>
    <w:pPr>
      <w:pBdr>
        <w:top w:val="none" w:sz="0" w:space="3" w:color="000000"/>
        <w:left w:val="none" w:sz="0" w:space="3" w:color="000000"/>
        <w:bottom w:val="none" w:sz="0" w:space="3" w:color="000000"/>
        <w:right w:val="none" w:sz="0" w:space="3" w:color="000000"/>
      </w:pBdr>
      <w:ind w:firstLine="420"/>
    </w:pPr>
  </w:style>
  <w:style w:type="paragraph" w:customStyle="1" w:styleId="Header1">
    <w:name w:val="Header1"/>
    <w:uiPriority w:val="99"/>
    <w:rsid w:val="00A7689A"/>
    <w:pPr>
      <w:widowControl w:val="0"/>
      <w:pBdr>
        <w:top w:val="none" w:sz="0" w:space="3" w:color="000000"/>
        <w:left w:val="none" w:sz="0" w:space="3" w:color="000000"/>
        <w:bottom w:val="single" w:sz="6" w:space="1" w:color="000000"/>
        <w:right w:val="none" w:sz="0" w:space="3" w:color="000000"/>
        <w:between w:val="none" w:sz="0" w:space="0" w:color="000000"/>
      </w:pBdr>
      <w:tabs>
        <w:tab w:val="center" w:pos="4153"/>
        <w:tab w:val="right" w:pos="8306"/>
      </w:tabs>
      <w:jc w:val="center"/>
    </w:pPr>
    <w:rPr>
      <w:kern w:val="1"/>
      <w:sz w:val="18"/>
      <w:szCs w:val="18"/>
    </w:rPr>
  </w:style>
  <w:style w:type="paragraph" w:customStyle="1" w:styleId="Footer1">
    <w:name w:val="Footer1"/>
    <w:uiPriority w:val="99"/>
    <w:rsid w:val="00A7689A"/>
    <w:pPr>
      <w:widowControl w:val="0"/>
      <w:pBdr>
        <w:top w:val="none" w:sz="0" w:space="3" w:color="000000"/>
        <w:left w:val="none" w:sz="0" w:space="3" w:color="000000"/>
        <w:bottom w:val="none" w:sz="0" w:space="3" w:color="000000"/>
        <w:right w:val="none" w:sz="0" w:space="3" w:color="000000"/>
        <w:between w:val="none" w:sz="0" w:space="0" w:color="000000"/>
      </w:pBdr>
      <w:tabs>
        <w:tab w:val="center" w:pos="4153"/>
        <w:tab w:val="right" w:pos="8306"/>
      </w:tabs>
    </w:pPr>
    <w:rPr>
      <w:kern w:val="1"/>
      <w:sz w:val="18"/>
      <w:szCs w:val="18"/>
    </w:rPr>
  </w:style>
  <w:style w:type="character" w:customStyle="1" w:styleId="Char">
    <w:name w:val="页眉 Char"/>
    <w:uiPriority w:val="99"/>
    <w:rsid w:val="00A7689A"/>
    <w:rPr>
      <w:sz w:val="18"/>
    </w:rPr>
  </w:style>
  <w:style w:type="character" w:customStyle="1" w:styleId="Char0">
    <w:name w:val="页脚 Char"/>
    <w:uiPriority w:val="99"/>
    <w:rsid w:val="00A7689A"/>
    <w:rPr>
      <w:sz w:val="18"/>
    </w:rPr>
  </w:style>
  <w:style w:type="character" w:styleId="a4">
    <w:name w:val="Strong"/>
    <w:basedOn w:val="a0"/>
    <w:uiPriority w:val="22"/>
    <w:qFormat/>
    <w:rsid w:val="00A7689A"/>
    <w:rPr>
      <w:rFonts w:cs="Times New Roman"/>
      <w:b/>
    </w:rPr>
  </w:style>
  <w:style w:type="paragraph" w:styleId="a5">
    <w:name w:val="header"/>
    <w:basedOn w:val="a"/>
    <w:link w:val="Char1"/>
    <w:uiPriority w:val="99"/>
    <w:semiHidden/>
    <w:rsid w:val="001D3A25"/>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5"/>
    <w:uiPriority w:val="99"/>
    <w:semiHidden/>
    <w:locked/>
    <w:rsid w:val="001D3A25"/>
    <w:rPr>
      <w:rFonts w:cs="Times New Roman"/>
      <w:sz w:val="18"/>
      <w:szCs w:val="18"/>
    </w:rPr>
  </w:style>
  <w:style w:type="paragraph" w:styleId="a6">
    <w:name w:val="footer"/>
    <w:basedOn w:val="a"/>
    <w:link w:val="Char10"/>
    <w:uiPriority w:val="99"/>
    <w:rsid w:val="001D3A25"/>
    <w:pPr>
      <w:tabs>
        <w:tab w:val="center" w:pos="4153"/>
        <w:tab w:val="right" w:pos="8306"/>
      </w:tabs>
      <w:snapToGrid w:val="0"/>
      <w:jc w:val="left"/>
    </w:pPr>
    <w:rPr>
      <w:sz w:val="18"/>
      <w:szCs w:val="18"/>
    </w:rPr>
  </w:style>
  <w:style w:type="character" w:customStyle="1" w:styleId="Char10">
    <w:name w:val="页脚 Char1"/>
    <w:basedOn w:val="a0"/>
    <w:link w:val="a6"/>
    <w:uiPriority w:val="99"/>
    <w:semiHidden/>
    <w:locked/>
    <w:rsid w:val="001D3A25"/>
    <w:rPr>
      <w:rFonts w:cs="Times New Roman"/>
      <w:sz w:val="18"/>
      <w:szCs w:val="18"/>
    </w:rPr>
  </w:style>
  <w:style w:type="paragraph" w:styleId="a7">
    <w:name w:val="Balloon Text"/>
    <w:basedOn w:val="a"/>
    <w:link w:val="Char2"/>
    <w:uiPriority w:val="99"/>
    <w:semiHidden/>
    <w:rsid w:val="00C6632A"/>
    <w:rPr>
      <w:sz w:val="18"/>
      <w:szCs w:val="18"/>
    </w:rPr>
  </w:style>
  <w:style w:type="character" w:customStyle="1" w:styleId="Char2">
    <w:name w:val="批注框文本 Char"/>
    <w:basedOn w:val="a0"/>
    <w:link w:val="a7"/>
    <w:uiPriority w:val="99"/>
    <w:semiHidden/>
    <w:locked/>
    <w:rsid w:val="00C6632A"/>
    <w:rPr>
      <w:rFonts w:cs="Times New Roman"/>
      <w:sz w:val="18"/>
      <w:szCs w:val="18"/>
    </w:rPr>
  </w:style>
  <w:style w:type="character" w:styleId="a8">
    <w:name w:val="footnote reference"/>
    <w:basedOn w:val="a0"/>
    <w:uiPriority w:val="99"/>
    <w:rsid w:val="00884C25"/>
    <w:rPr>
      <w:rFonts w:cs="Times New Roman"/>
      <w:vertAlign w:val="superscript"/>
    </w:rPr>
  </w:style>
  <w:style w:type="paragraph" w:styleId="a9">
    <w:name w:val="footnote text"/>
    <w:basedOn w:val="a"/>
    <w:link w:val="Char3"/>
    <w:uiPriority w:val="99"/>
    <w:rsid w:val="00884C25"/>
    <w:pPr>
      <w:pBdr>
        <w:top w:val="none" w:sz="0" w:space="0" w:color="auto"/>
        <w:left w:val="none" w:sz="0" w:space="0" w:color="auto"/>
        <w:bottom w:val="none" w:sz="0" w:space="0" w:color="auto"/>
        <w:right w:val="none" w:sz="0" w:space="0" w:color="auto"/>
        <w:between w:val="none" w:sz="0" w:space="0" w:color="auto"/>
      </w:pBdr>
      <w:snapToGrid w:val="0"/>
      <w:jc w:val="left"/>
    </w:pPr>
    <w:rPr>
      <w:rFonts w:ascii="Times New Roman" w:hAnsi="Times New Roman"/>
      <w:kern w:val="2"/>
      <w:sz w:val="18"/>
      <w:szCs w:val="18"/>
    </w:rPr>
  </w:style>
  <w:style w:type="character" w:customStyle="1" w:styleId="Char3">
    <w:name w:val="脚注文本 Char"/>
    <w:basedOn w:val="a0"/>
    <w:link w:val="a9"/>
    <w:uiPriority w:val="99"/>
    <w:semiHidden/>
    <w:locked/>
    <w:rsid w:val="00B67F42"/>
    <w:rPr>
      <w:rFonts w:cs="Times New Roman"/>
      <w:kern w:val="1"/>
      <w:sz w:val="18"/>
      <w:szCs w:val="18"/>
    </w:rPr>
  </w:style>
  <w:style w:type="character" w:styleId="aa">
    <w:name w:val="Hyperlink"/>
    <w:basedOn w:val="a0"/>
    <w:uiPriority w:val="99"/>
    <w:semiHidden/>
    <w:unhideWhenUsed/>
    <w:rsid w:val="0094504C"/>
    <w:rPr>
      <w:color w:val="0000FF"/>
      <w:u w:val="single"/>
    </w:rPr>
  </w:style>
  <w:style w:type="character" w:customStyle="1" w:styleId="2Char">
    <w:name w:val="标题 2 Char"/>
    <w:basedOn w:val="a0"/>
    <w:link w:val="2"/>
    <w:semiHidden/>
    <w:rsid w:val="000D1836"/>
    <w:rPr>
      <w:rFonts w:asciiTheme="majorHAnsi" w:eastAsiaTheme="majorEastAsia" w:hAnsiTheme="majorHAnsi" w:cstheme="majorBidi"/>
      <w:b/>
      <w:bCs/>
      <w:kern w:val="1"/>
      <w:sz w:val="32"/>
      <w:szCs w:val="32"/>
    </w:rPr>
  </w:style>
  <w:style w:type="paragraph" w:styleId="ab">
    <w:name w:val="Normal (Web)"/>
    <w:basedOn w:val="a"/>
    <w:uiPriority w:val="99"/>
    <w:semiHidden/>
    <w:unhideWhenUsed/>
    <w:rsid w:val="000D183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宋体" w:hAnsi="宋体" w:cs="宋体"/>
      <w:kern w:val="0"/>
      <w:sz w:val="24"/>
      <w:szCs w:val="24"/>
    </w:rPr>
  </w:style>
  <w:style w:type="character" w:customStyle="1" w:styleId="show-img-bd">
    <w:name w:val="show-img-bd"/>
    <w:basedOn w:val="a0"/>
    <w:rsid w:val="000D1836"/>
  </w:style>
</w:styles>
</file>

<file path=word/webSettings.xml><?xml version="1.0" encoding="utf-8"?>
<w:webSettings xmlns:r="http://schemas.openxmlformats.org/officeDocument/2006/relationships" xmlns:w="http://schemas.openxmlformats.org/wordprocessingml/2006/main">
  <w:divs>
    <w:div w:id="1961104673">
      <w:bodyDiv w:val="1"/>
      <w:marLeft w:val="0"/>
      <w:marRight w:val="0"/>
      <w:marTop w:val="0"/>
      <w:marBottom w:val="0"/>
      <w:divBdr>
        <w:top w:val="none" w:sz="0" w:space="0" w:color="auto"/>
        <w:left w:val="none" w:sz="0" w:space="0" w:color="auto"/>
        <w:bottom w:val="none" w:sz="0" w:space="0" w:color="auto"/>
        <w:right w:val="none" w:sz="0" w:space="0" w:color="auto"/>
      </w:divBdr>
      <w:divsChild>
        <w:div w:id="1545680115">
          <w:marLeft w:val="0"/>
          <w:marRight w:val="0"/>
          <w:marTop w:val="0"/>
          <w:marBottom w:val="0"/>
          <w:divBdr>
            <w:top w:val="none" w:sz="0" w:space="0" w:color="auto"/>
            <w:left w:val="none" w:sz="0" w:space="0" w:color="auto"/>
            <w:bottom w:val="none" w:sz="0" w:space="0" w:color="auto"/>
            <w:right w:val="none" w:sz="0" w:space="0" w:color="auto"/>
          </w:divBdr>
          <w:divsChild>
            <w:div w:id="14368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5378005-561417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90D6FD-F46A-48AB-84C6-D85067E2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1</Pages>
  <Words>2404</Words>
  <Characters>13705</Characters>
  <Application>Microsoft Office Word</Application>
  <DocSecurity>0</DocSecurity>
  <Lines>114</Lines>
  <Paragraphs>32</Paragraphs>
  <ScaleCrop>false</ScaleCrop>
  <Company>Microsoft</Company>
  <LinksUpToDate>false</LinksUpToDate>
  <CharactersWithSpaces>16077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27</cp:revision>
  <dcterms:created xsi:type="dcterms:W3CDTF">2019-04-16T00:39:00Z</dcterms:created>
  <dcterms:modified xsi:type="dcterms:W3CDTF">2019-05-14T00:59:00Z</dcterms:modified>
</cp:coreProperties>
</file>