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rPr>
      </w:pPr>
      <w:bookmarkStart w:id="0" w:name="_GoBack"/>
      <w:bookmarkEnd w:id="0"/>
      <w:r>
        <w:rPr>
          <w:rFonts w:hint="eastAsia"/>
          <w:sz w:val="30"/>
          <w:szCs w:val="30"/>
        </w:rPr>
        <w:t>某超高层建筑梁柱转换层设计关键问题分析研究</w:t>
      </w:r>
    </w:p>
    <w:p>
      <w:pPr>
        <w:jc w:val="center"/>
        <w:rPr>
          <w:rFonts w:hint="eastAsia"/>
          <w:sz w:val="21"/>
          <w:szCs w:val="21"/>
          <w:lang w:val="en-US" w:eastAsia="zh-CN"/>
        </w:rPr>
      </w:pPr>
      <w:r>
        <w:rPr>
          <w:rFonts w:hint="eastAsia"/>
          <w:sz w:val="21"/>
          <w:szCs w:val="21"/>
          <w:lang w:val="en-US" w:eastAsia="zh-CN"/>
        </w:rPr>
        <w:t>任 渊</w:t>
      </w:r>
      <w:r>
        <w:rPr>
          <w:rFonts w:hint="eastAsia"/>
          <w:sz w:val="21"/>
          <w:szCs w:val="21"/>
          <w:vertAlign w:val="superscript"/>
          <w:lang w:val="en-US" w:eastAsia="zh-CN"/>
        </w:rPr>
        <w:t>*</w:t>
      </w:r>
      <w:r>
        <w:rPr>
          <w:rFonts w:hint="eastAsia"/>
          <w:sz w:val="21"/>
          <w:szCs w:val="21"/>
          <w:lang w:val="en-US" w:eastAsia="zh-CN"/>
        </w:rPr>
        <w:t>，何巨海，丁杰</w:t>
      </w:r>
    </w:p>
    <w:p>
      <w:pPr>
        <w:jc w:val="center"/>
        <w:rPr>
          <w:rFonts w:hint="eastAsia"/>
          <w:sz w:val="21"/>
          <w:szCs w:val="21"/>
          <w:lang w:val="en-US" w:eastAsia="zh-CN"/>
        </w:rPr>
      </w:pPr>
      <w:r>
        <w:rPr>
          <w:rFonts w:hint="eastAsia"/>
          <w:sz w:val="21"/>
          <w:szCs w:val="21"/>
          <w:lang w:val="en-US" w:eastAsia="zh-CN"/>
        </w:rPr>
        <w:t>（江苏博森建筑设计有限公司，江苏 无锡 214072）</w:t>
      </w:r>
    </w:p>
    <w:p>
      <w:pPr>
        <w:jc w:val="center"/>
        <w:rPr>
          <w:rFonts w:hint="eastAsia"/>
          <w:sz w:val="21"/>
          <w:szCs w:val="21"/>
          <w:lang w:val="en-US" w:eastAsia="zh-CN"/>
        </w:rPr>
      </w:pPr>
    </w:p>
    <w:p>
      <w:pPr>
        <w:rPr>
          <w:rFonts w:ascii="宋体" w:hAnsi="宋体"/>
        </w:rPr>
      </w:pPr>
      <w:r>
        <w:rPr>
          <w:rFonts w:hint="eastAsia"/>
          <w:b/>
        </w:rPr>
        <w:t>摘要：</w:t>
      </w:r>
      <w:r>
        <w:rPr>
          <w:rFonts w:hint="eastAsia"/>
        </w:rPr>
        <w:t>本文以常熟世贸世纪中心某超高层建筑梁柱转换层作为为研究对象。为了解决上部结构荷载过大导致的转换梁截面尺寸偏大、梁柱配筋过多的问题，</w:t>
      </w:r>
      <w:r>
        <w:rPr>
          <w:rFonts w:hint="eastAsia" w:ascii="宋体" w:hAnsi="宋体"/>
        </w:rPr>
        <w:t>对上部所抬柱及外围框架柱间增设钢骨斜杆的方法来优化设计，并通过有限元软件</w:t>
      </w:r>
      <w:r>
        <w:rPr>
          <w:rFonts w:hint="eastAsia"/>
        </w:rPr>
        <w:t>ABAQUS</w:t>
      </w:r>
      <w:r>
        <w:rPr>
          <w:rFonts w:hint="eastAsia" w:ascii="宋体" w:hAnsi="宋体"/>
        </w:rPr>
        <w:t>对比分析了增设斜撑前后转换层在静力荷载下的力学性能。此外，通过参数分析探究了斜撑的材料及型钢厚度对结构整体力学性能的影响。结果表明：增设斜撑可以有效改善上部抬柱的传力机制，减小结构的变形及破坏区域。同时，适当增大斜撑中的型钢厚度有助于分担上部梁所受的应力，减小上梁的最大挠度。</w:t>
      </w:r>
    </w:p>
    <w:p>
      <w:r>
        <w:rPr>
          <w:rFonts w:hint="eastAsia"/>
          <w:b/>
        </w:rPr>
        <w:t>关键词：</w:t>
      </w:r>
      <w:r>
        <w:rPr>
          <w:rFonts w:hint="eastAsia"/>
        </w:rPr>
        <w:t>转换层；优化设计；斜撑；有限元分析</w:t>
      </w:r>
    </w:p>
    <w:p>
      <w:pPr>
        <w:rPr>
          <w:rFonts w:ascii="宋体" w:hAnsi="宋体"/>
          <w:b/>
        </w:rPr>
      </w:pPr>
    </w:p>
    <w:p>
      <w:r>
        <w:rPr>
          <w:rFonts w:hint="eastAsia"/>
        </w:rPr>
        <w:t>Abstract：</w:t>
      </w:r>
      <w:r>
        <w:t xml:space="preserve">This paper takes Beam-column transfer </w:t>
      </w:r>
      <w:r>
        <w:rPr>
          <w:rFonts w:hint="eastAsia"/>
        </w:rPr>
        <w:t xml:space="preserve">floor of </w:t>
      </w:r>
      <w:r>
        <w:t>a super-high-rise building in Changshu World Trade Center as the research object</w:t>
      </w:r>
      <w:r>
        <w:rPr>
          <w:rFonts w:hint="eastAsia"/>
        </w:rPr>
        <w:t>. In order to solve the problems of too large cross section size of transfer beam and too much reinforcement of beam and column caused by too large superstructure load, diagonal bracing is arranged between the upper column and the outer frame column to optimize the design. By using finite element software ABAQUS, the mechanical properties of the traditional transfer floor and the transfer floor with diagonal bracing are compared and analyzed under static load. Furthermore, the influence of materials and thickness of steel on the mechanical properties of the structure was investigated through parameter analysis. The results show that adding diagonal brace can effectively improve the transmission mechanism of the upper column and reduce the deformation and failure area of the structure. Meanwhile, appropriately increasing the thickness of the steel section in the diagonal brace can help to distribute the stress on the upper beam and reduce the maximum deflection of upper beam.</w:t>
      </w:r>
    </w:p>
    <w:p>
      <w:r>
        <w:rPr>
          <w:rFonts w:hint="eastAsia"/>
          <w:b/>
        </w:rPr>
        <w:t>Keyword：</w:t>
      </w:r>
      <w:r>
        <w:t xml:space="preserve">transfer </w:t>
      </w:r>
      <w:r>
        <w:rPr>
          <w:rFonts w:hint="eastAsia"/>
        </w:rPr>
        <w:t>floor；</w:t>
      </w:r>
      <w:r>
        <w:t>optimum design</w:t>
      </w:r>
      <w:r>
        <w:rPr>
          <w:rFonts w:hint="eastAsia"/>
        </w:rPr>
        <w:t>；</w:t>
      </w:r>
      <w:r>
        <w:t>diagonal bracing</w:t>
      </w:r>
      <w:r>
        <w:rPr>
          <w:rFonts w:hint="eastAsia"/>
        </w:rPr>
        <w:t>；f</w:t>
      </w:r>
      <w:r>
        <w:t>inite element calculation</w:t>
      </w:r>
    </w:p>
    <w:p>
      <w:pPr>
        <w:rPr>
          <w:b/>
        </w:rPr>
      </w:pPr>
    </w:p>
    <w:p>
      <w:pPr>
        <w:rPr>
          <w:b/>
          <w:sz w:val="24"/>
        </w:rPr>
      </w:pPr>
      <w:r>
        <w:rPr>
          <w:rFonts w:hint="eastAsia"/>
          <w:b/>
          <w:sz w:val="24"/>
        </w:rPr>
        <w:t>1.工程概况</w:t>
      </w:r>
    </w:p>
    <w:p>
      <w:pPr>
        <w:rPr>
          <w:rFonts w:ascii="宋体" w:hAnsi="宋体"/>
        </w:rPr>
      </w:pPr>
      <w:r>
        <w:rPr>
          <w:rFonts w:hint="eastAsia"/>
        </w:rPr>
        <w:t xml:space="preserve">    本工程</w:t>
      </w:r>
      <w:r>
        <w:t>位于</w:t>
      </w:r>
      <w:r>
        <w:rPr>
          <w:rFonts w:hint="eastAsia"/>
        </w:rPr>
        <w:t>江苏省常熟市闽江路以南，香山北路以西地块内，地块总占地1.9万平方米，目标建筑为商业综合楼，包括酒店、公寓和办公，建筑大屋面高度190米，地上50层，地下3层，为联合大地下室。首层层高5.5米；二至四层为商业，层高为4.8、4.8、5.2米；五层至九层为酒店，层高3.5米，十层至三十八层为公寓，层高3.5米，其中第十二、二十六为避难层，层高为3.9、5.5米，三十九层为避难层，层高5.5米，四十至五十层为办公，层高4.05米，其中五十层层高4.0米。地上建筑裙房四层，首层层高5.5米其余均4.8米。整个项目地块考虑整体三层地下室，地下为机动车库、非机动车库、后勤配套及设备用房，层高均为3.8米。基础最大埋深约室外地面以下14~15m。主体结构根据建筑高度及平面布置，裙房采用钢筋混凝土框架结构体系、超高层塔楼采用框架-核心筒结构体系。楼面均采用现浇钢筋混凝土梁板楼盖体系。</w:t>
      </w:r>
      <w:r>
        <w:rPr>
          <w:rFonts w:hint="eastAsia" w:ascii="宋体" w:hAnsi="宋体"/>
        </w:rPr>
        <w:t>本工程在标高</w:t>
      </w:r>
      <w:r>
        <w:rPr>
          <w:rFonts w:hint="eastAsia"/>
        </w:rPr>
        <w:t>133.2</w:t>
      </w:r>
      <w:r>
        <w:rPr>
          <w:rFonts w:hint="eastAsia" w:ascii="宋体" w:hAnsi="宋体"/>
        </w:rPr>
        <w:t>（</w:t>
      </w:r>
      <w:r>
        <w:rPr>
          <w:rFonts w:hint="eastAsia"/>
        </w:rPr>
        <w:t>35</w:t>
      </w:r>
      <w:r>
        <w:rPr>
          <w:rFonts w:hint="eastAsia" w:ascii="宋体" w:hAnsi="宋体"/>
        </w:rPr>
        <w:t>层处）产生了梁柱转换（如图1所示），</w:t>
      </w:r>
      <w:r>
        <w:rPr>
          <w:rFonts w:hint="eastAsia"/>
        </w:rPr>
        <w:t>有</w:t>
      </w:r>
      <w:r>
        <w:rPr>
          <w:rFonts w:hint="eastAsia" w:ascii="宋体" w:hAnsi="宋体"/>
        </w:rPr>
        <w:t>四根轴线柱竖向不连续（如图2所示），涉及到梁柱转换设计。本工程若采用普通框架梁式转换，初步计算梁断面尺寸需要达到</w:t>
      </w:r>
      <w:r>
        <w:rPr>
          <w:rFonts w:ascii="宋体" w:hAnsi="宋体"/>
          <w:position w:val="-6"/>
        </w:rPr>
        <w:object>
          <v:shape id="_x0000_i1025" o:spt="75" type="#_x0000_t75" style="height:14pt;width:78pt;" o:ole="t" filled="f" o:preferrelative="t" stroked="f" coordsize="21600,21600">
            <v:path/>
            <v:fill on="f" focussize="0,0"/>
            <v:stroke on="f" joinstyle="miter"/>
            <v:imagedata r:id="rId6" o:title=""/>
            <o:lock v:ext="edit" aspectratio="t"/>
            <w10:wrap type="none"/>
            <w10:anchorlock/>
          </v:shape>
          <o:OLEObject Type="Embed" ProgID="Equation.3" ShapeID="_x0000_i1025" DrawAspect="Content" ObjectID="_1468075725" r:id="rId5">
            <o:LockedField>false</o:LockedField>
          </o:OLEObject>
        </w:object>
      </w:r>
      <w:r>
        <w:rPr>
          <w:rFonts w:hint="eastAsia" w:ascii="宋体" w:hAnsi="宋体"/>
        </w:rPr>
        <w:t>以上，且对下部楼层转换墙柱形成较大弯矩，梁柱配筋均接近最大配筋率。</w:t>
      </w:r>
    </w:p>
    <w:p>
      <w:pPr>
        <w:rPr>
          <w:rFonts w:ascii="宋体" w:hAnsi="宋体"/>
        </w:rPr>
      </w:pPr>
      <w:r>
        <w:rPr>
          <w:rFonts w:hint="eastAsia"/>
        </w:rPr>
        <w:t xml:space="preserve">    基于此，本工程通过优化设计方法，拟对上部所抬柱及外围框架柱间增设钢骨斜撑</w:t>
      </w:r>
      <w:r>
        <w:rPr>
          <w:rFonts w:hint="eastAsia"/>
          <w:vertAlign w:val="superscript"/>
        </w:rPr>
        <w:t>[1-5]</w:t>
      </w:r>
      <w:r>
        <w:rPr>
          <w:rFonts w:hint="eastAsia"/>
        </w:rPr>
        <w:t>（如图3所示），通过附加钢骨斜撑来承受上部托柱荷载，</w:t>
      </w:r>
      <w:r>
        <w:rPr>
          <w:rFonts w:hint="eastAsia" w:ascii="宋体" w:hAnsi="宋体"/>
        </w:rPr>
        <w:t>斜杆的作用带来附加水平推力，水平推力主要通过上下楼层梁板来平衡。此外，利用非线性有限元软件ABAQUS对抬柱构件进行静力荷载下的数值模拟，对比分析了转换层在增设斜撑前后的力学性能，并通过参数分析探究了斜撑中混凝土、型钢及钢筋强度和型钢的厚度对抬柱构件力学性能的影响。</w:t>
      </w:r>
    </w:p>
    <w:p>
      <w:pPr>
        <w:widowControl/>
        <w:rPr>
          <w:rFonts w:ascii="宋体" w:hAnsi="宋体" w:cs="宋体"/>
          <w:kern w:val="0"/>
          <w:sz w:val="24"/>
        </w:rPr>
      </w:pPr>
      <w:r>
        <w:rPr>
          <w:rFonts w:hint="eastAsia"/>
        </w:rPr>
        <w:drawing>
          <wp:inline distT="0" distB="0" distL="0" distR="0">
            <wp:extent cx="1617345" cy="2879725"/>
            <wp:effectExtent l="1905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a:srcRect/>
                    <a:stretch>
                      <a:fillRect/>
                    </a:stretch>
                  </pic:blipFill>
                  <pic:spPr>
                    <a:xfrm>
                      <a:off x="0" y="0"/>
                      <a:ext cx="1617345" cy="2879725"/>
                    </a:xfrm>
                    <a:prstGeom prst="rect">
                      <a:avLst/>
                    </a:prstGeom>
                    <a:noFill/>
                    <a:ln w="9525">
                      <a:noFill/>
                      <a:miter lim="800000"/>
                      <a:headEnd/>
                      <a:tailEnd/>
                    </a:ln>
                  </pic:spPr>
                </pic:pic>
              </a:graphicData>
            </a:graphic>
          </wp:inline>
        </w:drawing>
      </w:r>
      <w:r>
        <w:rPr>
          <w:rFonts w:hint="eastAsia" w:ascii="宋体" w:hAnsi="宋体" w:cs="宋体"/>
          <w:kern w:val="0"/>
          <w:sz w:val="24"/>
        </w:rPr>
        <w:t xml:space="preserve">        </w:t>
      </w:r>
      <w:r>
        <w:rPr>
          <w:rFonts w:ascii="宋体" w:hAnsi="宋体" w:cs="宋体"/>
          <w:kern w:val="0"/>
          <w:sz w:val="24"/>
        </w:rPr>
        <w:drawing>
          <wp:inline distT="0" distB="0" distL="0" distR="0">
            <wp:extent cx="2566035" cy="2517775"/>
            <wp:effectExtent l="1905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8"/>
                    <a:srcRect/>
                    <a:stretch>
                      <a:fillRect/>
                    </a:stretch>
                  </pic:blipFill>
                  <pic:spPr>
                    <a:xfrm>
                      <a:off x="0" y="0"/>
                      <a:ext cx="2566035" cy="2517775"/>
                    </a:xfrm>
                    <a:prstGeom prst="rect">
                      <a:avLst/>
                    </a:prstGeom>
                    <a:noFill/>
                    <a:ln w="9525">
                      <a:noFill/>
                      <a:miter lim="800000"/>
                      <a:headEnd/>
                      <a:tailEnd/>
                    </a:ln>
                  </pic:spPr>
                </pic:pic>
              </a:graphicData>
            </a:graphic>
          </wp:inline>
        </w:drawing>
      </w:r>
    </w:p>
    <w:p>
      <w:pPr>
        <w:widowControl/>
      </w:pPr>
      <w:r>
        <w:rPr>
          <w:rFonts w:hint="eastAsia"/>
        </w:rPr>
        <w:t xml:space="preserve">    图1 转换层示意图                   图2 转换层结构平面图</w:t>
      </w:r>
    </w:p>
    <w:p>
      <w:pPr>
        <w:widowControl/>
      </w:pPr>
      <w:r>
        <w:rPr>
          <w:rFonts w:hint="eastAsia"/>
        </w:rPr>
        <w:t>Fig.1 A</w:t>
      </w:r>
      <w:r>
        <w:t>nalysis calculation model</w:t>
      </w:r>
      <w:r>
        <w:rPr>
          <w:rFonts w:hint="eastAsia"/>
        </w:rPr>
        <w:t xml:space="preserve">         Fig.2 </w:t>
      </w:r>
      <w:r>
        <w:t>Thirty-sixth</w:t>
      </w:r>
      <w:r>
        <w:rPr>
          <w:rFonts w:hint="eastAsia"/>
        </w:rPr>
        <w:t xml:space="preserve"> floor s</w:t>
      </w:r>
      <w:r>
        <w:t>tructural design plan</w:t>
      </w:r>
    </w:p>
    <w:p>
      <w:pPr>
        <w:rPr>
          <w:b/>
        </w:rPr>
      </w:pPr>
    </w:p>
    <w:p>
      <w:pPr>
        <w:rPr>
          <w:b/>
          <w:sz w:val="24"/>
        </w:rPr>
      </w:pPr>
      <w:r>
        <w:rPr>
          <w:rFonts w:hint="eastAsia"/>
          <w:b/>
          <w:sz w:val="24"/>
        </w:rPr>
        <w:t>2. 转换层的设计方案</w:t>
      </w:r>
    </w:p>
    <w:p>
      <w:r>
        <w:rPr>
          <w:rFonts w:hint="eastAsia"/>
        </w:rPr>
        <w:t xml:space="preserve">    本文共设计了10个试件进行数值计算模拟，包括1个传统框架梁式转换层(F1)和9个增设斜撑的转换层(F2~F10)，其基本尺寸及细节构造如图3和表1所示。试件中梁、柱及斜撑均为钢骨混凝土构件，且各个试件中对应构件尺寸及配筋均相同，其中右柱纵筋为33</w:t>
      </w:r>
      <w:r>
        <w:rPr>
          <w:rFonts w:hint="eastAsia" w:ascii="SJQY" w:hAnsi="SJQY" w:eastAsia="SJQY"/>
        </w:rPr>
        <w:t>C</w:t>
      </w:r>
      <w:r>
        <w:rPr>
          <w:rFonts w:hint="eastAsia"/>
        </w:rPr>
        <w:t>32，箍筋为</w:t>
      </w:r>
      <w:r>
        <w:rPr>
          <w:rFonts w:hint="eastAsia" w:ascii="SJQY" w:hAnsi="SJQY" w:eastAsia="SJQY"/>
        </w:rPr>
        <w:t>C</w:t>
      </w:r>
      <w:r>
        <w:rPr>
          <w:rFonts w:hint="eastAsia"/>
        </w:rPr>
        <w:t>14@200；左柱纵筋为34</w:t>
      </w:r>
      <w:r>
        <w:rPr>
          <w:rFonts w:hint="eastAsia" w:ascii="SJQY" w:hAnsi="SJQY" w:eastAsia="SJQY"/>
        </w:rPr>
        <w:t>C</w:t>
      </w:r>
      <w:r>
        <w:rPr>
          <w:rFonts w:hint="eastAsia"/>
        </w:rPr>
        <w:t>32，箍筋为</w:t>
      </w:r>
      <w:r>
        <w:rPr>
          <w:rFonts w:hint="eastAsia" w:ascii="SJQY" w:hAnsi="SJQY" w:eastAsia="SJQY"/>
        </w:rPr>
        <w:t>C</w:t>
      </w:r>
      <w:r>
        <w:rPr>
          <w:rFonts w:hint="eastAsia"/>
        </w:rPr>
        <w:t>14@200；上部梁的纵筋为20</w:t>
      </w:r>
      <w:r>
        <w:rPr>
          <w:rFonts w:hint="eastAsia" w:ascii="SJQY" w:hAnsi="SJQY" w:eastAsia="SJQY"/>
        </w:rPr>
        <w:t>C</w:t>
      </w:r>
      <w:r>
        <w:rPr>
          <w:rFonts w:hint="eastAsia"/>
        </w:rPr>
        <w:t>32，箍筋为</w:t>
      </w:r>
      <w:r>
        <w:rPr>
          <w:rFonts w:hint="eastAsia" w:ascii="SJQY" w:hAnsi="SJQY" w:eastAsia="SJQY"/>
        </w:rPr>
        <w:t>C</w:t>
      </w:r>
      <w:r>
        <w:rPr>
          <w:rFonts w:hint="eastAsia"/>
        </w:rPr>
        <w:t>12@200；下部梁的纵筋为14</w:t>
      </w:r>
      <w:r>
        <w:rPr>
          <w:rFonts w:hint="eastAsia" w:ascii="SJQY" w:hAnsi="SJQY" w:eastAsia="SJQY"/>
        </w:rPr>
        <w:t>C</w:t>
      </w:r>
      <w:r>
        <w:rPr>
          <w:rFonts w:hint="eastAsia"/>
        </w:rPr>
        <w:t>25，箍筋为</w:t>
      </w:r>
      <w:r>
        <w:rPr>
          <w:rFonts w:hint="eastAsia" w:ascii="SJQY" w:hAnsi="SJQY" w:eastAsia="SJQY"/>
        </w:rPr>
        <w:t>C</w:t>
      </w:r>
      <w:r>
        <w:rPr>
          <w:rFonts w:hint="eastAsia"/>
        </w:rPr>
        <w:t>12@200；斜撑的纵筋为26</w:t>
      </w:r>
      <w:r>
        <w:rPr>
          <w:rFonts w:hint="eastAsia" w:ascii="SJQY" w:hAnsi="SJQY" w:eastAsia="SJQY"/>
        </w:rPr>
        <w:t>C</w:t>
      </w:r>
      <w:r>
        <w:rPr>
          <w:rFonts w:hint="eastAsia"/>
        </w:rPr>
        <w:t>25，箍筋为</w:t>
      </w:r>
      <w:r>
        <w:rPr>
          <w:rFonts w:hint="eastAsia" w:ascii="SJQY" w:hAnsi="SJQY" w:eastAsia="SJQY"/>
        </w:rPr>
        <w:t>C</w:t>
      </w:r>
      <w:r>
        <w:rPr>
          <w:rFonts w:hint="eastAsia"/>
        </w:rPr>
        <w:t>14@200。对于所有试件，除斜撑外各个部件的混凝土强度为C45，型钢强度为Q345, 纵筋及箍筋的强度均为HRB400。</w:t>
      </w:r>
    </w:p>
    <w:p>
      <w:pPr>
        <w:jc w:val="center"/>
      </w:pPr>
      <w:r>
        <w:drawing>
          <wp:inline distT="0" distB="0" distL="0" distR="0">
            <wp:extent cx="5302250" cy="3009265"/>
            <wp:effectExtent l="19050" t="0" r="0" b="0"/>
            <wp:docPr id="42" name="图片 42" descr="F:\任总论文\visio\绘图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F:\任总论文\visio\绘图1.jpg"/>
                    <pic:cNvPicPr>
                      <a:picLocks noChangeAspect="1" noChangeArrowheads="1"/>
                    </pic:cNvPicPr>
                  </pic:nvPicPr>
                  <pic:blipFill>
                    <a:blip r:embed="rId9"/>
                    <a:srcRect/>
                    <a:stretch>
                      <a:fillRect/>
                    </a:stretch>
                  </pic:blipFill>
                  <pic:spPr>
                    <a:xfrm>
                      <a:off x="0" y="0"/>
                      <a:ext cx="5302250" cy="3009265"/>
                    </a:xfrm>
                    <a:prstGeom prst="rect">
                      <a:avLst/>
                    </a:prstGeom>
                    <a:noFill/>
                    <a:ln w="9525">
                      <a:noFill/>
                      <a:miter lim="800000"/>
                      <a:headEnd/>
                      <a:tailEnd/>
                    </a:ln>
                  </pic:spPr>
                </pic:pic>
              </a:graphicData>
            </a:graphic>
          </wp:inline>
        </w:drawing>
      </w:r>
      <w:r>
        <w:rPr>
          <w:rFonts w:hint="eastAsia"/>
        </w:rPr>
        <w:t>图3 试件的尺寸及细节构造</w:t>
      </w:r>
    </w:p>
    <w:p>
      <w:pPr>
        <w:jc w:val="center"/>
      </w:pPr>
      <w:r>
        <w:rPr>
          <w:rFonts w:hint="eastAsia"/>
        </w:rPr>
        <w:t>Fig.3 Size and detail structure of specimens</w:t>
      </w:r>
    </w:p>
    <w:p>
      <w:pPr>
        <w:jc w:val="center"/>
        <w:rPr>
          <w:rFonts w:hint="eastAsia"/>
        </w:rPr>
      </w:pPr>
      <w:r>
        <w:rPr>
          <w:rFonts w:hint="eastAsia"/>
        </w:rPr>
        <w:t>表1 试件的几何属性</w:t>
      </w:r>
    </w:p>
    <w:p>
      <w:pPr>
        <w:jc w:val="center"/>
      </w:pPr>
      <w:r>
        <w:rPr>
          <w:rFonts w:hint="eastAsia"/>
        </w:rPr>
        <w:t>Table 1 The dimension properties of specimens</w:t>
      </w:r>
    </w:p>
    <w:tbl>
      <w:tblPr>
        <w:tblStyle w:val="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12"/>
        <w:gridCol w:w="1206"/>
        <w:gridCol w:w="1206"/>
        <w:gridCol w:w="1418"/>
        <w:gridCol w:w="1302"/>
        <w:gridCol w:w="1139"/>
        <w:gridCol w:w="1139"/>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bottom w:val="single" w:color="auto" w:sz="4" w:space="0"/>
            </w:tcBorders>
          </w:tcPr>
          <w:p>
            <w:pPr>
              <w:jc w:val="center"/>
            </w:pPr>
            <w:r>
              <w:rPr>
                <w:rFonts w:hint="eastAsia"/>
              </w:rPr>
              <w:t>试件编号</w:t>
            </w:r>
          </w:p>
        </w:tc>
        <w:tc>
          <w:tcPr>
            <w:tcW w:w="1206" w:type="dxa"/>
            <w:tcBorders>
              <w:bottom w:val="single" w:color="auto" w:sz="4" w:space="0"/>
            </w:tcBorders>
          </w:tcPr>
          <w:p>
            <w:pPr>
              <w:jc w:val="center"/>
            </w:pPr>
            <w:r>
              <w:rPr>
                <w:rFonts w:hint="eastAsia"/>
              </w:rPr>
              <w:t>跨度</w:t>
            </w:r>
          </w:p>
          <w:p>
            <w:pPr>
              <w:jc w:val="center"/>
            </w:pPr>
            <w:r>
              <w:rPr>
                <w:rFonts w:hint="eastAsia"/>
              </w:rPr>
              <w:t>(/mm)</w:t>
            </w:r>
          </w:p>
        </w:tc>
        <w:tc>
          <w:tcPr>
            <w:tcW w:w="1206" w:type="dxa"/>
            <w:tcBorders>
              <w:bottom w:val="single" w:color="auto" w:sz="4" w:space="0"/>
            </w:tcBorders>
          </w:tcPr>
          <w:p>
            <w:pPr>
              <w:jc w:val="center"/>
            </w:pPr>
            <w:r>
              <w:rPr>
                <w:rFonts w:hint="eastAsia"/>
              </w:rPr>
              <w:t>高度</w:t>
            </w:r>
          </w:p>
          <w:p>
            <w:pPr>
              <w:jc w:val="center"/>
            </w:pPr>
            <w:r>
              <w:rPr>
                <w:rFonts w:hint="eastAsia"/>
              </w:rPr>
              <w:t>(/mm)</w:t>
            </w:r>
          </w:p>
        </w:tc>
        <w:tc>
          <w:tcPr>
            <w:tcW w:w="1418" w:type="dxa"/>
            <w:tcBorders>
              <w:bottom w:val="single" w:color="auto" w:sz="4" w:space="0"/>
            </w:tcBorders>
          </w:tcPr>
          <w:p>
            <w:pPr>
              <w:jc w:val="center"/>
              <w:rPr>
                <w:i/>
              </w:rPr>
            </w:pPr>
            <m:oMathPara>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yx</m:t>
                    </m:r>
                    <m:ctrlPr>
                      <w:rPr>
                        <w:rFonts w:ascii="Cambria Math" w:hAnsi="Cambria Math"/>
                        <w:i/>
                      </w:rPr>
                    </m:ctrlPr>
                  </m:sub>
                </m:sSub>
              </m:oMath>
            </m:oMathPara>
          </w:p>
          <w:p>
            <w:pPr>
              <w:jc w:val="center"/>
            </w:pPr>
            <w:r>
              <w:t>（</w:t>
            </w:r>
            <w:r>
              <w:rPr>
                <w:rFonts w:hint="eastAsia"/>
              </w:rPr>
              <w:t>/MPa</w:t>
            </w:r>
            <w:r>
              <w:t>）</w:t>
            </w:r>
          </w:p>
        </w:tc>
        <w:tc>
          <w:tcPr>
            <w:tcW w:w="1302" w:type="dxa"/>
            <w:tcBorders>
              <w:bottom w:val="single" w:color="auto" w:sz="4" w:space="0"/>
            </w:tcBorders>
          </w:tcPr>
          <w:p>
            <w:pPr>
              <w:jc w:val="center"/>
              <w:rPr>
                <w:i/>
              </w:rPr>
            </w:pPr>
            <m:oMathPara>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cx</m:t>
                    </m:r>
                    <m:ctrlPr>
                      <w:rPr>
                        <w:rFonts w:ascii="Cambria Math" w:hAnsi="Cambria Math"/>
                        <w:i/>
                      </w:rPr>
                    </m:ctrlPr>
                  </m:sub>
                </m:sSub>
              </m:oMath>
            </m:oMathPara>
          </w:p>
          <w:p>
            <w:pPr>
              <w:jc w:val="center"/>
            </w:pPr>
            <w:r>
              <w:t>（</w:t>
            </w:r>
            <w:r>
              <w:rPr>
                <w:rFonts w:hint="eastAsia"/>
              </w:rPr>
              <w:t>/MPa</w:t>
            </w:r>
            <w:r>
              <w:t>）</w:t>
            </w:r>
          </w:p>
        </w:tc>
        <w:tc>
          <w:tcPr>
            <w:tcW w:w="1139" w:type="dxa"/>
            <w:tcBorders>
              <w:bottom w:val="single" w:color="auto" w:sz="4" w:space="0"/>
            </w:tcBorders>
          </w:tcPr>
          <w:p>
            <w:pPr>
              <w:jc w:val="center"/>
              <w:rPr>
                <w:i/>
              </w:rPr>
            </w:pPr>
            <m:oMathPara>
              <m:oMath>
                <m:sSub>
                  <m:sSubPr>
                    <m:ctrlPr>
                      <w:rPr>
                        <w:rFonts w:ascii="Cambria Math" w:hAnsi="Cambria Math"/>
                        <w:i/>
                      </w:rPr>
                    </m:ctrlPr>
                  </m:sSubPr>
                  <m:e>
                    <m:r>
                      <w:rPr>
                        <w:rFonts w:ascii="Cambria Math" w:hAnsi="Cambria Math"/>
                      </w:rPr>
                      <m:t>f</m:t>
                    </m:r>
                    <m:ctrlPr>
                      <w:rPr>
                        <w:rFonts w:ascii="Cambria Math" w:hAnsi="Cambria Math"/>
                        <w:i/>
                      </w:rPr>
                    </m:ctrlPr>
                  </m:e>
                  <m:sub>
                    <m:r>
                      <w:rPr>
                        <w:rFonts w:ascii="Cambria Math" w:hAnsi="Cambria Math"/>
                      </w:rPr>
                      <m:t>rx</m:t>
                    </m:r>
                    <m:ctrlPr>
                      <w:rPr>
                        <w:rFonts w:ascii="Cambria Math" w:hAnsi="Cambria Math"/>
                        <w:i/>
                      </w:rPr>
                    </m:ctrlPr>
                  </m:sub>
                </m:sSub>
              </m:oMath>
            </m:oMathPara>
          </w:p>
          <w:p>
            <w:pPr>
              <w:jc w:val="center"/>
            </w:pPr>
            <w:r>
              <w:t>（</w:t>
            </w:r>
            <w:r>
              <w:rPr>
                <w:rFonts w:hint="eastAsia"/>
              </w:rPr>
              <w:t>/MPa</w:t>
            </w:r>
            <w:r>
              <w:t>）</w:t>
            </w:r>
          </w:p>
        </w:tc>
        <w:tc>
          <w:tcPr>
            <w:tcW w:w="1139" w:type="dxa"/>
            <w:tcBorders>
              <w:bottom w:val="single" w:color="auto" w:sz="4" w:space="0"/>
            </w:tcBorders>
          </w:tcPr>
          <w:p>
            <w:pPr>
              <w:jc w:val="center"/>
              <w:rPr>
                <w:i/>
              </w:rPr>
            </w:pPr>
            <w:r>
              <w:rPr>
                <w:rFonts w:hint="eastAsia"/>
                <w:i/>
              </w:rPr>
              <w:t>t</w:t>
            </w:r>
          </w:p>
          <w:p>
            <w:pPr>
              <w:jc w:val="center"/>
            </w:pPr>
            <w:r>
              <w:rPr>
                <w:rFonts w:hint="eastAsia"/>
              </w:rPr>
              <w:t>(/mm)</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single" w:color="auto" w:sz="4" w:space="0"/>
              <w:bottom w:val="nil"/>
            </w:tcBorders>
          </w:tcPr>
          <w:p>
            <w:pPr>
              <w:jc w:val="center"/>
            </w:pPr>
            <w:r>
              <w:rPr>
                <w:rFonts w:hint="eastAsia"/>
              </w:rPr>
              <w:t>F1</w:t>
            </w:r>
          </w:p>
        </w:tc>
        <w:tc>
          <w:tcPr>
            <w:tcW w:w="1206" w:type="dxa"/>
            <w:tcBorders>
              <w:top w:val="single" w:color="auto" w:sz="4" w:space="0"/>
              <w:bottom w:val="nil"/>
            </w:tcBorders>
          </w:tcPr>
          <w:p>
            <w:pPr>
              <w:jc w:val="center"/>
            </w:pPr>
            <w:r>
              <w:rPr>
                <w:rFonts w:hint="eastAsia"/>
              </w:rPr>
              <w:t>10200</w:t>
            </w:r>
          </w:p>
        </w:tc>
        <w:tc>
          <w:tcPr>
            <w:tcW w:w="1206" w:type="dxa"/>
            <w:tcBorders>
              <w:top w:val="single" w:color="auto" w:sz="4" w:space="0"/>
              <w:bottom w:val="nil"/>
            </w:tcBorders>
          </w:tcPr>
          <w:p>
            <w:pPr>
              <w:jc w:val="center"/>
            </w:pPr>
            <w:r>
              <w:rPr>
                <w:rFonts w:hint="eastAsia"/>
              </w:rPr>
              <w:t>9000</w:t>
            </w:r>
          </w:p>
        </w:tc>
        <w:tc>
          <w:tcPr>
            <w:tcW w:w="1418" w:type="dxa"/>
            <w:tcBorders>
              <w:top w:val="single" w:color="auto" w:sz="4" w:space="0"/>
              <w:bottom w:val="nil"/>
            </w:tcBorders>
          </w:tcPr>
          <w:p>
            <w:pPr>
              <w:jc w:val="center"/>
            </w:pPr>
            <w:r>
              <w:rPr>
                <w:rFonts w:hint="eastAsia"/>
              </w:rPr>
              <w:t>345</w:t>
            </w:r>
          </w:p>
        </w:tc>
        <w:tc>
          <w:tcPr>
            <w:tcW w:w="1302" w:type="dxa"/>
            <w:tcBorders>
              <w:top w:val="single" w:color="auto" w:sz="4" w:space="0"/>
              <w:bottom w:val="nil"/>
            </w:tcBorders>
          </w:tcPr>
          <w:p>
            <w:pPr>
              <w:jc w:val="center"/>
            </w:pPr>
            <w:r>
              <w:rPr>
                <w:rFonts w:hint="eastAsia"/>
              </w:rPr>
              <w:t>29.6</w:t>
            </w:r>
          </w:p>
        </w:tc>
        <w:tc>
          <w:tcPr>
            <w:tcW w:w="1139" w:type="dxa"/>
            <w:tcBorders>
              <w:top w:val="single" w:color="auto" w:sz="4" w:space="0"/>
              <w:bottom w:val="nil"/>
            </w:tcBorders>
          </w:tcPr>
          <w:p>
            <w:pPr>
              <w:jc w:val="center"/>
            </w:pPr>
            <w:r>
              <w:rPr>
                <w:rFonts w:hint="eastAsia"/>
              </w:rPr>
              <w:t>400</w:t>
            </w:r>
          </w:p>
        </w:tc>
        <w:tc>
          <w:tcPr>
            <w:tcW w:w="1139" w:type="dxa"/>
            <w:tcBorders>
              <w:top w:val="single" w:color="auto" w:sz="4" w:space="0"/>
              <w:bottom w:val="nil"/>
            </w:tcBorders>
          </w:tcPr>
          <w:p>
            <w:pPr>
              <w:jc w:val="center"/>
            </w:pPr>
            <w:r>
              <w:rPr>
                <w:rFonts w:hint="eastAsia"/>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F2</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F3</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445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F4</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545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F5</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32.4</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F6</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35.5</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F7</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500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F8</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600</w:t>
            </w:r>
          </w:p>
        </w:tc>
        <w:tc>
          <w:tcPr>
            <w:tcW w:w="1139" w:type="dxa"/>
            <w:tcBorders>
              <w:top w:val="nil"/>
              <w:bottom w:val="nil"/>
            </w:tcBorders>
          </w:tcPr>
          <w:p>
            <w:pPr>
              <w:jc w:val="center"/>
            </w:pPr>
            <w:r>
              <w:rPr>
                <w:rFonts w:hint="eastAsia"/>
              </w:rPr>
              <w:t>40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nil"/>
            </w:tcBorders>
          </w:tcPr>
          <w:p>
            <w:pPr>
              <w:jc w:val="center"/>
            </w:pPr>
            <w:r>
              <w:rPr>
                <w:rFonts w:hint="eastAsia"/>
              </w:rPr>
              <w:t>F9</w:t>
            </w:r>
          </w:p>
        </w:tc>
        <w:tc>
          <w:tcPr>
            <w:tcW w:w="1206" w:type="dxa"/>
            <w:tcBorders>
              <w:top w:val="nil"/>
              <w:bottom w:val="nil"/>
            </w:tcBorders>
          </w:tcPr>
          <w:p>
            <w:pPr>
              <w:jc w:val="center"/>
            </w:pPr>
            <w:r>
              <w:rPr>
                <w:rFonts w:hint="eastAsia"/>
              </w:rPr>
              <w:t>10200</w:t>
            </w:r>
          </w:p>
        </w:tc>
        <w:tc>
          <w:tcPr>
            <w:tcW w:w="1206" w:type="dxa"/>
            <w:tcBorders>
              <w:top w:val="nil"/>
              <w:bottom w:val="nil"/>
            </w:tcBorders>
          </w:tcPr>
          <w:p>
            <w:pPr>
              <w:jc w:val="center"/>
            </w:pPr>
            <w:r>
              <w:rPr>
                <w:rFonts w:hint="eastAsia"/>
              </w:rPr>
              <w:t>9000</w:t>
            </w:r>
          </w:p>
        </w:tc>
        <w:tc>
          <w:tcPr>
            <w:tcW w:w="1418" w:type="dxa"/>
            <w:tcBorders>
              <w:top w:val="nil"/>
              <w:bottom w:val="nil"/>
            </w:tcBorders>
          </w:tcPr>
          <w:p>
            <w:pPr>
              <w:jc w:val="center"/>
            </w:pPr>
            <w:r>
              <w:rPr>
                <w:rFonts w:hint="eastAsia"/>
              </w:rPr>
              <w:t>345</w:t>
            </w:r>
          </w:p>
        </w:tc>
        <w:tc>
          <w:tcPr>
            <w:tcW w:w="1302" w:type="dxa"/>
            <w:tcBorders>
              <w:top w:val="nil"/>
              <w:bottom w:val="nil"/>
            </w:tcBorders>
          </w:tcPr>
          <w:p>
            <w:pPr>
              <w:jc w:val="center"/>
            </w:pPr>
            <w:r>
              <w:rPr>
                <w:rFonts w:hint="eastAsia"/>
              </w:rPr>
              <w:t>29.6</w:t>
            </w:r>
          </w:p>
        </w:tc>
        <w:tc>
          <w:tcPr>
            <w:tcW w:w="1139" w:type="dxa"/>
            <w:tcBorders>
              <w:top w:val="nil"/>
              <w:bottom w:val="nil"/>
            </w:tcBorders>
          </w:tcPr>
          <w:p>
            <w:pPr>
              <w:jc w:val="center"/>
            </w:pPr>
            <w:r>
              <w:rPr>
                <w:rFonts w:hint="eastAsia"/>
              </w:rPr>
              <w:t>400</w:t>
            </w:r>
          </w:p>
        </w:tc>
        <w:tc>
          <w:tcPr>
            <w:tcW w:w="1139" w:type="dxa"/>
            <w:tcBorders>
              <w:top w:val="nil"/>
              <w:bottom w:val="nil"/>
            </w:tcBorders>
          </w:tcPr>
          <w:p>
            <w:pPr>
              <w:jc w:val="center"/>
            </w:pPr>
            <w:r>
              <w:rPr>
                <w:rFonts w:hint="eastAsia"/>
              </w:rPr>
              <w:t>50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1112" w:type="dxa"/>
            <w:tcBorders>
              <w:top w:val="nil"/>
              <w:bottom w:val="single" w:color="auto" w:sz="4" w:space="0"/>
            </w:tcBorders>
          </w:tcPr>
          <w:p>
            <w:pPr>
              <w:jc w:val="center"/>
            </w:pPr>
            <w:r>
              <w:rPr>
                <w:rFonts w:hint="eastAsia"/>
              </w:rPr>
              <w:t>F10</w:t>
            </w:r>
          </w:p>
        </w:tc>
        <w:tc>
          <w:tcPr>
            <w:tcW w:w="1206" w:type="dxa"/>
            <w:tcBorders>
              <w:top w:val="nil"/>
              <w:bottom w:val="single" w:color="auto" w:sz="4" w:space="0"/>
            </w:tcBorders>
          </w:tcPr>
          <w:p>
            <w:pPr>
              <w:jc w:val="center"/>
            </w:pPr>
            <w:r>
              <w:rPr>
                <w:rFonts w:hint="eastAsia"/>
              </w:rPr>
              <w:t>10200</w:t>
            </w:r>
          </w:p>
        </w:tc>
        <w:tc>
          <w:tcPr>
            <w:tcW w:w="1206" w:type="dxa"/>
            <w:tcBorders>
              <w:top w:val="nil"/>
              <w:bottom w:val="single" w:color="auto" w:sz="4" w:space="0"/>
            </w:tcBorders>
          </w:tcPr>
          <w:p>
            <w:pPr>
              <w:jc w:val="center"/>
            </w:pPr>
            <w:r>
              <w:rPr>
                <w:rFonts w:hint="eastAsia"/>
              </w:rPr>
              <w:t>9000</w:t>
            </w:r>
          </w:p>
        </w:tc>
        <w:tc>
          <w:tcPr>
            <w:tcW w:w="1418" w:type="dxa"/>
            <w:tcBorders>
              <w:top w:val="nil"/>
              <w:bottom w:val="single" w:color="auto" w:sz="4" w:space="0"/>
            </w:tcBorders>
          </w:tcPr>
          <w:p>
            <w:pPr>
              <w:jc w:val="center"/>
            </w:pPr>
            <w:r>
              <w:rPr>
                <w:rFonts w:hint="eastAsia"/>
              </w:rPr>
              <w:t>345</w:t>
            </w:r>
          </w:p>
        </w:tc>
        <w:tc>
          <w:tcPr>
            <w:tcW w:w="1302" w:type="dxa"/>
            <w:tcBorders>
              <w:top w:val="nil"/>
              <w:bottom w:val="single" w:color="auto" w:sz="4" w:space="0"/>
            </w:tcBorders>
          </w:tcPr>
          <w:p>
            <w:pPr>
              <w:jc w:val="center"/>
            </w:pPr>
            <w:r>
              <w:rPr>
                <w:rFonts w:hint="eastAsia"/>
              </w:rPr>
              <w:t>29.6</w:t>
            </w:r>
          </w:p>
        </w:tc>
        <w:tc>
          <w:tcPr>
            <w:tcW w:w="1139" w:type="dxa"/>
            <w:tcBorders>
              <w:top w:val="nil"/>
              <w:bottom w:val="single" w:color="auto" w:sz="4" w:space="0"/>
            </w:tcBorders>
          </w:tcPr>
          <w:p>
            <w:pPr>
              <w:jc w:val="center"/>
            </w:pPr>
            <w:r>
              <w:rPr>
                <w:rFonts w:hint="eastAsia"/>
              </w:rPr>
              <w:t>400</w:t>
            </w:r>
          </w:p>
        </w:tc>
        <w:tc>
          <w:tcPr>
            <w:tcW w:w="1139" w:type="dxa"/>
            <w:tcBorders>
              <w:top w:val="nil"/>
              <w:bottom w:val="single" w:color="auto" w:sz="4" w:space="0"/>
            </w:tcBorders>
          </w:tcPr>
          <w:p>
            <w:pPr>
              <w:jc w:val="center"/>
            </w:pPr>
            <w:r>
              <w:rPr>
                <w:rFonts w:hint="eastAsia"/>
              </w:rPr>
              <w:t>60</w:t>
            </w:r>
          </w:p>
        </w:tc>
      </w:tr>
    </w:tbl>
    <w:p>
      <w:pPr>
        <w:jc w:val="left"/>
        <w:rPr>
          <w:sz w:val="18"/>
          <w:szCs w:val="18"/>
        </w:rPr>
      </w:pPr>
      <w:r>
        <w:rPr>
          <w:rFonts w:hint="eastAsia"/>
          <w:sz w:val="18"/>
          <w:szCs w:val="18"/>
        </w:rPr>
        <w:t>注：</w:t>
      </w:r>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yx</m:t>
            </m:r>
            <m:ctrlPr>
              <w:rPr>
                <w:rFonts w:ascii="Cambria Math" w:hAnsi="Cambria Math"/>
                <w:i/>
                <w:sz w:val="18"/>
                <w:szCs w:val="18"/>
              </w:rPr>
            </m:ctrlPr>
          </m:sub>
        </m:sSub>
      </m:oMath>
      <w:r>
        <w:rPr>
          <w:sz w:val="18"/>
          <w:szCs w:val="18"/>
        </w:rPr>
        <w:t>和</w:t>
      </w:r>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rx</m:t>
            </m:r>
            <m:ctrlPr>
              <w:rPr>
                <w:rFonts w:ascii="Cambria Math" w:hAnsi="Cambria Math"/>
                <w:i/>
                <w:sz w:val="18"/>
                <w:szCs w:val="18"/>
              </w:rPr>
            </m:ctrlPr>
          </m:sub>
        </m:sSub>
      </m:oMath>
      <w:r>
        <w:rPr>
          <w:sz w:val="18"/>
          <w:szCs w:val="18"/>
        </w:rPr>
        <w:t>分别为斜撑中型钢和钢筋的屈服强度；</w:t>
      </w:r>
      <m:oMath>
        <m:sSub>
          <m:sSubPr>
            <m:ctrlPr>
              <w:rPr>
                <w:rFonts w:ascii="Cambria Math" w:hAnsi="Cambria Math"/>
                <w:i/>
                <w:sz w:val="18"/>
                <w:szCs w:val="18"/>
              </w:rPr>
            </m:ctrlPr>
          </m:sSubPr>
          <m:e>
            <m:r>
              <w:rPr>
                <w:rFonts w:ascii="Cambria Math" w:hAnsi="Cambria Math"/>
                <w:sz w:val="18"/>
                <w:szCs w:val="18"/>
              </w:rPr>
              <m:t>f</m:t>
            </m:r>
            <m:ctrlPr>
              <w:rPr>
                <w:rFonts w:ascii="Cambria Math" w:hAnsi="Cambria Math"/>
                <w:i/>
                <w:sz w:val="18"/>
                <w:szCs w:val="18"/>
              </w:rPr>
            </m:ctrlPr>
          </m:e>
          <m:sub>
            <m:r>
              <w:rPr>
                <w:rFonts w:ascii="Cambria Math" w:hAnsi="Cambria Math"/>
                <w:sz w:val="18"/>
                <w:szCs w:val="18"/>
              </w:rPr>
              <m:t>cx</m:t>
            </m:r>
            <m:ctrlPr>
              <w:rPr>
                <w:rFonts w:ascii="Cambria Math" w:hAnsi="Cambria Math"/>
                <w:i/>
                <w:sz w:val="18"/>
                <w:szCs w:val="18"/>
              </w:rPr>
            </m:ctrlPr>
          </m:sub>
        </m:sSub>
      </m:oMath>
      <w:r>
        <w:rPr>
          <w:sz w:val="18"/>
          <w:szCs w:val="18"/>
        </w:rPr>
        <w:t>为斜撑中混凝土的峰值</w:t>
      </w:r>
      <w:r>
        <w:rPr>
          <w:rFonts w:hint="eastAsia"/>
          <w:sz w:val="18"/>
          <w:szCs w:val="18"/>
        </w:rPr>
        <w:t>强度。</w:t>
      </w:r>
    </w:p>
    <w:p>
      <w:pPr>
        <w:jc w:val="left"/>
        <w:rPr>
          <w:i/>
        </w:rPr>
      </w:pPr>
    </w:p>
    <w:p>
      <w:pPr>
        <w:rPr>
          <w:b/>
          <w:sz w:val="24"/>
        </w:rPr>
      </w:pPr>
      <w:r>
        <w:rPr>
          <w:rFonts w:hint="eastAsia"/>
          <w:b/>
          <w:sz w:val="24"/>
        </w:rPr>
        <w:t>3. 有限元模型</w:t>
      </w:r>
    </w:p>
    <w:p>
      <w:pPr>
        <w:rPr>
          <w:b/>
          <w:szCs w:val="21"/>
        </w:rPr>
      </w:pPr>
      <w:r>
        <w:rPr>
          <w:rFonts w:hint="eastAsia"/>
          <w:b/>
          <w:szCs w:val="21"/>
        </w:rPr>
        <w:t>3.1 材料模型</w:t>
      </w:r>
    </w:p>
    <w:p>
      <w:pPr>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Theme="minorEastAsia" w:hAnsiTheme="minorEastAsia" w:eastAsiaTheme="minorEastAsia"/>
          <w:szCs w:val="21"/>
        </w:rPr>
        <w:t>混凝土采用塑性损伤模型，膨胀角取</w:t>
      </w:r>
      <w:r>
        <w:rPr>
          <w:rFonts w:hint="eastAsia" w:eastAsiaTheme="minorEastAsia"/>
          <w:szCs w:val="21"/>
        </w:rPr>
        <w:t>30°，</w:t>
      </w:r>
      <w:r>
        <w:rPr>
          <w:rFonts w:hint="eastAsia" w:asciiTheme="minorEastAsia" w:hAnsiTheme="minorEastAsia" w:eastAsiaTheme="minorEastAsia"/>
          <w:szCs w:val="21"/>
        </w:rPr>
        <w:t>偏心率为</w:t>
      </w:r>
      <w:r>
        <w:rPr>
          <w:rFonts w:eastAsiaTheme="minorEastAsia"/>
          <w:szCs w:val="21"/>
        </w:rPr>
        <w:t>0.1</w:t>
      </w:r>
      <w:r>
        <w:rPr>
          <w:rFonts w:hint="eastAsia" w:eastAsiaTheme="minorEastAsia"/>
          <w:szCs w:val="21"/>
        </w:rPr>
        <w:t>，</w:t>
      </w:r>
      <m:oMath>
        <m:sSub>
          <m:sSubPr>
            <m:ctrlPr>
              <w:rPr>
                <w:rFonts w:ascii="Cambria Math" w:hAnsi="Cambria Math" w:eastAsiaTheme="minorEastAsia"/>
                <w:i/>
                <w:szCs w:val="21"/>
              </w:rPr>
            </m:ctrlPr>
          </m:sSubPr>
          <m:e>
            <m:r>
              <w:rPr>
                <w:rFonts w:ascii="Cambria Math" w:hAnsi="Cambria Math" w:eastAsiaTheme="minorEastAsia"/>
                <w:szCs w:val="21"/>
              </w:rPr>
              <m:t>f</m:t>
            </m:r>
            <m:ctrlPr>
              <w:rPr>
                <w:rFonts w:ascii="Cambria Math" w:hAnsi="Cambria Math" w:eastAsiaTheme="minorEastAsia"/>
                <w:i/>
                <w:szCs w:val="21"/>
              </w:rPr>
            </m:ctrlPr>
          </m:e>
          <m:sub>
            <m:r>
              <w:rPr>
                <w:rFonts w:ascii="Cambria Math" w:hAnsi="Cambria Math" w:eastAsiaTheme="minorEastAsia"/>
                <w:szCs w:val="21"/>
              </w:rPr>
              <m:t>bo</m:t>
            </m:r>
            <m:ctrlPr>
              <w:rPr>
                <w:rFonts w:ascii="Cambria Math" w:hAnsi="Cambria Math" w:eastAsiaTheme="minorEastAsia"/>
                <w:i/>
                <w:szCs w:val="21"/>
              </w:rPr>
            </m:ctrlPr>
          </m:sub>
        </m:sSub>
        <m:r>
          <w:rPr>
            <w:rFonts w:ascii="Cambria Math" w:hAnsi="Cambria Math" w:eastAsiaTheme="minorEastAsia"/>
            <w:szCs w:val="21"/>
          </w:rPr>
          <m:t>/</m:t>
        </m:r>
        <m:sSub>
          <m:sSubPr>
            <m:ctrlPr>
              <w:rPr>
                <w:rFonts w:ascii="Cambria Math" w:hAnsi="Cambria Math" w:eastAsiaTheme="minorEastAsia"/>
                <w:i/>
                <w:szCs w:val="21"/>
              </w:rPr>
            </m:ctrlPr>
          </m:sSubPr>
          <m:e>
            <m:r>
              <w:rPr>
                <w:rFonts w:ascii="Cambria Math" w:hAnsi="Cambria Math" w:eastAsiaTheme="minorEastAsia"/>
                <w:szCs w:val="21"/>
              </w:rPr>
              <m:t>f</m:t>
            </m:r>
            <m:ctrlPr>
              <w:rPr>
                <w:rFonts w:ascii="Cambria Math" w:hAnsi="Cambria Math" w:eastAsiaTheme="minorEastAsia"/>
                <w:i/>
                <w:szCs w:val="21"/>
              </w:rPr>
            </m:ctrlPr>
          </m:e>
          <m:sub>
            <m:r>
              <w:rPr>
                <w:rFonts w:ascii="Cambria Math" w:hAnsi="Cambria Math" w:eastAsiaTheme="minorEastAsia"/>
                <w:szCs w:val="21"/>
              </w:rPr>
              <m:t>co</m:t>
            </m:r>
            <m:ctrlPr>
              <w:rPr>
                <w:rFonts w:ascii="Cambria Math" w:hAnsi="Cambria Math" w:eastAsiaTheme="minorEastAsia"/>
                <w:i/>
                <w:szCs w:val="21"/>
              </w:rPr>
            </m:ctrlPr>
          </m:sub>
        </m:sSub>
      </m:oMath>
      <w:r>
        <w:rPr>
          <w:rFonts w:hint="eastAsia" w:eastAsiaTheme="minorEastAsia"/>
          <w:szCs w:val="21"/>
        </w:rPr>
        <w:t>为</w:t>
      </w:r>
      <w:r>
        <w:rPr>
          <w:rFonts w:eastAsiaTheme="minorEastAsia"/>
          <w:szCs w:val="21"/>
        </w:rPr>
        <w:t>1.16</w:t>
      </w:r>
      <w:r>
        <w:rPr>
          <w:rFonts w:asciiTheme="minorEastAsia" w:hAnsiTheme="minorEastAsia" w:eastAsiaTheme="minorEastAsia"/>
          <w:szCs w:val="21"/>
        </w:rPr>
        <w:t>，</w:t>
      </w:r>
      <m:oMath>
        <m:r>
          <w:rPr>
            <w:rFonts w:ascii="Cambria Math" w:hAnsi="Cambria Math" w:eastAsiaTheme="minorEastAsia"/>
            <w:szCs w:val="21"/>
          </w:rPr>
          <m:t>K</m:t>
        </m:r>
      </m:oMath>
      <w:r>
        <w:rPr>
          <w:rFonts w:hint="eastAsia" w:asciiTheme="minorEastAsia" w:hAnsiTheme="minorEastAsia" w:eastAsiaTheme="minorEastAsia"/>
          <w:szCs w:val="21"/>
        </w:rPr>
        <w:t>取</w:t>
      </w:r>
      <w:r>
        <w:rPr>
          <w:rFonts w:eastAsiaTheme="minorEastAsia"/>
          <w:szCs w:val="21"/>
        </w:rPr>
        <w:t>0.6667</w:t>
      </w:r>
      <w:r>
        <w:rPr>
          <w:rFonts w:asciiTheme="minorEastAsia" w:hAnsiTheme="minorEastAsia" w:eastAsiaTheme="minorEastAsia"/>
          <w:szCs w:val="21"/>
        </w:rPr>
        <w:t>，黏性系数取为</w:t>
      </w:r>
      <w:r>
        <w:rPr>
          <w:rFonts w:eastAsiaTheme="minorEastAsia"/>
          <w:szCs w:val="21"/>
        </w:rPr>
        <w:t>0.00</w:t>
      </w:r>
      <w:r>
        <w:rPr>
          <w:rFonts w:hint="eastAsia" w:eastAsiaTheme="minorEastAsia"/>
          <w:szCs w:val="21"/>
        </w:rPr>
        <w:t>5</w:t>
      </w:r>
      <w:r>
        <w:rPr>
          <w:rFonts w:asciiTheme="minorEastAsia" w:hAnsiTheme="minorEastAsia" w:eastAsiaTheme="minorEastAsia"/>
          <w:szCs w:val="21"/>
        </w:rPr>
        <w:t>。混凝土受拉受压应力应变关系采用《混凝土结构设计规范》</w:t>
      </w:r>
      <w:r>
        <w:rPr>
          <w:rFonts w:eastAsiaTheme="minorEastAsia"/>
          <w:szCs w:val="21"/>
        </w:rPr>
        <w:t>（GB50010-2010）</w:t>
      </w:r>
      <w:r>
        <w:rPr>
          <w:rFonts w:hint="eastAsia" w:eastAsiaTheme="minorEastAsia"/>
          <w:szCs w:val="21"/>
          <w:vertAlign w:val="superscript"/>
        </w:rPr>
        <w:t>[6]</w:t>
      </w:r>
      <w:r>
        <w:rPr>
          <w:rFonts w:asciiTheme="minorEastAsia" w:hAnsiTheme="minorEastAsia" w:eastAsiaTheme="minorEastAsia"/>
          <w:szCs w:val="21"/>
        </w:rPr>
        <w:t>推荐</w:t>
      </w:r>
      <w:r>
        <w:rPr>
          <w:rFonts w:hint="eastAsia" w:asciiTheme="minorEastAsia" w:hAnsiTheme="minorEastAsia" w:eastAsiaTheme="minorEastAsia"/>
          <w:szCs w:val="21"/>
        </w:rPr>
        <w:t>的模型，见图</w:t>
      </w:r>
      <w:r>
        <w:rPr>
          <w:rFonts w:hint="eastAsia" w:eastAsiaTheme="minorEastAsia"/>
          <w:szCs w:val="21"/>
        </w:rPr>
        <w:t>4</w:t>
      </w:r>
      <w:r>
        <w:rPr>
          <w:rFonts w:eastAsiaTheme="minorEastAsia"/>
          <w:szCs w:val="21"/>
        </w:rPr>
        <w:t>(a)</w:t>
      </w:r>
      <w:r>
        <w:rPr>
          <w:rFonts w:hint="eastAsia" w:asciiTheme="minorEastAsia" w:hAnsiTheme="minorEastAsia" w:eastAsiaTheme="minorEastAsia"/>
          <w:szCs w:val="21"/>
        </w:rPr>
        <w:t>所示。图中，</w:t>
      </w:r>
      <m:oMath>
        <m:sSubSup>
          <m:sSubSupPr>
            <m:ctrlPr>
              <w:rPr>
                <w:rFonts w:ascii="Cambria Math" w:hAnsi="Cambria Math"/>
                <w:iCs/>
                <w:szCs w:val="21"/>
              </w:rPr>
            </m:ctrlPr>
          </m:sSubSupPr>
          <m:e>
            <m:r>
              <w:rPr>
                <w:rFonts w:ascii="Cambria Math" w:hAnsi="Cambria Math"/>
                <w:szCs w:val="21"/>
              </w:rPr>
              <m:t>f</m:t>
            </m:r>
            <m:ctrlPr>
              <w:rPr>
                <w:rFonts w:ascii="Cambria Math" w:hAnsi="Cambria Math"/>
                <w:iCs/>
                <w:szCs w:val="21"/>
              </w:rPr>
            </m:ctrlPr>
          </m:e>
          <m:sub>
            <m:r>
              <w:rPr>
                <w:rFonts w:ascii="Cambria Math" w:hAnsi="Cambria Math"/>
                <w:szCs w:val="21"/>
              </w:rPr>
              <m:t>t</m:t>
            </m:r>
            <m:ctrlPr>
              <w:rPr>
                <w:rFonts w:ascii="Cambria Math" w:hAnsi="Cambria Math"/>
                <w:iCs/>
                <w:szCs w:val="21"/>
              </w:rPr>
            </m:ctrlPr>
          </m:sub>
          <m:sup>
            <m:r>
              <w:rPr>
                <w:rFonts w:ascii="Cambria Math" w:hAnsi="Cambria Math"/>
                <w:szCs w:val="21"/>
              </w:rPr>
              <m:t>*</m:t>
            </m:r>
            <m:ctrlPr>
              <w:rPr>
                <w:rFonts w:ascii="Cambria Math" w:hAnsi="Cambria Math"/>
                <w:iCs/>
                <w:szCs w:val="21"/>
              </w:rPr>
            </m:ctrlPr>
          </m:sup>
        </m:sSubSup>
      </m:oMath>
      <w:r>
        <w:rPr>
          <w:rFonts w:hint="eastAsia" w:asciiTheme="minorEastAsia" w:hAnsiTheme="minorEastAsia" w:eastAsiaTheme="minorEastAsia"/>
          <w:szCs w:val="21"/>
        </w:rPr>
        <w:t>为混凝土的单轴抗拉强度；</w:t>
      </w:r>
      <m:oMath>
        <m:sSub>
          <m:sSubPr>
            <m:ctrlPr>
              <w:rPr>
                <w:rFonts w:ascii="Cambria Math" w:hAnsi="Cambria Math"/>
                <w:szCs w:val="21"/>
                <w:vertAlign w:val="subscript"/>
              </w:rPr>
            </m:ctrlPr>
          </m:sSubPr>
          <m:e>
            <m:r>
              <w:rPr>
                <w:rFonts w:ascii="Cambria Math" w:hAnsi="Cambria Math"/>
                <w:szCs w:val="21"/>
                <w:vertAlign w:val="subscript"/>
              </w:rPr>
              <m:t>ε</m:t>
            </m:r>
            <m:ctrlPr>
              <w:rPr>
                <w:rFonts w:ascii="Cambria Math" w:hAnsi="Cambria Math"/>
                <w:szCs w:val="21"/>
                <w:vertAlign w:val="subscript"/>
              </w:rPr>
            </m:ctrlPr>
          </m:e>
          <m:sub>
            <m:r>
              <w:rPr>
                <w:rFonts w:ascii="Cambria Math" w:hAnsi="Cambria Math"/>
                <w:szCs w:val="21"/>
                <w:vertAlign w:val="subscript"/>
              </w:rPr>
              <m:t>t</m:t>
            </m:r>
            <m:ctrlPr>
              <w:rPr>
                <w:rFonts w:ascii="Cambria Math" w:hAnsi="Cambria Math"/>
                <w:szCs w:val="21"/>
                <w:vertAlign w:val="subscript"/>
              </w:rPr>
            </m:ctrlPr>
          </m:sub>
        </m:sSub>
      </m:oMath>
      <w:r>
        <w:rPr>
          <w:rFonts w:hint="eastAsia" w:asciiTheme="minorEastAsia" w:hAnsiTheme="minorEastAsia" w:eastAsiaTheme="minorEastAsia"/>
          <w:szCs w:val="21"/>
        </w:rPr>
        <w:t>为与单轴抗拉强度</w:t>
      </w:r>
      <m:oMath>
        <m:sSubSup>
          <m:sSubSupPr>
            <m:ctrlPr>
              <w:rPr>
                <w:rFonts w:ascii="Cambria Math" w:hAnsi="Cambria Math"/>
                <w:iCs/>
                <w:szCs w:val="21"/>
              </w:rPr>
            </m:ctrlPr>
          </m:sSubSupPr>
          <m:e>
            <m:r>
              <w:rPr>
                <w:rFonts w:ascii="Cambria Math" w:hAnsi="Cambria Math"/>
                <w:szCs w:val="21"/>
              </w:rPr>
              <m:t>f</m:t>
            </m:r>
            <m:ctrlPr>
              <w:rPr>
                <w:rFonts w:ascii="Cambria Math" w:hAnsi="Cambria Math"/>
                <w:iCs/>
                <w:szCs w:val="21"/>
              </w:rPr>
            </m:ctrlPr>
          </m:e>
          <m:sub>
            <m:r>
              <w:rPr>
                <w:rFonts w:ascii="Cambria Math" w:hAnsi="Cambria Math"/>
                <w:szCs w:val="21"/>
              </w:rPr>
              <m:t>t</m:t>
            </m:r>
            <m:ctrlPr>
              <w:rPr>
                <w:rFonts w:ascii="Cambria Math" w:hAnsi="Cambria Math"/>
                <w:iCs/>
                <w:szCs w:val="21"/>
              </w:rPr>
            </m:ctrlPr>
          </m:sub>
          <m:sup>
            <m:r>
              <w:rPr>
                <w:rFonts w:ascii="Cambria Math" w:hAnsi="Cambria Math"/>
                <w:szCs w:val="21"/>
              </w:rPr>
              <m:t>*</m:t>
            </m:r>
            <m:ctrlPr>
              <w:rPr>
                <w:rFonts w:ascii="Cambria Math" w:hAnsi="Cambria Math"/>
                <w:iCs/>
                <w:szCs w:val="21"/>
              </w:rPr>
            </m:ctrlPr>
          </m:sup>
        </m:sSubSup>
      </m:oMath>
      <w:r>
        <w:rPr>
          <w:rFonts w:hint="eastAsia" w:asciiTheme="minorEastAsia" w:hAnsiTheme="minorEastAsia" w:eastAsiaTheme="minorEastAsia"/>
          <w:szCs w:val="21"/>
        </w:rPr>
        <w:t>对应的混凝土的峰值拉应变；</w:t>
      </w:r>
      <w:r>
        <w:rPr>
          <w:rFonts w:eastAsiaTheme="minorEastAsia"/>
          <w:i/>
          <w:iCs/>
          <w:szCs w:val="21"/>
        </w:rPr>
        <w:t>f</w:t>
      </w:r>
      <w:r>
        <w:rPr>
          <w:rFonts w:eastAsiaTheme="minorEastAsia"/>
          <w:szCs w:val="21"/>
          <w:vertAlign w:val="subscript"/>
        </w:rPr>
        <w:t>c</w:t>
      </w:r>
      <w:r>
        <w:rPr>
          <w:rFonts w:eastAsiaTheme="minorEastAsia"/>
          <w:szCs w:val="21"/>
          <w:vertAlign w:val="superscript"/>
        </w:rPr>
        <w:t>*</w:t>
      </w:r>
      <w:r>
        <w:rPr>
          <w:rFonts w:hint="eastAsia" w:asciiTheme="minorEastAsia" w:hAnsiTheme="minorEastAsia" w:eastAsiaTheme="minorEastAsia"/>
          <w:szCs w:val="21"/>
        </w:rPr>
        <w:t>为混凝土的单轴抗压强度；</w:t>
      </w:r>
      <m:oMath>
        <m:sSub>
          <m:sSubPr>
            <m:ctrlPr>
              <w:rPr>
                <w:rFonts w:ascii="Cambria Math" w:hAnsi="Cambria Math"/>
                <w:szCs w:val="21"/>
              </w:rPr>
            </m:ctrlPr>
          </m:sSubPr>
          <m:e>
            <m:r>
              <w:rPr>
                <w:rFonts w:ascii="Cambria Math" w:hAnsi="Cambria Math"/>
                <w:szCs w:val="21"/>
              </w:rPr>
              <m:t>ε</m:t>
            </m:r>
            <m:ctrlPr>
              <w:rPr>
                <w:rFonts w:ascii="Cambria Math" w:hAnsi="Cambria Math"/>
                <w:szCs w:val="21"/>
              </w:rPr>
            </m:ctrlPr>
          </m:e>
          <m:sub>
            <m:r>
              <w:rPr>
                <w:rFonts w:ascii="Cambria Math" w:hAnsi="Cambria Math"/>
                <w:szCs w:val="21"/>
              </w:rPr>
              <m:t>c</m:t>
            </m:r>
            <m:ctrlPr>
              <w:rPr>
                <w:rFonts w:ascii="Cambria Math" w:hAnsi="Cambria Math"/>
                <w:szCs w:val="21"/>
              </w:rPr>
            </m:ctrlPr>
          </m:sub>
        </m:sSub>
      </m:oMath>
      <w:r>
        <w:rPr>
          <w:rFonts w:hint="eastAsia" w:asciiTheme="minorEastAsia" w:hAnsiTheme="minorEastAsia" w:eastAsiaTheme="minorEastAsia"/>
          <w:szCs w:val="21"/>
        </w:rPr>
        <w:t>为与单轴抗拉强度</w:t>
      </w:r>
      <w:r>
        <w:rPr>
          <w:rFonts w:eastAsiaTheme="minorEastAsia"/>
          <w:i/>
          <w:iCs/>
          <w:szCs w:val="21"/>
        </w:rPr>
        <w:t>f</w:t>
      </w:r>
      <w:r>
        <w:rPr>
          <w:rFonts w:eastAsiaTheme="minorEastAsia"/>
          <w:szCs w:val="21"/>
          <w:vertAlign w:val="subscript"/>
        </w:rPr>
        <w:t>c</w:t>
      </w:r>
      <w:r>
        <w:rPr>
          <w:rFonts w:eastAsiaTheme="minorEastAsia"/>
          <w:szCs w:val="21"/>
          <w:vertAlign w:val="superscript"/>
        </w:rPr>
        <w:t>*</w:t>
      </w:r>
      <w:r>
        <w:rPr>
          <w:rFonts w:eastAsiaTheme="minorEastAsia"/>
          <w:szCs w:val="21"/>
        </w:rPr>
        <w:t>对</w:t>
      </w:r>
      <w:r>
        <w:rPr>
          <w:rFonts w:hint="eastAsia" w:asciiTheme="minorEastAsia" w:hAnsiTheme="minorEastAsia" w:eastAsiaTheme="minorEastAsia"/>
          <w:szCs w:val="21"/>
        </w:rPr>
        <w:t>应的混凝土的峰值压应变。混凝土弹性模量取为</w:t>
      </w:r>
      <m:oMath>
        <m:r>
          <m:rPr>
            <m:sty m:val="p"/>
          </m:rPr>
          <w:rPr>
            <w:rFonts w:ascii="Cambria Math" w:hAnsi="Cambria Math" w:eastAsiaTheme="minorEastAsia"/>
            <w:szCs w:val="21"/>
          </w:rPr>
          <m:t>4700</m:t>
        </m:r>
        <m:rad>
          <m:radPr>
            <m:degHide m:val="1"/>
            <m:ctrlPr>
              <w:rPr>
                <w:rFonts w:ascii="Cambria Math" w:hAnsi="Cambria Math" w:eastAsiaTheme="minorEastAsia"/>
                <w:szCs w:val="21"/>
              </w:rPr>
            </m:ctrlPr>
          </m:radPr>
          <m:deg>
            <m:ctrlPr>
              <w:rPr>
                <w:rFonts w:ascii="Cambria Math" w:hAnsi="Cambria Math" w:eastAsiaTheme="minorEastAsia"/>
                <w:szCs w:val="21"/>
              </w:rPr>
            </m:ctrlPr>
          </m:deg>
          <m:e>
            <m:sSubSup>
              <m:sSubSupPr>
                <m:ctrlPr>
                  <w:rPr>
                    <w:rFonts w:ascii="Cambria Math" w:hAnsi="Cambria Math" w:eastAsiaTheme="minorEastAsia"/>
                    <w:i/>
                    <w:szCs w:val="21"/>
                  </w:rPr>
                </m:ctrlPr>
              </m:sSubSupPr>
              <m:e>
                <m:r>
                  <w:rPr>
                    <w:rFonts w:ascii="Cambria Math" w:hAnsi="Cambria Math" w:eastAsiaTheme="minorEastAsia"/>
                    <w:szCs w:val="21"/>
                  </w:rPr>
                  <m:t>f</m:t>
                </m:r>
                <m:ctrlPr>
                  <w:rPr>
                    <w:rFonts w:ascii="Cambria Math" w:hAnsi="Cambria Math" w:eastAsiaTheme="minorEastAsia"/>
                    <w:i/>
                    <w:szCs w:val="21"/>
                  </w:rPr>
                </m:ctrlPr>
              </m:e>
              <m:sub>
                <m:r>
                  <w:rPr>
                    <w:rFonts w:ascii="Cambria Math" w:hAnsi="Cambria Math" w:eastAsiaTheme="minorEastAsia"/>
                    <w:szCs w:val="21"/>
                  </w:rPr>
                  <m:t>c</m:t>
                </m:r>
                <m:ctrlPr>
                  <w:rPr>
                    <w:rFonts w:ascii="Cambria Math" w:hAnsi="Cambria Math" w:eastAsiaTheme="minorEastAsia"/>
                    <w:i/>
                    <w:szCs w:val="21"/>
                  </w:rPr>
                </m:ctrlPr>
              </m:sub>
              <m:sup>
                <m:r>
                  <w:rPr>
                    <w:rFonts w:ascii="Cambria Math" w:hAnsi="Cambria Math" w:eastAsiaTheme="minorEastAsia"/>
                    <w:szCs w:val="21"/>
                  </w:rPr>
                  <m:t>*</m:t>
                </m:r>
                <m:ctrlPr>
                  <w:rPr>
                    <w:rFonts w:ascii="Cambria Math" w:hAnsi="Cambria Math" w:eastAsiaTheme="minorEastAsia"/>
                    <w:i/>
                    <w:szCs w:val="21"/>
                  </w:rPr>
                </m:ctrlPr>
              </m:sup>
            </m:sSubSup>
            <m:ctrlPr>
              <w:rPr>
                <w:rFonts w:ascii="Cambria Math" w:hAnsi="Cambria Math" w:eastAsiaTheme="minorEastAsia"/>
                <w:szCs w:val="21"/>
              </w:rPr>
            </m:ctrlPr>
          </m:e>
        </m:rad>
      </m:oMath>
      <w:r>
        <w:rPr>
          <w:rFonts w:eastAsiaTheme="minorEastAsia"/>
          <w:szCs w:val="21"/>
          <w:vertAlign w:val="superscript"/>
        </w:rPr>
        <w:t>[7]</w:t>
      </w:r>
      <w:r>
        <w:rPr>
          <w:rFonts w:hint="eastAsia" w:asciiTheme="minorEastAsia" w:hAnsiTheme="minorEastAsia" w:eastAsiaTheme="minorEastAsia"/>
          <w:szCs w:val="21"/>
        </w:rPr>
        <w:t>，泊松比取</w:t>
      </w:r>
      <w:r>
        <w:rPr>
          <w:rFonts w:eastAsiaTheme="minorEastAsia"/>
          <w:szCs w:val="21"/>
        </w:rPr>
        <w:t>0.2</w:t>
      </w:r>
      <w:r>
        <w:rPr>
          <w:rFonts w:hint="eastAsia" w:asciiTheme="minorEastAsia" w:hAnsiTheme="minorEastAsia" w:eastAsiaTheme="minorEastAsia"/>
          <w:szCs w:val="21"/>
        </w:rPr>
        <w:t>。</w:t>
      </w:r>
    </w:p>
    <w:p>
      <w:pPr>
        <w:rPr>
          <w:b/>
          <w:sz w:val="18"/>
          <w:szCs w:val="18"/>
        </w:rPr>
      </w:pPr>
      <w:r>
        <w:rPr>
          <w:rFonts w:hint="eastAsia" w:asciiTheme="minorEastAsia" w:hAnsiTheme="minorEastAsia" w:eastAsiaTheme="minorEastAsia"/>
          <w:szCs w:val="21"/>
        </w:rPr>
        <w:t xml:space="preserve">    在所有试件模型中，型钢以及钢筋的应力应变关系均采用理想弹塑性模型，见图</w:t>
      </w:r>
      <w:r>
        <w:rPr>
          <w:rFonts w:eastAsiaTheme="minorEastAsia"/>
          <w:szCs w:val="21"/>
        </w:rPr>
        <w:t>3(b)</w:t>
      </w:r>
      <w:r>
        <w:rPr>
          <w:rFonts w:hint="eastAsia" w:asciiTheme="minorEastAsia" w:hAnsiTheme="minorEastAsia" w:eastAsiaTheme="minorEastAsia"/>
          <w:szCs w:val="21"/>
        </w:rPr>
        <w:t>，其本构表达式如下：</w:t>
      </w:r>
    </w:p>
    <w:p>
      <w:pPr>
        <w:spacing w:line="240" w:lineRule="atLeast"/>
        <w:rPr>
          <w:rFonts w:ascii="微软雅黑" w:hAnsi="微软雅黑"/>
          <w:szCs w:val="21"/>
        </w:rPr>
      </w:pPr>
      <w:r>
        <w:rPr>
          <w:rFonts w:hint="eastAsia" w:ascii="微软雅黑" w:hAnsi="微软雅黑"/>
          <w:i/>
          <w:szCs w:val="21"/>
        </w:rPr>
        <w:t xml:space="preserve">  σ=</w:t>
      </w:r>
      <m:oMath>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szCs w:val="21"/>
                      </w:rPr>
                      <m:t xml:space="preserve">  E</m:t>
                    </m:r>
                    <m:ctrlPr>
                      <w:rPr>
                        <w:rFonts w:ascii="Cambria Math" w:hAnsi="Cambria Math"/>
                        <w:i/>
                        <w:szCs w:val="21"/>
                      </w:rPr>
                    </m:ctrlPr>
                  </m:e>
                  <m:sub>
                    <m:r>
                      <w:rPr>
                        <w:rFonts w:ascii="Cambria Math"/>
                        <w:szCs w:val="21"/>
                      </w:rPr>
                      <m:t>s</m:t>
                    </m:r>
                    <m:ctrlPr>
                      <w:rPr>
                        <w:rFonts w:ascii="Cambria Math" w:hAnsi="Cambria Math"/>
                        <w:i/>
                        <w:szCs w:val="21"/>
                      </w:rPr>
                    </m:ctrlPr>
                  </m:sub>
                </m:sSub>
                <m:r>
                  <w:rPr>
                    <w:rFonts w:ascii="Cambria Math" w:hAnsi="Cambria Math"/>
                    <w:szCs w:val="21"/>
                  </w:rPr>
                  <m:t>ε</m:t>
                </m:r>
                <m:r>
                  <w:rPr>
                    <w:rFonts w:ascii="Cambria Math"/>
                    <w:szCs w:val="21"/>
                  </w:rPr>
                  <m:t>,  &amp;</m:t>
                </m:r>
                <m:r>
                  <w:rPr>
                    <w:rFonts w:ascii="Cambria Math" w:hAnsi="Cambria Math"/>
                    <w:szCs w:val="21"/>
                  </w:rPr>
                  <m:t>ε≤</m:t>
                </m:r>
                <m:sSub>
                  <m:sSubPr>
                    <m:ctrlPr>
                      <w:rPr>
                        <w:rFonts w:ascii="Cambria Math" w:hAnsi="Cambria Math"/>
                        <w:i/>
                        <w:szCs w:val="21"/>
                      </w:rPr>
                    </m:ctrlPr>
                  </m:sSubPr>
                  <m:e>
                    <m:r>
                      <w:rPr>
                        <w:rFonts w:ascii="Cambria Math" w:hAnsi="Cambria Math"/>
                        <w:szCs w:val="21"/>
                      </w:rPr>
                      <m:t>ε</m:t>
                    </m:r>
                    <m:ctrlPr>
                      <w:rPr>
                        <w:rFonts w:ascii="Cambria Math" w:hAnsi="Cambria Math"/>
                        <w:i/>
                        <w:szCs w:val="21"/>
                      </w:rPr>
                    </m:ctrlPr>
                  </m:e>
                  <m:sub>
                    <m:r>
                      <w:rPr>
                        <w:rFonts w:ascii="Cambria Math"/>
                        <w:szCs w:val="21"/>
                      </w:rPr>
                      <m:t>y</m:t>
                    </m:r>
                    <m:ctrlPr>
                      <w:rPr>
                        <w:rFonts w:ascii="Cambria Math" w:hAnsi="Cambria Math"/>
                        <w:i/>
                        <w:szCs w:val="21"/>
                      </w:rPr>
                    </m:ctrlPr>
                  </m:sub>
                </m:sSub>
                <m:ctrlPr>
                  <w:rPr>
                    <w:rFonts w:ascii="Cambria Math" w:hAnsi="Cambria Math"/>
                    <w:i/>
                    <w:szCs w:val="21"/>
                  </w:rPr>
                </m:ctrlPr>
              </m:e>
              <m:e>
                <m:sSub>
                  <m:sSubPr>
                    <m:ctrlPr>
                      <w:rPr>
                        <w:rFonts w:ascii="Cambria Math" w:hAnsi="Cambria Math"/>
                        <w:i/>
                        <w:szCs w:val="21"/>
                      </w:rPr>
                    </m:ctrlPr>
                  </m:sSubPr>
                  <m:e>
                    <m:r>
                      <w:rPr>
                        <w:rFonts w:ascii="Cambria Math"/>
                        <w:szCs w:val="21"/>
                      </w:rPr>
                      <m:t>f</m:t>
                    </m:r>
                    <m:ctrlPr>
                      <w:rPr>
                        <w:rFonts w:ascii="Cambria Math" w:hAnsi="Cambria Math"/>
                        <w:i/>
                        <w:szCs w:val="21"/>
                      </w:rPr>
                    </m:ctrlPr>
                  </m:e>
                  <m:sub>
                    <m:r>
                      <w:rPr>
                        <w:rFonts w:ascii="Cambria Math"/>
                        <w:szCs w:val="21"/>
                      </w:rPr>
                      <m:t>y</m:t>
                    </m:r>
                    <m:ctrlPr>
                      <w:rPr>
                        <w:rFonts w:ascii="Cambria Math" w:hAnsi="Cambria Math"/>
                        <w:i/>
                        <w:szCs w:val="21"/>
                      </w:rPr>
                    </m:ctrlPr>
                  </m:sub>
                </m:sSub>
                <m:r>
                  <w:rPr>
                    <w:rFonts w:ascii="Cambria Math"/>
                    <w:szCs w:val="21"/>
                  </w:rPr>
                  <m:t xml:space="preserve">   ,  &amp;</m:t>
                </m:r>
                <m:r>
                  <w:rPr>
                    <w:rFonts w:ascii="Cambria Math" w:hAnsi="Cambria Math"/>
                    <w:szCs w:val="21"/>
                  </w:rPr>
                  <m:t>ε</m:t>
                </m:r>
                <m:r>
                  <w:rPr>
                    <w:rFonts w:ascii="Cambria Math"/>
                    <w:szCs w:val="21"/>
                  </w:rPr>
                  <m:t>&gt;</m:t>
                </m:r>
                <m:sSub>
                  <m:sSubPr>
                    <m:ctrlPr>
                      <w:rPr>
                        <w:rFonts w:ascii="Cambria Math" w:hAnsi="Cambria Math"/>
                        <w:i/>
                        <w:szCs w:val="21"/>
                      </w:rPr>
                    </m:ctrlPr>
                  </m:sSubPr>
                  <m:e>
                    <m:r>
                      <w:rPr>
                        <w:rFonts w:ascii="Cambria Math" w:hAnsi="Cambria Math"/>
                        <w:szCs w:val="21"/>
                      </w:rPr>
                      <m:t>ε</m:t>
                    </m:r>
                    <m:ctrlPr>
                      <w:rPr>
                        <w:rFonts w:ascii="Cambria Math" w:hAnsi="Cambria Math"/>
                        <w:i/>
                        <w:szCs w:val="21"/>
                      </w:rPr>
                    </m:ctrlPr>
                  </m:e>
                  <m:sub>
                    <m:r>
                      <w:rPr>
                        <w:rFonts w:ascii="Cambria Math"/>
                        <w:szCs w:val="21"/>
                      </w:rPr>
                      <m:t>y</m:t>
                    </m:r>
                    <m:ctrlPr>
                      <w:rPr>
                        <w:rFonts w:ascii="Cambria Math" w:hAnsi="Cambria Math"/>
                        <w:i/>
                        <w:szCs w:val="21"/>
                      </w:rPr>
                    </m:ctrlPr>
                  </m:sub>
                </m:sSub>
                <m:ctrlPr>
                  <w:rPr>
                    <w:rFonts w:ascii="Cambria Math" w:hAnsi="Cambria Math"/>
                    <w:i/>
                    <w:szCs w:val="21"/>
                  </w:rPr>
                </m:ctrlPr>
              </m:e>
            </m:eqArr>
            <m:ctrlPr>
              <w:rPr>
                <w:rFonts w:ascii="Cambria Math" w:hAnsi="Cambria Math"/>
                <w:i/>
                <w:szCs w:val="21"/>
              </w:rPr>
            </m:ctrlPr>
          </m:e>
        </m:d>
      </m:oMath>
      <w:r>
        <w:rPr>
          <w:rFonts w:hint="eastAsia" w:ascii="微软雅黑" w:hAnsi="微软雅黑"/>
          <w:i/>
          <w:szCs w:val="21"/>
        </w:rPr>
        <w:t xml:space="preserve">                                                           </w:t>
      </w:r>
      <w:r>
        <w:rPr>
          <w:szCs w:val="21"/>
        </w:rPr>
        <w:t>(1)</w:t>
      </w:r>
    </w:p>
    <w:p>
      <w:pPr>
        <w:rPr>
          <w:rStyle w:val="11"/>
          <w:rFonts w:hint="default"/>
        </w:rPr>
      </w:pPr>
      <w:r>
        <w:rPr>
          <w:rFonts w:hint="eastAsia" w:asciiTheme="minorEastAsia" w:hAnsiTheme="minorEastAsia" w:eastAsiaTheme="minorEastAsia"/>
          <w:szCs w:val="21"/>
        </w:rPr>
        <w:t>其中，</w:t>
      </w:r>
      <m:oMath>
        <m:sSub>
          <m:sSubPr>
            <m:ctrlPr>
              <w:rPr>
                <w:rFonts w:ascii="Cambria Math" w:hAnsi="Cambria Math"/>
                <w:szCs w:val="21"/>
              </w:rPr>
            </m:ctrlPr>
          </m:sSubPr>
          <m:e>
            <m:r>
              <m:rPr>
                <m:sty m:val="p"/>
              </m:rPr>
              <w:rPr>
                <w:rFonts w:ascii="Cambria Math" w:hAnsi="Cambria Math"/>
                <w:szCs w:val="21"/>
              </w:rPr>
              <m:t>E</m:t>
            </m:r>
            <m:ctrlPr>
              <w:rPr>
                <w:rFonts w:ascii="Cambria Math" w:hAnsi="Cambria Math"/>
                <w:szCs w:val="21"/>
              </w:rPr>
            </m:ctrlPr>
          </m:e>
          <m:sub>
            <m:r>
              <m:rPr>
                <m:sty m:val="p"/>
              </m:rPr>
              <w:rPr>
                <w:rFonts w:ascii="Cambria Math" w:hAnsi="Cambria Math"/>
                <w:szCs w:val="21"/>
              </w:rPr>
              <m:t>s</m:t>
            </m:r>
            <m:ctrlPr>
              <w:rPr>
                <w:rFonts w:ascii="Cambria Math" w:hAnsi="Cambria Math"/>
                <w:szCs w:val="21"/>
              </w:rPr>
            </m:ctrlPr>
          </m:sub>
        </m:sSub>
      </m:oMath>
      <w:r>
        <w:rPr>
          <w:rFonts w:hint="eastAsia" w:asciiTheme="minorEastAsia" w:hAnsiTheme="minorEastAsia" w:eastAsiaTheme="minorEastAsia"/>
          <w:szCs w:val="21"/>
        </w:rPr>
        <w:t>为钢材的弹性模量，</w:t>
      </w:r>
      <m:oMath>
        <m:sSub>
          <m:sSubPr>
            <m:ctrlPr>
              <w:rPr>
                <w:rFonts w:ascii="Cambria Math" w:hAnsi="Cambria Math"/>
                <w:szCs w:val="21"/>
              </w:rPr>
            </m:ctrlPr>
          </m:sSubPr>
          <m:e>
            <m:r>
              <m:rPr>
                <m:sty m:val="p"/>
              </m:rPr>
              <w:rPr>
                <w:rFonts w:ascii="Cambria Math" w:hAnsi="Cambria Math"/>
                <w:szCs w:val="21"/>
              </w:rPr>
              <m:t>f</m:t>
            </m:r>
            <m:ctrlPr>
              <w:rPr>
                <w:rFonts w:ascii="Cambria Math" w:hAnsi="Cambria Math"/>
                <w:szCs w:val="21"/>
              </w:rPr>
            </m:ctrlPr>
          </m:e>
          <m:sub>
            <m:r>
              <m:rPr>
                <m:sty m:val="p"/>
              </m:rPr>
              <w:rPr>
                <w:rFonts w:ascii="Cambria Math" w:hAnsi="Cambria Math"/>
                <w:szCs w:val="21"/>
              </w:rPr>
              <m:t>y</m:t>
            </m:r>
            <m:ctrlPr>
              <w:rPr>
                <w:rFonts w:ascii="Cambria Math" w:hAnsi="Cambria Math"/>
                <w:szCs w:val="21"/>
              </w:rPr>
            </m:ctrlPr>
          </m:sub>
        </m:sSub>
      </m:oMath>
      <w:r>
        <w:rPr>
          <w:rFonts w:hint="eastAsia" w:asciiTheme="minorEastAsia" w:hAnsiTheme="minorEastAsia" w:eastAsiaTheme="minorEastAsia"/>
          <w:szCs w:val="21"/>
        </w:rPr>
        <w:t>为钢材的屈服强度，</w:t>
      </w:r>
      <m:oMath>
        <m:sSub>
          <m:sSubPr>
            <m:ctrlPr>
              <w:rPr>
                <w:rFonts w:ascii="Cambria Math" w:hAnsi="Cambria Math"/>
                <w:szCs w:val="21"/>
              </w:rPr>
            </m:ctrlPr>
          </m:sSubPr>
          <m:e>
            <m:r>
              <m:rPr>
                <m:sty m:val="p"/>
              </m:rPr>
              <w:rPr>
                <w:rFonts w:ascii="Cambria Math" w:hAnsi="Cambria Math"/>
                <w:szCs w:val="21"/>
              </w:rPr>
              <m:t>ε</m:t>
            </m:r>
            <m:ctrlPr>
              <w:rPr>
                <w:rFonts w:ascii="Cambria Math" w:hAnsi="Cambria Math"/>
                <w:szCs w:val="21"/>
              </w:rPr>
            </m:ctrlPr>
          </m:e>
          <m:sub>
            <m:r>
              <m:rPr>
                <m:sty m:val="p"/>
              </m:rPr>
              <w:rPr>
                <w:rFonts w:ascii="Cambria Math" w:hAnsi="Cambria Math"/>
                <w:szCs w:val="21"/>
              </w:rPr>
              <m:t>y</m:t>
            </m:r>
            <m:ctrlPr>
              <w:rPr>
                <w:rFonts w:ascii="Cambria Math" w:hAnsi="Cambria Math"/>
                <w:szCs w:val="21"/>
              </w:rPr>
            </m:ctrlPr>
          </m:sub>
        </m:sSub>
      </m:oMath>
      <w:r>
        <w:rPr>
          <w:rFonts w:hint="eastAsia" w:asciiTheme="minorEastAsia" w:hAnsiTheme="minorEastAsia" w:eastAsiaTheme="minorEastAsia"/>
          <w:szCs w:val="21"/>
        </w:rPr>
        <w:t>为钢材达到屈服强度所对应的应变，</w:t>
      </w:r>
      <w:r>
        <w:rPr>
          <w:rFonts w:eastAsiaTheme="minorEastAsia"/>
          <w:szCs w:val="21"/>
        </w:rPr>
        <w:t>σ、ε</w:t>
      </w:r>
      <w:r>
        <w:rPr>
          <w:rFonts w:hint="eastAsia" w:asciiTheme="minorEastAsia" w:hAnsiTheme="minorEastAsia" w:eastAsiaTheme="minorEastAsia"/>
          <w:szCs w:val="21"/>
        </w:rPr>
        <w:t>分别为钢材的应力和应变。钢材的屈服强度、弹性模量按实际工程设计取值，泊松比为</w:t>
      </w:r>
      <w:r>
        <w:rPr>
          <w:rFonts w:eastAsiaTheme="minorEastAsia"/>
          <w:szCs w:val="21"/>
        </w:rPr>
        <w:t>0.3</w:t>
      </w:r>
      <w:r>
        <w:rPr>
          <w:rFonts w:hint="eastAsia" w:asciiTheme="minorEastAsia" w:hAnsiTheme="minorEastAsia" w:eastAsiaTheme="minorEastAsia"/>
          <w:szCs w:val="21"/>
        </w:rPr>
        <w:t>。</w:t>
      </w:r>
    </w:p>
    <w:p>
      <w:pPr>
        <w:rPr>
          <w:rStyle w:val="11"/>
          <w:rFonts w:hint="default"/>
        </w:rPr>
      </w:pPr>
      <w:r>
        <w:rPr>
          <w:rStyle w:val="11"/>
          <w:rFonts w:hint="default"/>
        </w:rPr>
        <w:t xml:space="preserve">  </w:t>
      </w:r>
      <w:r>
        <w:rPr>
          <w:rStyle w:val="11"/>
          <w:rFonts w:hint="default"/>
        </w:rPr>
        <w:drawing>
          <wp:inline distT="0" distB="0" distL="0" distR="0">
            <wp:extent cx="2200275" cy="1581150"/>
            <wp:effectExtent l="0" t="0" r="0" b="0"/>
            <wp:docPr id="1" name="图片 9" descr="D:\Desktop\图片31.png图片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D:\Desktop\图片31.png图片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200275" cy="1581150"/>
                    </a:xfrm>
                    <a:prstGeom prst="rect">
                      <a:avLst/>
                    </a:prstGeom>
                    <a:noFill/>
                    <a:ln>
                      <a:noFill/>
                    </a:ln>
                  </pic:spPr>
                </pic:pic>
              </a:graphicData>
            </a:graphic>
          </wp:inline>
        </w:drawing>
      </w:r>
      <w:r>
        <w:rPr>
          <w:rStyle w:val="11"/>
          <w:rFonts w:hint="default"/>
        </w:rPr>
        <w:t xml:space="preserve">         </w:t>
      </w:r>
      <w:r>
        <w:rPr>
          <w:rStyle w:val="11"/>
          <w:rFonts w:hint="default"/>
        </w:rPr>
        <w:drawing>
          <wp:inline distT="0" distB="0" distL="0" distR="0">
            <wp:extent cx="2047875" cy="1571625"/>
            <wp:effectExtent l="0" t="0" r="0" b="0"/>
            <wp:docPr id="4" name="图片 8" descr="D:\Desktop\图片21.png图片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D:\Desktop\图片21.png图片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047875" cy="1571625"/>
                    </a:xfrm>
                    <a:prstGeom prst="rect">
                      <a:avLst/>
                    </a:prstGeom>
                    <a:noFill/>
                    <a:ln>
                      <a:noFill/>
                    </a:ln>
                  </pic:spPr>
                </pic:pic>
              </a:graphicData>
            </a:graphic>
          </wp:inline>
        </w:drawing>
      </w:r>
    </w:p>
    <w:p>
      <w:pPr>
        <w:rPr>
          <w:rStyle w:val="11"/>
          <w:rFonts w:hint="default"/>
          <w:sz w:val="21"/>
          <w:szCs w:val="21"/>
        </w:rPr>
      </w:pPr>
      <w:r>
        <w:rPr>
          <w:rStyle w:val="11"/>
          <w:rFonts w:hint="default"/>
        </w:rPr>
        <w:t xml:space="preserve">         </w:t>
      </w:r>
      <w:r>
        <w:rPr>
          <w:rStyle w:val="11"/>
          <w:rFonts w:hint="default"/>
          <w:sz w:val="21"/>
          <w:szCs w:val="21"/>
        </w:rPr>
        <w:t>(a)混凝土的应力-应变曲线               (b)钢材的应力-应变曲线</w:t>
      </w:r>
    </w:p>
    <w:p>
      <w:pPr>
        <w:jc w:val="center"/>
        <w:rPr>
          <w:rStyle w:val="11"/>
          <w:rFonts w:hint="default"/>
          <w:sz w:val="21"/>
          <w:szCs w:val="21"/>
        </w:rPr>
      </w:pPr>
      <w:r>
        <w:rPr>
          <w:rStyle w:val="11"/>
          <w:rFonts w:hint="default"/>
          <w:sz w:val="21"/>
          <w:szCs w:val="21"/>
        </w:rPr>
        <w:t>图4 材料应力-应变关系曲线</w:t>
      </w:r>
    </w:p>
    <w:p>
      <w:pPr>
        <w:jc w:val="center"/>
        <w:rPr>
          <w:rStyle w:val="11"/>
          <w:rFonts w:hint="default" w:ascii="Times New Roman" w:hAnsi="Times New Roman"/>
          <w:sz w:val="21"/>
          <w:szCs w:val="21"/>
        </w:rPr>
      </w:pPr>
      <w:r>
        <w:rPr>
          <w:rStyle w:val="11"/>
          <w:rFonts w:hint="default" w:ascii="Times New Roman" w:hAnsi="Times New Roman"/>
          <w:sz w:val="21"/>
          <w:szCs w:val="21"/>
        </w:rPr>
        <w:t>Fig.4 Stress-strain curves of materials</w:t>
      </w:r>
    </w:p>
    <w:p>
      <w:pPr>
        <w:jc w:val="center"/>
        <w:rPr>
          <w:rStyle w:val="11"/>
          <w:rFonts w:hint="default"/>
        </w:rPr>
      </w:pPr>
    </w:p>
    <w:p>
      <w:pPr>
        <w:jc w:val="left"/>
        <w:rPr>
          <w:rStyle w:val="11"/>
          <w:rFonts w:hint="default"/>
          <w:b/>
          <w:sz w:val="21"/>
          <w:szCs w:val="21"/>
        </w:rPr>
      </w:pPr>
      <w:r>
        <w:rPr>
          <w:rStyle w:val="11"/>
          <w:rFonts w:hint="default" w:ascii="Times New Roman" w:hAnsi="Times New Roman"/>
          <w:b/>
          <w:sz w:val="21"/>
          <w:szCs w:val="21"/>
        </w:rPr>
        <w:t>3.2</w:t>
      </w:r>
      <w:r>
        <w:rPr>
          <w:rStyle w:val="11"/>
          <w:rFonts w:hint="default"/>
          <w:b/>
          <w:sz w:val="21"/>
          <w:szCs w:val="21"/>
        </w:rPr>
        <w:t xml:space="preserve"> 有限元模型 </w:t>
      </w: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w:t>
      </w:r>
      <w:r>
        <w:rPr>
          <w:rFonts w:asciiTheme="minorEastAsia" w:hAnsiTheme="minorEastAsia" w:eastAsiaTheme="minorEastAsia"/>
          <w:szCs w:val="21"/>
        </w:rPr>
        <w:t>本文各试件均采用大型有限元软件</w:t>
      </w:r>
      <w:r>
        <w:rPr>
          <w:rFonts w:eastAsiaTheme="minorEastAsia"/>
          <w:szCs w:val="21"/>
        </w:rPr>
        <w:t>ABAQUS</w:t>
      </w:r>
      <w:r>
        <w:rPr>
          <w:rFonts w:hint="eastAsia" w:asciiTheme="minorEastAsia" w:hAnsiTheme="minorEastAsia" w:eastAsiaTheme="minorEastAsia"/>
          <w:szCs w:val="21"/>
        </w:rPr>
        <w:t>进行模拟。单元选取与网格划分：混凝土以及钢垫板均采用</w:t>
      </w:r>
      <w:r>
        <w:rPr>
          <w:rFonts w:eastAsiaTheme="minorEastAsia"/>
          <w:szCs w:val="21"/>
        </w:rPr>
        <w:t>8</w:t>
      </w:r>
      <w:r>
        <w:rPr>
          <w:rFonts w:hint="eastAsia" w:asciiTheme="minorEastAsia" w:hAnsiTheme="minorEastAsia" w:eastAsiaTheme="minorEastAsia"/>
          <w:szCs w:val="21"/>
        </w:rPr>
        <w:t>节点减缩积分格式的三维实体单元</w:t>
      </w:r>
      <w:r>
        <w:rPr>
          <w:rFonts w:eastAsiaTheme="minorEastAsia"/>
          <w:szCs w:val="21"/>
        </w:rPr>
        <w:t>C3D8R</w:t>
      </w:r>
      <w:r>
        <w:rPr>
          <w:rFonts w:hint="eastAsia" w:asciiTheme="minorEastAsia" w:hAnsiTheme="minorEastAsia" w:eastAsiaTheme="minorEastAsia"/>
          <w:szCs w:val="21"/>
        </w:rPr>
        <w:t>，其具有较高的计算效率并且计算精度也能满足要求，使用结构化网格划分技术进行网格划分。型钢采用4节点减缩积分的壳体单元</w:t>
      </w:r>
      <w:r>
        <w:rPr>
          <w:rFonts w:eastAsiaTheme="minorEastAsia"/>
          <w:szCs w:val="21"/>
        </w:rPr>
        <w:t>S4R</w:t>
      </w:r>
      <w:r>
        <w:rPr>
          <w:rFonts w:hint="eastAsia" w:asciiTheme="minorEastAsia" w:hAnsiTheme="minorEastAsia" w:eastAsiaTheme="minorEastAsia"/>
          <w:szCs w:val="21"/>
        </w:rPr>
        <w:t>，其能够较为准确且便捷地模拟薄壁结构。此外，采用三维桁架单元</w:t>
      </w:r>
      <w:r>
        <w:rPr>
          <w:rFonts w:eastAsiaTheme="minorEastAsia"/>
          <w:szCs w:val="21"/>
        </w:rPr>
        <w:t>T3D2</w:t>
      </w:r>
      <w:r>
        <w:rPr>
          <w:rFonts w:hint="eastAsia" w:asciiTheme="minorEastAsia" w:hAnsiTheme="minorEastAsia" w:eastAsiaTheme="minorEastAsia"/>
          <w:szCs w:val="21"/>
        </w:rPr>
        <w:t>模拟纵筋和箍筋。划分后的单元网格模型如图</w:t>
      </w:r>
      <w:r>
        <w:rPr>
          <w:rFonts w:eastAsiaTheme="minorEastAsia"/>
          <w:szCs w:val="21"/>
        </w:rPr>
        <w:t>4</w:t>
      </w:r>
      <w:r>
        <w:rPr>
          <w:rFonts w:hint="eastAsia" w:asciiTheme="minorEastAsia" w:hAnsiTheme="minorEastAsia" w:eastAsiaTheme="minorEastAsia"/>
          <w:szCs w:val="21"/>
        </w:rPr>
        <w:t>所示。</w:t>
      </w:r>
    </w:p>
    <w:p>
      <w:pPr>
        <w:jc w:val="left"/>
        <w:rPr>
          <w:rFonts w:asciiTheme="minorEastAsia" w:hAnsiTheme="minorEastAsia" w:eastAsiaTheme="minorEastAsia"/>
          <w:szCs w:val="21"/>
        </w:rPr>
      </w:pPr>
    </w:p>
    <w:p>
      <w:pPr>
        <w:jc w:val="left"/>
        <w:rPr>
          <w:rStyle w:val="11"/>
          <w:rFonts w:hint="default"/>
          <w:sz w:val="21"/>
          <w:szCs w:val="21"/>
        </w:rPr>
      </w:pPr>
      <w:r>
        <w:rPr>
          <w:rFonts w:ascii="宋体" w:hAnsi="宋体"/>
          <w:color w:val="000000"/>
          <w:szCs w:val="21"/>
        </w:rPr>
        <w:drawing>
          <wp:inline distT="0" distB="0" distL="0" distR="0">
            <wp:extent cx="5274310" cy="1373505"/>
            <wp:effectExtent l="19050" t="0" r="2540" b="0"/>
            <wp:docPr id="5" name="图片 4" descr="绘图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绘图2.jpg"/>
                    <pic:cNvPicPr>
                      <a:picLocks noChangeAspect="1"/>
                    </pic:cNvPicPr>
                  </pic:nvPicPr>
                  <pic:blipFill>
                    <a:blip r:embed="rId12"/>
                    <a:stretch>
                      <a:fillRect/>
                    </a:stretch>
                  </pic:blipFill>
                  <pic:spPr>
                    <a:xfrm>
                      <a:off x="0" y="0"/>
                      <a:ext cx="5274310" cy="1373505"/>
                    </a:xfrm>
                    <a:prstGeom prst="rect">
                      <a:avLst/>
                    </a:prstGeom>
                  </pic:spPr>
                </pic:pic>
              </a:graphicData>
            </a:graphic>
          </wp:inline>
        </w:drawing>
      </w:r>
    </w:p>
    <w:p>
      <w:pPr>
        <w:jc w:val="center"/>
        <w:rPr>
          <w:rStyle w:val="11"/>
          <w:rFonts w:hint="default"/>
          <w:sz w:val="21"/>
          <w:szCs w:val="21"/>
        </w:rPr>
      </w:pPr>
      <w:r>
        <w:rPr>
          <w:rStyle w:val="11"/>
          <w:rFonts w:hint="default"/>
          <w:sz w:val="21"/>
          <w:szCs w:val="21"/>
        </w:rPr>
        <w:t>图5 有限元模型</w:t>
      </w:r>
    </w:p>
    <w:p>
      <w:pPr>
        <w:jc w:val="center"/>
        <w:rPr>
          <w:rStyle w:val="11"/>
          <w:rFonts w:hint="default"/>
          <w:sz w:val="21"/>
          <w:szCs w:val="21"/>
        </w:rPr>
      </w:pPr>
      <w:r>
        <w:rPr>
          <w:rStyle w:val="11"/>
          <w:rFonts w:hint="default" w:ascii="Times New Roman" w:hAnsi="Times New Roman"/>
          <w:sz w:val="21"/>
          <w:szCs w:val="21"/>
        </w:rPr>
        <w:t>Fig.5 Finite element model</w:t>
      </w:r>
    </w:p>
    <w:p>
      <w:pPr>
        <w:jc w:val="center"/>
        <w:rPr>
          <w:rStyle w:val="11"/>
          <w:rFonts w:hint="default"/>
          <w:sz w:val="21"/>
          <w:szCs w:val="21"/>
        </w:rPr>
      </w:pPr>
    </w:p>
    <w:p>
      <w:pPr>
        <w:jc w:val="left"/>
        <w:rPr>
          <w:rFonts w:asciiTheme="minorEastAsia" w:hAnsiTheme="minorEastAsia" w:eastAsiaTheme="minorEastAsia"/>
          <w:szCs w:val="21"/>
        </w:rPr>
      </w:pPr>
      <w:r>
        <w:rPr>
          <w:rStyle w:val="11"/>
          <w:rFonts w:hint="default"/>
          <w:sz w:val="21"/>
          <w:szCs w:val="21"/>
        </w:rPr>
        <w:t xml:space="preserve">    相互作用关系：转换层中各个构件内的型钢之间采用tie约束，即保持接触面之间不发生相对位移，用以模拟钢材的焊接。对于各个混凝土之间也采用tie约束，以此模拟现浇框架的整体性。假定型钢、纵筋和箍筋与混凝土之间协同变形良好，未产生界面之间的相对滑移现象，采用Embed约束，将梁、柱和斜撑中的钢骨和钢筋固嵌到混凝土当中，</w:t>
      </w:r>
      <w:r>
        <w:rPr>
          <w:rFonts w:hint="eastAsia" w:asciiTheme="minorEastAsia" w:hAnsiTheme="minorEastAsia" w:eastAsiaTheme="minorEastAsia"/>
          <w:szCs w:val="21"/>
        </w:rPr>
        <w:t>并在嵌入单元与主单元之间建立节点关系。此外，钢垫板与柱模型之间采用tie约束进行绑定连接。</w:t>
      </w:r>
    </w:p>
    <w:p>
      <w:pPr>
        <w:jc w:val="left"/>
        <w:rPr>
          <w:rFonts w:asciiTheme="minorEastAsia" w:hAnsiTheme="minorEastAsia" w:eastAsiaTheme="minorEastAsia"/>
          <w:szCs w:val="21"/>
        </w:rPr>
      </w:pPr>
      <w:r>
        <w:rPr>
          <w:rFonts w:hint="eastAsia" w:asciiTheme="minorEastAsia" w:hAnsiTheme="minorEastAsia" w:eastAsiaTheme="minorEastAsia"/>
          <w:szCs w:val="21"/>
        </w:rPr>
        <w:t xml:space="preserve">    边界条件及加载方式：对于静力加载，在上部抬柱上方设置一个参考点，将其与台柱底部之间建立耦合约束，并在参考点上施加施加竖向荷载10800kN，水平荷载120kN以及弯矩300kN</w:t>
      </w:r>
      <m:oMath>
        <m:r>
          <m:rPr>
            <m:sty m:val="p"/>
          </m:rPr>
          <w:rPr>
            <w:rFonts w:ascii="Cambria Math" w:hAnsi="Cambria Math" w:eastAsiaTheme="minorEastAsia"/>
            <w:szCs w:val="21"/>
          </w:rPr>
          <m:t>∙</m:t>
        </m:r>
      </m:oMath>
      <w:r>
        <w:rPr>
          <w:rFonts w:hint="eastAsia" w:asciiTheme="minorEastAsia" w:hAnsiTheme="minorEastAsia" w:eastAsiaTheme="minorEastAsia"/>
          <w:szCs w:val="21"/>
        </w:rPr>
        <w:t>m。同时，在上部和下部梁顶部施加均布荷载0.04kN/m</w:t>
      </w:r>
      <w:r>
        <w:rPr>
          <w:rFonts w:hint="eastAsia" w:asciiTheme="minorEastAsia" w:hAnsiTheme="minorEastAsia" w:eastAsiaTheme="minorEastAsia"/>
          <w:szCs w:val="21"/>
          <w:vertAlign w:val="superscript"/>
        </w:rPr>
        <w:t>2</w:t>
      </w:r>
      <w:r>
        <w:rPr>
          <w:rFonts w:hint="eastAsia" w:asciiTheme="minorEastAsia" w:hAnsiTheme="minorEastAsia" w:eastAsiaTheme="minorEastAsia"/>
          <w:szCs w:val="21"/>
        </w:rPr>
        <w:t>。各试件在加载过程中考虑几何大变形作用，并在两块钢垫板底部设置完全约束。试件的加载示意图如图6所示。</w:t>
      </w:r>
    </w:p>
    <w:p>
      <w:pPr>
        <w:jc w:val="center"/>
        <w:rPr>
          <w:rStyle w:val="11"/>
          <w:rFonts w:hint="default"/>
          <w:sz w:val="21"/>
          <w:szCs w:val="21"/>
        </w:rPr>
      </w:pPr>
      <w:r>
        <w:rPr>
          <w:rFonts w:ascii="宋体" w:hAnsi="宋体"/>
          <w:color w:val="000000"/>
          <w:szCs w:val="21"/>
        </w:rPr>
        <w:drawing>
          <wp:inline distT="0" distB="0" distL="0" distR="0">
            <wp:extent cx="2159635" cy="2199640"/>
            <wp:effectExtent l="19050" t="0" r="0" b="0"/>
            <wp:docPr id="6" name="图片 5" descr="绘图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绘图3-1.jpg"/>
                    <pic:cNvPicPr>
                      <a:picLocks noChangeAspect="1"/>
                    </pic:cNvPicPr>
                  </pic:nvPicPr>
                  <pic:blipFill>
                    <a:blip r:embed="rId13"/>
                    <a:stretch>
                      <a:fillRect/>
                    </a:stretch>
                  </pic:blipFill>
                  <pic:spPr>
                    <a:xfrm>
                      <a:off x="0" y="0"/>
                      <a:ext cx="2160000" cy="2199733"/>
                    </a:xfrm>
                    <a:prstGeom prst="rect">
                      <a:avLst/>
                    </a:prstGeom>
                  </pic:spPr>
                </pic:pic>
              </a:graphicData>
            </a:graphic>
          </wp:inline>
        </w:drawing>
      </w:r>
      <w:r>
        <w:rPr>
          <w:rStyle w:val="11"/>
          <w:rFonts w:hint="default"/>
          <w:sz w:val="21"/>
          <w:szCs w:val="21"/>
        </w:rPr>
        <w:t xml:space="preserve">    </w:t>
      </w:r>
      <w:r>
        <w:rPr>
          <w:rFonts w:ascii="宋体" w:hAnsi="宋体"/>
          <w:color w:val="000000"/>
          <w:szCs w:val="21"/>
        </w:rPr>
        <w:drawing>
          <wp:inline distT="0" distB="0" distL="0" distR="0">
            <wp:extent cx="2159635" cy="2196465"/>
            <wp:effectExtent l="19050" t="0" r="0" b="0"/>
            <wp:docPr id="7" name="图片 6" descr="绘图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绘图3-2.jpg"/>
                    <pic:cNvPicPr>
                      <a:picLocks noChangeAspect="1"/>
                    </pic:cNvPicPr>
                  </pic:nvPicPr>
                  <pic:blipFill>
                    <a:blip r:embed="rId14"/>
                    <a:stretch>
                      <a:fillRect/>
                    </a:stretch>
                  </pic:blipFill>
                  <pic:spPr>
                    <a:xfrm>
                      <a:off x="0" y="0"/>
                      <a:ext cx="2160000" cy="2196792"/>
                    </a:xfrm>
                    <a:prstGeom prst="rect">
                      <a:avLst/>
                    </a:prstGeom>
                  </pic:spPr>
                </pic:pic>
              </a:graphicData>
            </a:graphic>
          </wp:inline>
        </w:drawing>
      </w:r>
    </w:p>
    <w:p>
      <w:pPr>
        <w:jc w:val="center"/>
      </w:pPr>
      <w:r>
        <w:rPr>
          <w:rStyle w:val="11"/>
          <w:rFonts w:hint="default"/>
          <w:position w:val="-10"/>
        </w:rPr>
        <w:object>
          <v:shape id="_x0000_i1026" o:spt="75" type="#_x0000_t75" style="height:17pt;width:9pt;" o:ole="t" filled="f" o:preferrelative="t" stroked="f" coordsize="21600,21600">
            <v:path/>
            <v:fill on="f" focussize="0,0"/>
            <v:stroke on="f" joinstyle="miter"/>
            <v:imagedata r:id="rId16" o:title=""/>
            <o:lock v:ext="edit" aspectratio="t"/>
            <w10:wrap type="none"/>
            <w10:anchorlock/>
          </v:shape>
          <o:OLEObject Type="Embed" ProgID="Equation.3" ShapeID="_x0000_i1026" DrawAspect="Content" ObjectID="_1468075726" r:id="rId15">
            <o:LockedField>false</o:LockedField>
          </o:OLEObject>
        </w:object>
      </w:r>
      <w:r>
        <w:rPr>
          <w:rFonts w:hint="eastAsia"/>
        </w:rPr>
        <w:t>(a)  F1                            (b)  F2~F10</w:t>
      </w:r>
    </w:p>
    <w:p>
      <w:pPr>
        <w:jc w:val="center"/>
      </w:pPr>
      <w:r>
        <w:rPr>
          <w:rFonts w:hint="eastAsia"/>
        </w:rPr>
        <w:t>图6 各试件的加载示意图</w:t>
      </w:r>
    </w:p>
    <w:p>
      <w:pPr>
        <w:jc w:val="center"/>
      </w:pPr>
      <w:r>
        <w:rPr>
          <w:rFonts w:hint="eastAsia"/>
        </w:rPr>
        <w:t>Fig.6 The loading schematic diagram of specimens</w:t>
      </w:r>
    </w:p>
    <w:p>
      <w:pPr>
        <w:jc w:val="center"/>
      </w:pPr>
    </w:p>
    <w:p>
      <w:pPr>
        <w:jc w:val="left"/>
        <w:rPr>
          <w:rFonts w:eastAsiaTheme="minorEastAsia"/>
          <w:b/>
          <w:sz w:val="24"/>
        </w:rPr>
      </w:pPr>
      <w:r>
        <w:rPr>
          <w:rFonts w:eastAsiaTheme="minorEastAsia"/>
          <w:b/>
          <w:sz w:val="24"/>
        </w:rPr>
        <w:t xml:space="preserve">4. </w:t>
      </w:r>
      <w:r>
        <w:rPr>
          <w:rFonts w:hAnsiTheme="minorEastAsia" w:eastAsiaTheme="minorEastAsia"/>
          <w:b/>
          <w:sz w:val="24"/>
        </w:rPr>
        <w:t>有限元计算结果及分析</w:t>
      </w:r>
    </w:p>
    <w:p>
      <w:pPr>
        <w:jc w:val="left"/>
        <w:rPr>
          <w:rFonts w:eastAsiaTheme="minorEastAsia"/>
          <w:b/>
          <w:szCs w:val="21"/>
        </w:rPr>
      </w:pPr>
      <w:r>
        <w:rPr>
          <w:rFonts w:eastAsiaTheme="minorEastAsia"/>
          <w:b/>
          <w:szCs w:val="21"/>
        </w:rPr>
        <w:t xml:space="preserve">4.1 </w:t>
      </w:r>
      <w:r>
        <w:rPr>
          <w:rFonts w:hAnsiTheme="minorEastAsia" w:eastAsiaTheme="minorEastAsia"/>
          <w:b/>
          <w:szCs w:val="21"/>
        </w:rPr>
        <w:t>应力分析</w:t>
      </w:r>
      <w:r>
        <w:rPr>
          <w:rFonts w:eastAsiaTheme="minorEastAsia"/>
          <w:b/>
          <w:szCs w:val="21"/>
        </w:rPr>
        <w:t xml:space="preserve"> </w:t>
      </w:r>
    </w:p>
    <w:p>
      <w:pPr>
        <w:jc w:val="left"/>
      </w:pPr>
      <w:r>
        <w:rPr>
          <w:rFonts w:hint="eastAsia"/>
        </w:rPr>
        <w:t xml:space="preserve">    图7给出了转换层增设斜撑前后各部分材料的应力对比图。从图中可以看出，在静力荷载下，传统转换层F1中上部梁所受应力明显大于其余构件，其混凝土主要在跨中及与之相连的两节点处发生破坏，梁中的型钢和钢筋均产生大范围的屈服。与F1试件相比，增设斜撑的转换层F2在斜撑与上下梁交点处的应力较大，并且型钢、钢筋的屈服及混凝土的破碎也发生在此处，由此表明增设的斜撑可以有效分担上部梁所受的应力，改善上部所抬柱的传力机制。</w:t>
      </w:r>
    </w:p>
    <w:p>
      <w:pPr>
        <w:jc w:val="left"/>
      </w:pPr>
    </w:p>
    <w:p>
      <w:pPr>
        <w:jc w:val="left"/>
      </w:pPr>
      <w:r>
        <w:rPr>
          <w:rFonts w:hint="eastAsia"/>
        </w:rPr>
        <w:drawing>
          <wp:inline distT="0" distB="0" distL="0" distR="0">
            <wp:extent cx="5274310" cy="1174115"/>
            <wp:effectExtent l="19050" t="0" r="2540" b="0"/>
            <wp:docPr id="9" name="图片 8" descr="绘图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绘图4.jpg"/>
                    <pic:cNvPicPr>
                      <a:picLocks noChangeAspect="1"/>
                    </pic:cNvPicPr>
                  </pic:nvPicPr>
                  <pic:blipFill>
                    <a:blip r:embed="rId17"/>
                    <a:stretch>
                      <a:fillRect/>
                    </a:stretch>
                  </pic:blipFill>
                  <pic:spPr>
                    <a:xfrm>
                      <a:off x="0" y="0"/>
                      <a:ext cx="5274310" cy="1174115"/>
                    </a:xfrm>
                    <a:prstGeom prst="rect">
                      <a:avLst/>
                    </a:prstGeom>
                  </pic:spPr>
                </pic:pic>
              </a:graphicData>
            </a:graphic>
          </wp:inline>
        </w:drawing>
      </w:r>
    </w:p>
    <w:p>
      <w:pPr>
        <w:jc w:val="center"/>
      </w:pPr>
      <w:r>
        <w:rPr>
          <w:rFonts w:hint="eastAsia"/>
        </w:rPr>
        <w:t>(a)  传统框架梁式转换层(F1)</w:t>
      </w:r>
    </w:p>
    <w:p>
      <w:pPr>
        <w:rPr>
          <w:rFonts w:ascii="宋体" w:hAnsi="宋体" w:cs="宋体"/>
          <w:kern w:val="0"/>
          <w:sz w:val="24"/>
        </w:rPr>
      </w:pPr>
      <w:r>
        <w:rPr>
          <w:rFonts w:hint="eastAsia" w:ascii="宋体" w:hAnsi="宋体" w:cs="宋体"/>
          <w:kern w:val="0"/>
          <w:sz w:val="24"/>
        </w:rPr>
        <w:drawing>
          <wp:inline distT="0" distB="0" distL="0" distR="0">
            <wp:extent cx="5274310" cy="1194435"/>
            <wp:effectExtent l="19050" t="0" r="2540" b="0"/>
            <wp:docPr id="10" name="图片 9" descr="绘图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绘图5.jpg"/>
                    <pic:cNvPicPr>
                      <a:picLocks noChangeAspect="1"/>
                    </pic:cNvPicPr>
                  </pic:nvPicPr>
                  <pic:blipFill>
                    <a:blip r:embed="rId18"/>
                    <a:stretch>
                      <a:fillRect/>
                    </a:stretch>
                  </pic:blipFill>
                  <pic:spPr>
                    <a:xfrm>
                      <a:off x="0" y="0"/>
                      <a:ext cx="5274310" cy="1194435"/>
                    </a:xfrm>
                    <a:prstGeom prst="rect">
                      <a:avLst/>
                    </a:prstGeom>
                  </pic:spPr>
                </pic:pic>
              </a:graphicData>
            </a:graphic>
          </wp:inline>
        </w:drawing>
      </w:r>
    </w:p>
    <w:p>
      <w:pPr>
        <w:jc w:val="center"/>
      </w:pPr>
      <w:r>
        <w:rPr>
          <w:rFonts w:hint="eastAsia"/>
        </w:rPr>
        <w:t>(b)  增设斜撑的转换层(F2)</w:t>
      </w:r>
    </w:p>
    <w:p>
      <w:pPr>
        <w:jc w:val="center"/>
      </w:pPr>
      <w:r>
        <w:rPr>
          <w:rFonts w:hint="eastAsia"/>
        </w:rPr>
        <w:t>图7  F1和F2 试件的应力云图</w:t>
      </w:r>
    </w:p>
    <w:p>
      <w:pPr>
        <w:jc w:val="center"/>
      </w:pPr>
      <w:r>
        <w:rPr>
          <w:rFonts w:hint="eastAsia"/>
        </w:rPr>
        <w:t>Fig.7 The stress nephogram of F1 and F2</w:t>
      </w:r>
    </w:p>
    <w:p>
      <w:pPr>
        <w:jc w:val="left"/>
        <w:rPr>
          <w:rFonts w:eastAsiaTheme="minorEastAsia"/>
          <w:b/>
          <w:szCs w:val="21"/>
        </w:rPr>
      </w:pPr>
      <w:r>
        <w:rPr>
          <w:rFonts w:eastAsiaTheme="minorEastAsia"/>
          <w:b/>
          <w:szCs w:val="21"/>
        </w:rPr>
        <w:t xml:space="preserve">4.2 </w:t>
      </w:r>
      <w:r>
        <w:rPr>
          <w:rFonts w:hAnsiTheme="minorEastAsia" w:eastAsiaTheme="minorEastAsia"/>
          <w:b/>
          <w:szCs w:val="21"/>
        </w:rPr>
        <w:t>变形及破坏模态</w:t>
      </w:r>
    </w:p>
    <w:p>
      <w:pPr>
        <w:jc w:val="left"/>
      </w:pPr>
      <w:r>
        <w:rPr>
          <w:rFonts w:hint="eastAsia"/>
        </w:rPr>
        <w:t xml:space="preserve">    图8 给出了试件F1和F2的破坏模态云图。由图可知，在抬柱传递的荷载作用下，未增设斜撑的转换层其最终破坏主要集中在上层梁及与之相连的两个梁柱节点处。在上下梁之间设置斜撑后，由于其分担了上部梁所受应力，传力机制得到改善，因此转换层的破坏发生在斜撑与上梁的连接处以及左侧节点，由此表明斜撑可以有效减小结构的破坏区域，从而保护重要构件。图9给出了设置斜撑前后转换层的整体变形图。可以看出，对于传统框架梁式转换层，在抬柱荷载作用下由于型钢大面积达到屈服强度，上部梁的最大挠度为195mm。相比于F1试件，增设斜撑的F2试件上部梁产生的挠度更小，仅为39.8mm，且各个构件的挠度值更为均匀，这说明增设斜撑可以有效减小结构构件的变形，有助于结构整体的稳定。</w:t>
      </w:r>
    </w:p>
    <w:p>
      <w:pPr>
        <w:jc w:val="center"/>
        <w:rPr>
          <w:rFonts w:ascii="宋体" w:hAnsi="宋体" w:cs="宋体"/>
          <w:kern w:val="0"/>
          <w:sz w:val="24"/>
        </w:rPr>
      </w:pPr>
      <w:r>
        <w:rPr>
          <w:rFonts w:hint="eastAsia" w:ascii="宋体" w:hAnsi="宋体" w:cs="宋体"/>
          <w:kern w:val="0"/>
          <w:sz w:val="24"/>
        </w:rPr>
        <w:drawing>
          <wp:inline distT="0" distB="0" distL="0" distR="0">
            <wp:extent cx="5274310" cy="1918970"/>
            <wp:effectExtent l="19050" t="0" r="2540" b="0"/>
            <wp:docPr id="12" name="图片 11" descr="绘图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绘图6.jpg"/>
                    <pic:cNvPicPr>
                      <a:picLocks noChangeAspect="1"/>
                    </pic:cNvPicPr>
                  </pic:nvPicPr>
                  <pic:blipFill>
                    <a:blip r:embed="rId19"/>
                    <a:stretch>
                      <a:fillRect/>
                    </a:stretch>
                  </pic:blipFill>
                  <pic:spPr>
                    <a:xfrm>
                      <a:off x="0" y="0"/>
                      <a:ext cx="5274310" cy="1918970"/>
                    </a:xfrm>
                    <a:prstGeom prst="rect">
                      <a:avLst/>
                    </a:prstGeom>
                  </pic:spPr>
                </pic:pic>
              </a:graphicData>
            </a:graphic>
          </wp:inline>
        </w:drawing>
      </w:r>
    </w:p>
    <w:p>
      <w:pPr>
        <w:jc w:val="left"/>
      </w:pPr>
      <w:r>
        <w:rPr>
          <w:rFonts w:hint="eastAsia"/>
        </w:rPr>
        <w:t xml:space="preserve">                        (a) F1                               (b) F2</w:t>
      </w:r>
    </w:p>
    <w:p>
      <w:pPr>
        <w:jc w:val="center"/>
      </w:pPr>
      <w:r>
        <w:rPr>
          <w:rFonts w:hint="eastAsia"/>
        </w:rPr>
        <w:t>图8  F1和F2试件的破坏模态</w:t>
      </w:r>
    </w:p>
    <w:p>
      <w:pPr>
        <w:jc w:val="center"/>
      </w:pPr>
      <w:r>
        <w:rPr>
          <w:rFonts w:hint="eastAsia"/>
        </w:rPr>
        <w:t>Fig.8 The failure modes of F1 and F2</w:t>
      </w:r>
    </w:p>
    <w:p>
      <w:pPr>
        <w:jc w:val="center"/>
        <w:rPr>
          <w:rFonts w:ascii="宋体" w:hAnsi="宋体" w:cs="宋体"/>
          <w:kern w:val="0"/>
          <w:sz w:val="24"/>
        </w:rPr>
      </w:pPr>
      <w:r>
        <w:rPr>
          <w:rFonts w:hint="eastAsia" w:ascii="宋体" w:hAnsi="宋体" w:cs="宋体"/>
          <w:kern w:val="0"/>
          <w:sz w:val="24"/>
        </w:rPr>
        <w:drawing>
          <wp:inline distT="0" distB="0" distL="0" distR="0">
            <wp:extent cx="2047875" cy="1771650"/>
            <wp:effectExtent l="19050" t="0" r="9000" b="0"/>
            <wp:docPr id="24" name="图片 23" descr="绘图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3" descr="绘图7.jpg"/>
                    <pic:cNvPicPr>
                      <a:picLocks noChangeAspect="1"/>
                    </pic:cNvPicPr>
                  </pic:nvPicPr>
                  <pic:blipFill>
                    <a:blip r:embed="rId20"/>
                    <a:stretch>
                      <a:fillRect/>
                    </a:stretch>
                  </pic:blipFill>
                  <pic:spPr>
                    <a:xfrm>
                      <a:off x="0" y="0"/>
                      <a:ext cx="2048400" cy="1772104"/>
                    </a:xfrm>
                    <a:prstGeom prst="rect">
                      <a:avLst/>
                    </a:prstGeom>
                  </pic:spPr>
                </pic:pic>
              </a:graphicData>
            </a:graphic>
          </wp:inline>
        </w:drawing>
      </w:r>
      <w:r>
        <w:rPr>
          <w:rFonts w:hint="eastAsia" w:ascii="宋体" w:hAnsi="宋体" w:cs="宋体"/>
          <w:kern w:val="0"/>
          <w:sz w:val="24"/>
        </w:rPr>
        <w:t xml:space="preserve">      </w:t>
      </w:r>
      <w:r>
        <w:rPr>
          <w:rFonts w:hint="eastAsia" w:ascii="宋体" w:hAnsi="宋体" w:cs="宋体"/>
          <w:kern w:val="0"/>
          <w:sz w:val="24"/>
        </w:rPr>
        <w:drawing>
          <wp:inline distT="0" distB="0" distL="0" distR="0">
            <wp:extent cx="2159635" cy="1868170"/>
            <wp:effectExtent l="19050" t="0" r="0" b="0"/>
            <wp:docPr id="26" name="图片 25" descr="绘图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5" descr="绘图7-2.jpg"/>
                    <pic:cNvPicPr>
                      <a:picLocks noChangeAspect="1"/>
                    </pic:cNvPicPr>
                  </pic:nvPicPr>
                  <pic:blipFill>
                    <a:blip r:embed="rId21"/>
                    <a:stretch>
                      <a:fillRect/>
                    </a:stretch>
                  </pic:blipFill>
                  <pic:spPr>
                    <a:xfrm>
                      <a:off x="0" y="0"/>
                      <a:ext cx="2160000" cy="1868651"/>
                    </a:xfrm>
                    <a:prstGeom prst="rect">
                      <a:avLst/>
                    </a:prstGeom>
                  </pic:spPr>
                </pic:pic>
              </a:graphicData>
            </a:graphic>
          </wp:inline>
        </w:drawing>
      </w:r>
    </w:p>
    <w:p>
      <w:pPr>
        <w:jc w:val="left"/>
      </w:pPr>
      <w:r>
        <w:rPr>
          <w:rFonts w:hint="eastAsia" w:ascii="宋体" w:hAnsi="宋体" w:cs="宋体"/>
          <w:kern w:val="0"/>
          <w:sz w:val="24"/>
        </w:rPr>
        <w:t xml:space="preserve">            </w:t>
      </w:r>
      <w:r>
        <w:rPr>
          <w:rFonts w:hint="eastAsia"/>
        </w:rPr>
        <w:t>(a)  F1试件                            (b)  F2试件</w:t>
      </w:r>
    </w:p>
    <w:p>
      <w:pPr>
        <w:jc w:val="center"/>
      </w:pPr>
      <w:r>
        <w:rPr>
          <w:rFonts w:hint="eastAsia"/>
        </w:rPr>
        <w:t>图9  F1和F2试件的整体变形图</w:t>
      </w:r>
    </w:p>
    <w:p>
      <w:pPr>
        <w:jc w:val="center"/>
      </w:pPr>
      <w:r>
        <w:rPr>
          <w:rFonts w:hint="eastAsia"/>
        </w:rPr>
        <w:t>Fig.9 The whole deformation diagram of F1 and F2</w:t>
      </w:r>
    </w:p>
    <w:p>
      <w:pPr>
        <w:jc w:val="center"/>
      </w:pPr>
    </w:p>
    <w:p>
      <w:pPr>
        <w:rPr>
          <w:rFonts w:eastAsiaTheme="minorEastAsia"/>
          <w:b/>
        </w:rPr>
      </w:pPr>
      <w:r>
        <w:rPr>
          <w:b/>
          <w:bCs/>
          <w:sz w:val="24"/>
        </w:rPr>
        <w:t>5. 参数分析</w:t>
      </w:r>
    </w:p>
    <w:p>
      <w:pPr>
        <w:jc w:val="left"/>
      </w:pPr>
      <w:r>
        <w:rPr>
          <w:rFonts w:hint="eastAsia"/>
        </w:rPr>
        <w:t xml:space="preserve">    结构的材料和几何尺寸均是影响结构力学性能的重要因素。为了进一步优化斜撑的力学性能，使之更为高效地传递上部荷载，对设置斜撑的转换层进行参数分析，探究斜撑中型钢屈服强度、混凝土强度、钢筋屈服强度以及型钢的厚度对结构力学性能的影响。图10给出了不同参数试件上部梁左侧轴力的对比图，由图可知，当混凝土强度达到C55时，上部梁的轴向力略微增大，表明采用强度等级过高的混凝土不利于斜撑分担梁所受荷载。随着型钢厚度的增大，上部梁所受轴向荷载明显减小，由此表明增大斜撑中型钢厚度可以有效改善结构的传力机制，使结构受力更为均匀。图11为不同参数对上部梁最大挠度的对比图。从图中可以看出，斜撑中型钢、钢筋及混凝土强度对上部梁挠度影响很小。随着型钢厚度的增大，上部梁的最大挠度呈现逐渐减小的趋势。</w:t>
      </w:r>
    </w:p>
    <w:p>
      <w:pPr>
        <w:jc w:val="center"/>
        <w:rPr>
          <w:rFonts w:ascii="宋体" w:hAnsi="宋体" w:cs="宋体"/>
          <w:kern w:val="0"/>
          <w:sz w:val="24"/>
        </w:rPr>
      </w:pPr>
      <w:r>
        <w:rPr>
          <w:rFonts w:hint="eastAsia" w:ascii="宋体" w:hAnsi="宋体" w:cs="宋体"/>
          <w:kern w:val="0"/>
          <w:sz w:val="24"/>
        </w:rPr>
        <w:drawing>
          <wp:inline distT="0" distB="0" distL="0" distR="0">
            <wp:extent cx="2501900" cy="1905000"/>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l="3456" t="7345" r="11447" b="7910"/>
                    <a:stretch>
                      <a:fillRect/>
                    </a:stretch>
                  </pic:blipFill>
                  <pic:spPr>
                    <a:xfrm>
                      <a:off x="0" y="0"/>
                      <a:ext cx="2501900" cy="1905000"/>
                    </a:xfrm>
                    <a:prstGeom prst="rect">
                      <a:avLst/>
                    </a:prstGeom>
                    <a:noFill/>
                    <a:ln w="9525">
                      <a:noFill/>
                      <a:miter lim="800000"/>
                      <a:headEnd/>
                      <a:tailEnd/>
                    </a:ln>
                  </pic:spPr>
                </pic:pic>
              </a:graphicData>
            </a:graphic>
          </wp:inline>
        </w:drawing>
      </w:r>
      <w:r>
        <w:rPr>
          <w:rFonts w:hint="eastAsia" w:ascii="宋体" w:hAnsi="宋体" w:cs="宋体"/>
          <w:kern w:val="0"/>
          <w:sz w:val="24"/>
        </w:rPr>
        <w:drawing>
          <wp:inline distT="0" distB="0" distL="0" distR="0">
            <wp:extent cx="2355850" cy="19050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23"/>
                    <a:srcRect l="8207" t="7062" r="11663" b="8192"/>
                    <a:stretch>
                      <a:fillRect/>
                    </a:stretch>
                  </pic:blipFill>
                  <pic:spPr>
                    <a:xfrm>
                      <a:off x="0" y="0"/>
                      <a:ext cx="2355850" cy="1905000"/>
                    </a:xfrm>
                    <a:prstGeom prst="rect">
                      <a:avLst/>
                    </a:prstGeom>
                    <a:noFill/>
                    <a:ln w="9525">
                      <a:noFill/>
                      <a:miter lim="800000"/>
                      <a:headEnd/>
                      <a:tailEnd/>
                    </a:ln>
                  </pic:spPr>
                </pic:pic>
              </a:graphicData>
            </a:graphic>
          </wp:inline>
        </w:drawing>
      </w:r>
    </w:p>
    <w:p>
      <w:pPr>
        <w:jc w:val="left"/>
        <w:rPr>
          <w:rFonts w:ascii="宋体" w:hAnsi="宋体" w:cs="宋体"/>
          <w:kern w:val="0"/>
          <w:szCs w:val="21"/>
        </w:rPr>
      </w:pPr>
      <w:r>
        <w:rPr>
          <w:rFonts w:hint="eastAsia" w:ascii="宋体" w:hAnsi="宋体" w:cs="宋体"/>
          <w:kern w:val="0"/>
          <w:sz w:val="24"/>
        </w:rPr>
        <w:t xml:space="preserve">         </w:t>
      </w:r>
      <w:r>
        <w:rPr>
          <w:rFonts w:hint="eastAsia" w:ascii="宋体" w:hAnsi="宋体" w:cs="宋体"/>
          <w:kern w:val="0"/>
          <w:szCs w:val="21"/>
        </w:rPr>
        <w:t>图10 各参数对梁轴力的影响         图11 各参数对梁挠度的影响</w:t>
      </w:r>
    </w:p>
    <w:p>
      <w:pPr>
        <w:jc w:val="left"/>
        <w:rPr>
          <w:kern w:val="0"/>
          <w:szCs w:val="21"/>
        </w:rPr>
      </w:pPr>
      <w:r>
        <w:rPr>
          <w:rFonts w:hint="eastAsia"/>
          <w:kern w:val="0"/>
          <w:szCs w:val="21"/>
        </w:rPr>
        <w:t xml:space="preserve">          </w:t>
      </w:r>
      <w:r>
        <w:rPr>
          <w:kern w:val="0"/>
          <w:szCs w:val="21"/>
        </w:rPr>
        <w:t>Fig.10 The influence of parameters</w:t>
      </w:r>
      <w:r>
        <w:rPr>
          <w:rFonts w:hint="eastAsia"/>
          <w:kern w:val="0"/>
          <w:szCs w:val="21"/>
        </w:rPr>
        <w:t xml:space="preserve">       </w:t>
      </w:r>
      <w:r>
        <w:rPr>
          <w:kern w:val="0"/>
          <w:szCs w:val="21"/>
        </w:rPr>
        <w:t>Fig.1</w:t>
      </w:r>
      <w:r>
        <w:rPr>
          <w:rFonts w:hint="eastAsia"/>
          <w:kern w:val="0"/>
          <w:szCs w:val="21"/>
        </w:rPr>
        <w:t>1</w:t>
      </w:r>
      <w:r>
        <w:rPr>
          <w:kern w:val="0"/>
          <w:szCs w:val="21"/>
        </w:rPr>
        <w:t xml:space="preserve"> The influence of parameters</w:t>
      </w:r>
      <w:r>
        <w:rPr>
          <w:rFonts w:hint="eastAsia"/>
          <w:kern w:val="0"/>
          <w:szCs w:val="21"/>
        </w:rPr>
        <w:t xml:space="preserve">                           </w:t>
      </w:r>
    </w:p>
    <w:p>
      <w:pPr>
        <w:jc w:val="left"/>
        <w:rPr>
          <w:kern w:val="0"/>
          <w:szCs w:val="21"/>
        </w:rPr>
      </w:pPr>
      <w:r>
        <w:rPr>
          <w:rFonts w:hint="eastAsia"/>
          <w:kern w:val="0"/>
          <w:szCs w:val="21"/>
        </w:rPr>
        <w:t xml:space="preserve">          </w:t>
      </w:r>
      <w:r>
        <w:rPr>
          <w:kern w:val="0"/>
          <w:szCs w:val="21"/>
        </w:rPr>
        <w:t xml:space="preserve">on axial force of beam </w:t>
      </w:r>
      <w:r>
        <w:rPr>
          <w:rFonts w:hint="eastAsia"/>
          <w:kern w:val="0"/>
          <w:szCs w:val="21"/>
        </w:rPr>
        <w:t xml:space="preserve">                </w:t>
      </w:r>
      <w:r>
        <w:rPr>
          <w:kern w:val="0"/>
          <w:szCs w:val="21"/>
        </w:rPr>
        <w:t xml:space="preserve">on </w:t>
      </w:r>
      <w:r>
        <w:rPr>
          <w:rFonts w:hint="eastAsia"/>
          <w:kern w:val="0"/>
          <w:szCs w:val="21"/>
        </w:rPr>
        <w:t>deflection</w:t>
      </w:r>
      <w:r>
        <w:rPr>
          <w:kern w:val="0"/>
          <w:szCs w:val="21"/>
        </w:rPr>
        <w:t xml:space="preserve"> of beam</w:t>
      </w:r>
      <w:r>
        <w:rPr>
          <w:rFonts w:hint="eastAsia"/>
          <w:kern w:val="0"/>
          <w:szCs w:val="21"/>
        </w:rPr>
        <w:t xml:space="preserve">   </w:t>
      </w:r>
    </w:p>
    <w:p>
      <w:pPr>
        <w:rPr>
          <w:b/>
          <w:bCs/>
          <w:sz w:val="24"/>
        </w:rPr>
      </w:pPr>
      <w:r>
        <w:rPr>
          <w:rFonts w:hint="eastAsia"/>
          <w:b/>
          <w:bCs/>
          <w:sz w:val="24"/>
        </w:rPr>
        <w:t>6结论</w:t>
      </w:r>
    </w:p>
    <w:p>
      <w:pPr>
        <w:ind w:firstLine="420" w:firstLineChars="200"/>
      </w:pPr>
      <w:r>
        <w:rPr>
          <w:rFonts w:hint="eastAsia"/>
        </w:rPr>
        <w:t>本工程转换层上部楼层多、荷载大，在以普通框架梁式转换时存在转换梁截面尺寸过大，截面配筋接近最大配筋率，以及容易</w:t>
      </w:r>
      <w:r>
        <w:rPr>
          <w:rFonts w:hint="eastAsia" w:ascii="宋体" w:hAnsi="宋体"/>
        </w:rPr>
        <w:t>对下部楼层转换墙柱形成较大弯矩等弊端。为了解决上述问题,本文通过</w:t>
      </w:r>
      <w:r>
        <w:rPr>
          <w:rFonts w:hint="eastAsia"/>
        </w:rPr>
        <w:t>增设钢骨斜撑的方式进行优化设计，并通过有限元软件ABAQUS对比分析了增设斜撑前后转换层的受力性能。此外，通过对设置斜撑的转换层进行参数分析，探究不同材料及型钢厚度的斜撑对结构力学性能的影响，结论如下：</w:t>
      </w:r>
    </w:p>
    <w:p>
      <w:pPr>
        <w:ind w:firstLine="420" w:firstLineChars="200"/>
        <w:rPr>
          <w:rFonts w:hAnsi="宋体"/>
        </w:rPr>
      </w:pPr>
      <w:r>
        <w:rPr>
          <w:rFonts w:hint="eastAsia"/>
        </w:rPr>
        <w:t xml:space="preserve">(1) </w:t>
      </w:r>
      <w:r>
        <w:rPr>
          <w:rFonts w:hint="eastAsia" w:hAnsi="宋体"/>
        </w:rPr>
        <w:t>采用</w:t>
      </w:r>
      <w:r>
        <w:t>ABAQUS</w:t>
      </w:r>
      <w:r>
        <w:rPr>
          <w:rFonts w:hint="eastAsia" w:hAnsi="宋体"/>
        </w:rPr>
        <w:t xml:space="preserve"> 软件模拟试件的应力和变形情况，在材料本构和边界条件合理设置的前提下，可较好地模拟转换层整体及各个构件的受力过程和受力变化。</w:t>
      </w:r>
    </w:p>
    <w:p>
      <w:pPr>
        <w:ind w:firstLine="420" w:firstLineChars="200"/>
        <w:rPr>
          <w:rFonts w:hAnsi="宋体"/>
        </w:rPr>
      </w:pPr>
      <w:r>
        <w:rPr>
          <w:rFonts w:hint="eastAsia" w:hAnsi="宋体"/>
        </w:rPr>
        <w:t>(2) 相比于传统框架梁式转换层，增设斜撑后的构件能够有效减小上部梁型钢和钢筋的屈服面积，分担梁所受的应力，并改善上部抬柱的传力机制。同时，增设斜撑可以有效减小结构的变形及破坏区域，有利于结构的稳定。</w:t>
      </w:r>
    </w:p>
    <w:p>
      <w:pPr>
        <w:ind w:firstLine="420" w:firstLineChars="200"/>
      </w:pPr>
      <w:r>
        <w:rPr>
          <w:rFonts w:hint="eastAsia" w:hAnsi="宋体"/>
        </w:rPr>
        <w:t>(3) 对于设置斜撑的转换层试件，较高的混凝土强度不利于斜撑分担上部梁所受荷载。适当增大型钢的厚度可以改善结构的传力机制，减小上部梁的最大挠度。此外，斜撑中型钢和钢筋强度的变化对结构整体受力和变形影响很小。</w:t>
      </w:r>
    </w:p>
    <w:p>
      <w:pPr>
        <w:jc w:val="center"/>
      </w:pPr>
    </w:p>
    <w:p>
      <w:pPr>
        <w:jc w:val="left"/>
        <w:rPr>
          <w:b/>
          <w:bCs/>
          <w:sz w:val="24"/>
        </w:rPr>
      </w:pPr>
      <w:r>
        <w:rPr>
          <w:rFonts w:hint="eastAsia"/>
          <w:b/>
          <w:bCs/>
          <w:sz w:val="24"/>
        </w:rPr>
        <w:t>参考文献</w:t>
      </w:r>
    </w:p>
    <w:p>
      <w:r>
        <w:rPr>
          <w:rFonts w:hint="eastAsia"/>
        </w:rPr>
        <w:t>[1]</w:t>
      </w:r>
      <w:r>
        <w:t xml:space="preserve"> </w:t>
      </w:r>
      <w:r>
        <w:fldChar w:fldCharType="begin"/>
      </w:r>
      <w:r>
        <w:instrText xml:space="preserve"> HYPERLINK "https://kns.cnki.net/kcms/detail/detail.aspx?filename=JCJG2018S1061&amp;dbcode=CJFQ&amp;dbname=DKFX2018&amp;v=" \t "kcmstarget" </w:instrText>
      </w:r>
      <w:r>
        <w:fldChar w:fldCharType="separate"/>
      </w:r>
      <w:r>
        <w:t>某超限高层建筑抗震分析</w:t>
      </w:r>
      <w:r>
        <w:fldChar w:fldCharType="end"/>
      </w:r>
      <w:r>
        <w:t>[J]. 郭李婵.  建筑结构. 2018(S1)</w:t>
      </w:r>
    </w:p>
    <w:p>
      <w:r>
        <w:rPr>
          <w:rFonts w:hint="eastAsia"/>
        </w:rPr>
        <w:t>[2]</w:t>
      </w:r>
      <w:r>
        <w:t xml:space="preserve"> </w:t>
      </w:r>
      <w:r>
        <w:fldChar w:fldCharType="begin"/>
      </w:r>
      <w:r>
        <w:instrText xml:space="preserve"> HYPERLINK "https://kns.cnki.net/kcms/detail/detail.aspx?filename=JCJG201506008&amp;dbcode=CJFQ&amp;dbname=CJFD2015&amp;v=" \t "kcmstarget" </w:instrText>
      </w:r>
      <w:r>
        <w:fldChar w:fldCharType="separate"/>
      </w:r>
      <w:r>
        <w:t>深圳某网络科技大厦主楼超限高层结构设计</w:t>
      </w:r>
      <w:r>
        <w:fldChar w:fldCharType="end"/>
      </w:r>
      <w:r>
        <w:t>[J]. 胡鸣,唐增洪,冯育达,景守军.  建筑结构. 2015(06)</w:t>
      </w:r>
    </w:p>
    <w:p>
      <w:r>
        <w:rPr>
          <w:rFonts w:hint="eastAsia"/>
        </w:rPr>
        <w:t>[3]</w:t>
      </w:r>
      <w:r>
        <w:t xml:space="preserve"> </w:t>
      </w:r>
      <w:r>
        <w:fldChar w:fldCharType="begin"/>
      </w:r>
      <w:r>
        <w:instrText xml:space="preserve"> HYPERLINK "https://kns.cnki.net/kcms/detail/detail.aspx?filename=TMGC200812007&amp;dbcode=CJFQ&amp;dbname=CJFD2008&amp;v=" \t "kcmstarget" </w:instrText>
      </w:r>
      <w:r>
        <w:fldChar w:fldCharType="separate"/>
      </w:r>
      <w:r>
        <w:t>内置钢构架型钢混凝土转换深梁传力机理试验研究</w:t>
      </w:r>
      <w:r>
        <w:fldChar w:fldCharType="end"/>
      </w:r>
      <w:r>
        <w:t>[J]. 吴轶,杨春,蔡健,陈星.  土木工程学报. 2008(12)</w:t>
      </w:r>
    </w:p>
    <w:p>
      <w:r>
        <w:rPr>
          <w:rFonts w:hint="eastAsia"/>
        </w:rPr>
        <w:t>[4]</w:t>
      </w:r>
      <w:r>
        <w:t xml:space="preserve"> </w:t>
      </w:r>
      <w:r>
        <w:fldChar w:fldCharType="begin"/>
      </w:r>
      <w:r>
        <w:instrText xml:space="preserve"> HYPERLINK "https://kns.cnki.net/kcms/detail/detail.aspx?filename=JCJG200601017&amp;dbcode=CJFQ&amp;dbname=cjfd2006&amp;v=" \t "kcmstarget" </w:instrText>
      </w:r>
      <w:r>
        <w:fldChar w:fldCharType="separate"/>
      </w:r>
      <w:r>
        <w:t>钢骨混凝土转换梁设计应用</w:t>
      </w:r>
      <w:r>
        <w:fldChar w:fldCharType="end"/>
      </w:r>
      <w:r>
        <w:t>[J]. 方虎生,韩小雷.  建筑结构. 2006(01)</w:t>
      </w:r>
    </w:p>
    <w:p>
      <w:r>
        <w:rPr>
          <w:rFonts w:hint="eastAsia"/>
        </w:rPr>
        <w:t>[5]</w:t>
      </w:r>
      <w:r>
        <w:t xml:space="preserve"> </w:t>
      </w:r>
      <w:r>
        <w:fldChar w:fldCharType="begin"/>
      </w:r>
      <w:r>
        <w:instrText xml:space="preserve"> HYPERLINK "https://kns.cnki.net/kcms/detail/detail.aspx?filename=2004075862.nh&amp;dbcode=CDFD&amp;dbname=CDFD2004&amp;v=" \t "kcmstarget" </w:instrText>
      </w:r>
      <w:r>
        <w:fldChar w:fldCharType="separate"/>
      </w:r>
      <w:r>
        <w:t>带高位大跨转换层建筑结构抗震性能研究</w:t>
      </w:r>
      <w:r>
        <w:fldChar w:fldCharType="end"/>
      </w:r>
      <w:r>
        <w:t>[D]. 刘劲松.浙江大学 2004</w:t>
      </w:r>
    </w:p>
    <w:p>
      <w:pPr>
        <w:spacing w:line="360" w:lineRule="auto"/>
        <w:rPr>
          <w:rFonts w:eastAsiaTheme="minorEastAsia"/>
          <w:sz w:val="18"/>
          <w:szCs w:val="18"/>
        </w:rPr>
      </w:pPr>
      <w:r>
        <w:rPr>
          <w:rFonts w:hint="eastAsia"/>
        </w:rPr>
        <w:t>[6]</w:t>
      </w:r>
      <w:r>
        <w:t xml:space="preserve"> GB50010-2010,混凝土结构设计规范[S]. 北京：中国建筑工业出版社，2010.</w:t>
      </w:r>
    </w:p>
    <w:p>
      <w:r>
        <w:rPr>
          <w:rFonts w:hint="eastAsia"/>
        </w:rPr>
        <w:t xml:space="preserve">[7] </w:t>
      </w:r>
      <w:r>
        <w:t>ACI. Building code requirements for structural concrete and commentary ACI 318-95 Detroit, USA: American Concrete Institute; 1999</w:t>
      </w:r>
    </w:p>
    <w:p>
      <w:pPr>
        <w:widowControl/>
        <w:jc w:val="center"/>
        <w:rPr>
          <w:rFonts w:ascii="宋体" w:hAnsi="宋体" w:cs="宋体"/>
          <w:kern w:val="0"/>
          <w:sz w:val="24"/>
        </w:rPr>
      </w:pPr>
    </w:p>
    <w:p>
      <w:pPr>
        <w:rPr>
          <w:b/>
        </w:rPr>
      </w:pPr>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TimesNewRomanPSMT">
    <w:altName w:val="Times New Roman"/>
    <w:panose1 w:val="00000000000000000000"/>
    <w:charset w:val="00"/>
    <w:family w:val="roman"/>
    <w:pitch w:val="default"/>
    <w:sig w:usb0="00000000" w:usb1="00000000" w:usb2="00000000" w:usb3="00000000" w:csb0="0004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SJQY">
    <w:altName w:val="宋体"/>
    <w:panose1 w:val="02010600030101010101"/>
    <w:charset w:val="86"/>
    <w:family w:val="auto"/>
    <w:pitch w:val="default"/>
    <w:sig w:usb0="00000000" w:usb1="00000000" w:usb2="00000010" w:usb3="00000000" w:csb0="00040001" w:csb1="00000000"/>
  </w:font>
  <w:font w:name="Cambria Math">
    <w:panose1 w:val="02040503050406030204"/>
    <w:charset w:val="00"/>
    <w:family w:val="roman"/>
    <w:pitch w:val="default"/>
    <w:sig w:usb0="E00002FF" w:usb1="42002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default" w:ascii="Times New Roman" w:hAnsi="Times New Roman" w:eastAsia="宋体" w:cs="Times New Roman"/>
        <w:sz w:val="18"/>
        <w:szCs w:val="18"/>
        <w:lang w:eastAsia="zh-CN"/>
      </w:rPr>
    </w:pPr>
    <w:r>
      <w:rPr>
        <w:rFonts w:hint="default" w:ascii="Times New Roman" w:hAnsi="Times New Roman" w:cs="Times New Roman"/>
        <w:sz w:val="18"/>
        <w:szCs w:val="18"/>
        <w:lang w:eastAsia="zh-CN"/>
      </w:rPr>
      <w:t>通讯作者：任渊，江苏博森设计有限公司，邮箱：3957434@qq.com</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667"/>
    <w:rsid w:val="00006AF8"/>
    <w:rsid w:val="00025F03"/>
    <w:rsid w:val="00027CCB"/>
    <w:rsid w:val="00032C54"/>
    <w:rsid w:val="000473E6"/>
    <w:rsid w:val="00056140"/>
    <w:rsid w:val="0006786C"/>
    <w:rsid w:val="000E421B"/>
    <w:rsid w:val="000F7741"/>
    <w:rsid w:val="00113961"/>
    <w:rsid w:val="001277E5"/>
    <w:rsid w:val="00136A23"/>
    <w:rsid w:val="001435B6"/>
    <w:rsid w:val="00193533"/>
    <w:rsid w:val="001A4875"/>
    <w:rsid w:val="001C5B61"/>
    <w:rsid w:val="001D38A5"/>
    <w:rsid w:val="00224E80"/>
    <w:rsid w:val="00240864"/>
    <w:rsid w:val="00242725"/>
    <w:rsid w:val="00257B4A"/>
    <w:rsid w:val="002652C7"/>
    <w:rsid w:val="002715EA"/>
    <w:rsid w:val="00277F02"/>
    <w:rsid w:val="00282AB6"/>
    <w:rsid w:val="00283D3C"/>
    <w:rsid w:val="00296280"/>
    <w:rsid w:val="002B2548"/>
    <w:rsid w:val="002B34A2"/>
    <w:rsid w:val="002C0B5F"/>
    <w:rsid w:val="002C69D4"/>
    <w:rsid w:val="002E417F"/>
    <w:rsid w:val="002E7750"/>
    <w:rsid w:val="00302031"/>
    <w:rsid w:val="00354AEA"/>
    <w:rsid w:val="0036011C"/>
    <w:rsid w:val="003826AA"/>
    <w:rsid w:val="003B5561"/>
    <w:rsid w:val="003F3880"/>
    <w:rsid w:val="00405EEC"/>
    <w:rsid w:val="004374EF"/>
    <w:rsid w:val="00440A78"/>
    <w:rsid w:val="0044588C"/>
    <w:rsid w:val="00476D8F"/>
    <w:rsid w:val="00484248"/>
    <w:rsid w:val="004A54B0"/>
    <w:rsid w:val="004B6195"/>
    <w:rsid w:val="004C4796"/>
    <w:rsid w:val="004C4B42"/>
    <w:rsid w:val="004D30DC"/>
    <w:rsid w:val="005270B9"/>
    <w:rsid w:val="00530665"/>
    <w:rsid w:val="00544136"/>
    <w:rsid w:val="005515E0"/>
    <w:rsid w:val="00564788"/>
    <w:rsid w:val="005735C5"/>
    <w:rsid w:val="005751D6"/>
    <w:rsid w:val="00593273"/>
    <w:rsid w:val="005966CD"/>
    <w:rsid w:val="005C3B3C"/>
    <w:rsid w:val="005C61BA"/>
    <w:rsid w:val="005D5E41"/>
    <w:rsid w:val="005D6B00"/>
    <w:rsid w:val="005F29F7"/>
    <w:rsid w:val="005F4E73"/>
    <w:rsid w:val="00610C7D"/>
    <w:rsid w:val="00611520"/>
    <w:rsid w:val="0061225C"/>
    <w:rsid w:val="00634B65"/>
    <w:rsid w:val="006359DA"/>
    <w:rsid w:val="0064180D"/>
    <w:rsid w:val="0066034A"/>
    <w:rsid w:val="00680A80"/>
    <w:rsid w:val="00690EC5"/>
    <w:rsid w:val="006E5DCE"/>
    <w:rsid w:val="00714FAD"/>
    <w:rsid w:val="00732BFA"/>
    <w:rsid w:val="007A4235"/>
    <w:rsid w:val="007C37E6"/>
    <w:rsid w:val="007C57D5"/>
    <w:rsid w:val="007F6CEB"/>
    <w:rsid w:val="00851D5E"/>
    <w:rsid w:val="00852766"/>
    <w:rsid w:val="00854B1B"/>
    <w:rsid w:val="008640C6"/>
    <w:rsid w:val="008C094A"/>
    <w:rsid w:val="008C7E69"/>
    <w:rsid w:val="008D4FEF"/>
    <w:rsid w:val="008E1256"/>
    <w:rsid w:val="008E237F"/>
    <w:rsid w:val="00915D1F"/>
    <w:rsid w:val="00915F42"/>
    <w:rsid w:val="00922862"/>
    <w:rsid w:val="0095453B"/>
    <w:rsid w:val="00956456"/>
    <w:rsid w:val="00956ABB"/>
    <w:rsid w:val="009E6242"/>
    <w:rsid w:val="009F3238"/>
    <w:rsid w:val="00A0110E"/>
    <w:rsid w:val="00A65323"/>
    <w:rsid w:val="00A7060F"/>
    <w:rsid w:val="00A870C1"/>
    <w:rsid w:val="00A96492"/>
    <w:rsid w:val="00AC3927"/>
    <w:rsid w:val="00AD5076"/>
    <w:rsid w:val="00B022E6"/>
    <w:rsid w:val="00B20E07"/>
    <w:rsid w:val="00B25D3E"/>
    <w:rsid w:val="00B349A7"/>
    <w:rsid w:val="00B6077C"/>
    <w:rsid w:val="00B82711"/>
    <w:rsid w:val="00B83D3B"/>
    <w:rsid w:val="00B90D37"/>
    <w:rsid w:val="00B972BE"/>
    <w:rsid w:val="00BA50C7"/>
    <w:rsid w:val="00BB2F59"/>
    <w:rsid w:val="00BB7184"/>
    <w:rsid w:val="00BC40D4"/>
    <w:rsid w:val="00BD1141"/>
    <w:rsid w:val="00BE5B78"/>
    <w:rsid w:val="00BE67F4"/>
    <w:rsid w:val="00BF6490"/>
    <w:rsid w:val="00C02750"/>
    <w:rsid w:val="00C15D4E"/>
    <w:rsid w:val="00C34EA5"/>
    <w:rsid w:val="00C622FB"/>
    <w:rsid w:val="00CB5308"/>
    <w:rsid w:val="00CD41E2"/>
    <w:rsid w:val="00CE65C6"/>
    <w:rsid w:val="00CF3A5D"/>
    <w:rsid w:val="00D06F20"/>
    <w:rsid w:val="00D25ABD"/>
    <w:rsid w:val="00D36CBF"/>
    <w:rsid w:val="00D45866"/>
    <w:rsid w:val="00D7368D"/>
    <w:rsid w:val="00D763BF"/>
    <w:rsid w:val="00D87C38"/>
    <w:rsid w:val="00D91555"/>
    <w:rsid w:val="00D91DAE"/>
    <w:rsid w:val="00DB451F"/>
    <w:rsid w:val="00DE3866"/>
    <w:rsid w:val="00E0046B"/>
    <w:rsid w:val="00E01279"/>
    <w:rsid w:val="00E134A3"/>
    <w:rsid w:val="00E13BFF"/>
    <w:rsid w:val="00E32A13"/>
    <w:rsid w:val="00E70395"/>
    <w:rsid w:val="00EB0DE1"/>
    <w:rsid w:val="00EC1A95"/>
    <w:rsid w:val="00ED0682"/>
    <w:rsid w:val="00EE0CC4"/>
    <w:rsid w:val="00EE347E"/>
    <w:rsid w:val="00EE69A4"/>
    <w:rsid w:val="00EF492F"/>
    <w:rsid w:val="00F0114E"/>
    <w:rsid w:val="00F04EE9"/>
    <w:rsid w:val="00F06FFF"/>
    <w:rsid w:val="00F1304E"/>
    <w:rsid w:val="00F13A34"/>
    <w:rsid w:val="00F42BBE"/>
    <w:rsid w:val="00F5284E"/>
    <w:rsid w:val="00F73AC3"/>
    <w:rsid w:val="00F74332"/>
    <w:rsid w:val="00F77667"/>
    <w:rsid w:val="00F810A0"/>
    <w:rsid w:val="00F94FE9"/>
    <w:rsid w:val="00F9544B"/>
    <w:rsid w:val="00FD6F0D"/>
    <w:rsid w:val="00FE0A10"/>
    <w:rsid w:val="00FE0E07"/>
    <w:rsid w:val="00FE2B6C"/>
    <w:rsid w:val="10B043F4"/>
    <w:rsid w:val="18346268"/>
    <w:rsid w:val="19294936"/>
    <w:rsid w:val="1CD918ED"/>
    <w:rsid w:val="28B24F02"/>
    <w:rsid w:val="40837437"/>
    <w:rsid w:val="4BD97B50"/>
    <w:rsid w:val="51DB41B3"/>
    <w:rsid w:val="52BF2533"/>
    <w:rsid w:val="55D549C8"/>
    <w:rsid w:val="56721493"/>
    <w:rsid w:val="599A110D"/>
    <w:rsid w:val="5B491292"/>
    <w:rsid w:val="5F06463D"/>
    <w:rsid w:val="7A970593"/>
    <w:rsid w:val="7D8B7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5"/>
    <w:qFormat/>
    <w:uiPriority w:val="0"/>
    <w:rPr>
      <w:sz w:val="18"/>
      <w:szCs w:val="18"/>
    </w:rPr>
  </w:style>
  <w:style w:type="paragraph" w:styleId="3">
    <w:name w:val="footer"/>
    <w:basedOn w:val="1"/>
    <w:link w:val="13"/>
    <w:qFormat/>
    <w:uiPriority w:val="0"/>
    <w:pPr>
      <w:tabs>
        <w:tab w:val="center" w:pos="4153"/>
        <w:tab w:val="right" w:pos="8306"/>
      </w:tabs>
      <w:snapToGrid w:val="0"/>
      <w:jc w:val="left"/>
    </w:pPr>
    <w:rPr>
      <w:sz w:val="18"/>
      <w:szCs w:val="18"/>
    </w:rPr>
  </w:style>
  <w:style w:type="paragraph" w:styleId="4">
    <w:name w:val="header"/>
    <w:basedOn w:val="1"/>
    <w:link w:val="12"/>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qFormat/>
    <w:uiPriority w:val="0"/>
    <w:rPr>
      <w:color w:val="0000FF"/>
      <w:u w:val="single"/>
    </w:rPr>
  </w:style>
  <w:style w:type="character" w:customStyle="1" w:styleId="9">
    <w:name w:val="apple-converted-space"/>
    <w:basedOn w:val="7"/>
    <w:qFormat/>
    <w:uiPriority w:val="0"/>
  </w:style>
  <w:style w:type="character" w:customStyle="1" w:styleId="10">
    <w:name w:val="fontstyle21"/>
    <w:basedOn w:val="7"/>
    <w:qFormat/>
    <w:uiPriority w:val="0"/>
    <w:rPr>
      <w:rFonts w:hint="default" w:ascii="TimesNewRomanPSMT" w:hAnsi="TimesNewRomanPSMT"/>
      <w:color w:val="000000"/>
      <w:sz w:val="24"/>
      <w:szCs w:val="24"/>
    </w:rPr>
  </w:style>
  <w:style w:type="character" w:customStyle="1" w:styleId="11">
    <w:name w:val="fontstyle01"/>
    <w:basedOn w:val="7"/>
    <w:qFormat/>
    <w:uiPriority w:val="0"/>
    <w:rPr>
      <w:rFonts w:hint="eastAsia" w:ascii="宋体" w:hAnsi="宋体" w:eastAsia="宋体"/>
      <w:color w:val="000000"/>
      <w:sz w:val="24"/>
      <w:szCs w:val="24"/>
    </w:rPr>
  </w:style>
  <w:style w:type="character" w:customStyle="1" w:styleId="12">
    <w:name w:val="页眉 Char"/>
    <w:basedOn w:val="7"/>
    <w:link w:val="4"/>
    <w:qFormat/>
    <w:uiPriority w:val="0"/>
    <w:rPr>
      <w:kern w:val="2"/>
      <w:sz w:val="18"/>
      <w:szCs w:val="18"/>
    </w:rPr>
  </w:style>
  <w:style w:type="character" w:customStyle="1" w:styleId="13">
    <w:name w:val="页脚 Char"/>
    <w:basedOn w:val="7"/>
    <w:link w:val="3"/>
    <w:qFormat/>
    <w:uiPriority w:val="0"/>
    <w:rPr>
      <w:kern w:val="2"/>
      <w:sz w:val="18"/>
      <w:szCs w:val="18"/>
    </w:rPr>
  </w:style>
  <w:style w:type="paragraph" w:styleId="14">
    <w:name w:val="List Paragraph"/>
    <w:basedOn w:val="1"/>
    <w:qFormat/>
    <w:uiPriority w:val="34"/>
    <w:pPr>
      <w:widowControl/>
      <w:adjustRightInd w:val="0"/>
      <w:snapToGrid w:val="0"/>
      <w:spacing w:after="200"/>
      <w:ind w:firstLine="420" w:firstLineChars="200"/>
      <w:jc w:val="left"/>
    </w:pPr>
    <w:rPr>
      <w:rFonts w:ascii="Tahoma" w:hAnsi="Tahoma" w:eastAsia="微软雅黑" w:cstheme="minorBidi"/>
      <w:kern w:val="0"/>
      <w:sz w:val="22"/>
      <w:szCs w:val="22"/>
    </w:rPr>
  </w:style>
  <w:style w:type="character" w:customStyle="1" w:styleId="15">
    <w:name w:val="批注框文本 Char"/>
    <w:basedOn w:val="7"/>
    <w:link w:val="2"/>
    <w:qFormat/>
    <w:uiPriority w:val="0"/>
    <w:rPr>
      <w:kern w:val="2"/>
      <w:sz w:val="18"/>
      <w:szCs w:val="18"/>
    </w:rPr>
  </w:style>
  <w:style w:type="character" w:styleId="16">
    <w:name w:val="Placeholder Text"/>
    <w:basedOn w:val="7"/>
    <w:unhideWhenUsed/>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w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customXml" Target="../customXml/item1.xml"/><Relationship Id="rId23" Type="http://schemas.openxmlformats.org/officeDocument/2006/relationships/image" Target="media/image17.emf"/><Relationship Id="rId22" Type="http://schemas.openxmlformats.org/officeDocument/2006/relationships/image" Target="media/image16.emf"/><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wmf"/><Relationship Id="rId15" Type="http://schemas.openxmlformats.org/officeDocument/2006/relationships/oleObject" Target="embeddings/oleObject2.bin"/><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E3A85F-195F-4D63-A8F3-3EA9F3A2E84E}">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1166</Words>
  <Characters>6648</Characters>
  <Lines>55</Lines>
  <Paragraphs>15</Paragraphs>
  <TotalTime>24</TotalTime>
  <ScaleCrop>false</ScaleCrop>
  <LinksUpToDate>false</LinksUpToDate>
  <CharactersWithSpaces>7799</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2019-11-26T10:56:00Z</dcterms:created>
  <dc:creator>Administrator</dc:creator>
  <cp:lastModifiedBy>文文</cp:lastModifiedBy>
  <dcterms:modified xsi:type="dcterms:W3CDTF">2019-12-03T06:54:25Z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