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default" w:asciiTheme="majorEastAsia" w:hAnsiTheme="majorEastAsia" w:eastAsia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肛周湿疹</w:t>
      </w:r>
      <w:r>
        <w:rPr>
          <w:rFonts w:hint="eastAsia" w:asciiTheme="majorEastAsia" w:hAnsiTheme="majorEastAsia" w:eastAsiaTheme="majorEastAsia"/>
          <w:sz w:val="44"/>
          <w:szCs w:val="44"/>
          <w:lang w:eastAsia="zh-CN"/>
        </w:rPr>
        <w:t>治验</w:t>
      </w: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>1则</w:t>
      </w:r>
    </w:p>
    <w:p>
      <w:pPr>
        <w:spacing w:line="300" w:lineRule="auto"/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张妍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</w:rPr>
        <w:t>1△</w:t>
      </w:r>
      <w:r>
        <w:rPr>
          <w:rFonts w:hint="eastAsia" w:asciiTheme="minorEastAsia" w:hAnsiTheme="minorEastAsia" w:eastAsia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李春晖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</w:rPr>
        <w:t>刘蒙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，徐坤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，纪海洋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</w:rPr>
        <w:t>，张彤</w:t>
      </w:r>
      <w:r>
        <w:rPr>
          <w:rFonts w:hint="eastAsia" w:asciiTheme="minorEastAsia" w:hAnsiTheme="minorEastAsia" w:eastAsiaTheme="minorEastAsia"/>
          <w:sz w:val="28"/>
          <w:szCs w:val="28"/>
          <w:vertAlign w:val="superscript"/>
          <w:lang w:val="en-US" w:eastAsia="zh-CN"/>
        </w:rPr>
        <w:t>3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hAnsi="MS UI Gothic" w:eastAsia="MS UI Gothic" w:cs="MS UI Gothic" w:asciiTheme="minorEastAsia"/>
          <w:sz w:val="28"/>
          <w:szCs w:val="28"/>
          <w:vertAlign w:val="superscript"/>
        </w:rPr>
        <w:t>✉</w:t>
      </w:r>
    </w:p>
    <w:p>
      <w:p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山东中医药大学针灸推拿学院，济南250014；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  <w:vertAlign w:val="baseline"/>
          <w:lang w:val="en-US" w:eastAsia="zh-CN"/>
        </w:rPr>
        <w:t>山东省济南白癜风医院，济南250000；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山东中医药大学附属医院，济南 250014）</w:t>
      </w:r>
    </w:p>
    <w:p>
      <w:p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[关键词]   肛周湿疹；放血；埋线治疗</w:t>
      </w:r>
    </w:p>
    <w:p>
      <w:pPr>
        <w:spacing w:line="30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中图分类号：R246.7</w:t>
      </w:r>
    </w:p>
    <w:p>
      <w:pPr>
        <w:pStyle w:val="9"/>
        <w:spacing w:line="300" w:lineRule="auto"/>
        <w:ind w:left="360"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患者白某，女，53岁。初诊时间：2018年6月25日。主诉：肛周瘙痒4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天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4"/>
          <w:szCs w:val="24"/>
        </w:rPr>
        <w:t>。病史：患者4天前无明显诱因出现肛周瘙痒，自觉潮湿，未予重视。后症状进一步加重，肛周潮湿不适，瘙痒难忍，夜间尤甚，严重影响工作休息，自行以手指抓挠，指尖染血。陈旧性肛裂病史3年。经医者问诊后得知患者平素喜食肉食及辛辣之物。刻下症：肛周瘙痒异常，坐卧不安，夜间加重，自觉潮湿不适，心烦，口干口苦。纳可，眠差，大便排泄不爽，小便黄。舌红，苔黄，脉弦数。检查：截石位11、12、1点处可见成群小丘疹，色潮红，边界不清，内有液体，部分丘疹破裂、结痂，少数蔓延至会阴部。西医诊断：肛周湿疹（急性）；中医诊断：肛门湿疮（湿热下注型）。治疗原则：清热化湿，祛风止痒。治疗方法：（1）放血疗法：术者双手常规消毒、佩戴无菌手套，以无菌镊子夹持碘伏棉球以患者肛门为中心向外消毒三次，术者手持无菌三棱针，于距肛门25-30mm范围找2-3处（注意需避开皮损部位）快速点刺三到五次下，待出血后双手食指挤压出血点，使之持续出血，血变而止，将点刺处敷以医用消毒胶布，3日一次，每次需避开之前的伤口。（2）埋线疗法：选穴：曲池、血海、足三里、阴陵泉、蠡沟，大肠俞。操作方法：将一次性医用7号注射器针头作为针管，将0.3mm×40mm一次性不锈钢毫针剪去针尖，作为针芯，将4-0号医用羊肠线剪成1-1.5cm线段，浸泡于75%酒精中备用。术者双手及施术部位常规消毒后佩戴无菌手套，用无菌镊子夹起一段羊肠线，置于7号注射器针头内，使羊肠线完全置于针管内，左手揣穴，右手拇食指加持针头，对准穴位，快速刺入，得气后，用针芯将羊肠线送入穴位，将羊肠线埋于穴位的肌肉层与脂肪层之间，需注意羊肠线不得露出于皮肤之外，退出针管，在穴位处敷以医用消毒胶布，每周一次。用本法治疗1天后，患者瘙痒减轻，夜间可正常睡眠。两周后，瘙痒症状及皮损基本消失。治疗期间未进行其他治疗。1个月后回访，未复发。</w:t>
      </w:r>
    </w:p>
    <w:p>
      <w:pPr>
        <w:pStyle w:val="9"/>
        <w:spacing w:line="300" w:lineRule="auto"/>
        <w:ind w:left="360" w:firstLine="48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按语</w:t>
      </w:r>
      <w:r>
        <w:rPr>
          <w:rFonts w:hint="eastAsia" w:asciiTheme="minorEastAsia" w:hAnsiTheme="minorEastAsia" w:eastAsiaTheme="minorEastAsia"/>
          <w:sz w:val="24"/>
          <w:szCs w:val="24"/>
        </w:rPr>
        <w:t>：肛周湿疹是肛肠科常见的一种非传染性疾病，临床症状以红斑、丘疹、渗出、糜烂、瘙痒为主，肛周皮肤可出现浸润增厚，甚至皴裂。病变范围多局限于肛周皮肤，但也可蔓延至会阴、臀部等部位。临床一般分为急性、亚急性和慢性。本病的发生无明显年龄与性别的差异。现代医学认为，肛周湿疹的病因复杂多样，多与过敏体质、内分泌失调、神经和精神障碍、其他疾病因素有关。传统中医学将湿疹称为“血风疮”、“浸淫疮”、“湿疮”等，其在肛周发病者称为“肛门血风疮”、“肛门浸淫疮“、”肛门湿疮”，并认为其为风、湿、热邪搏结，客于肌肤所致。病理因素以湿热为主。患者平素喜食肉类及辛辣之物，损伤脾胃，蕴湿生热，湿热下注，于肛周发为本病。</w:t>
      </w:r>
    </w:p>
    <w:p>
      <w:pPr>
        <w:pStyle w:val="9"/>
        <w:spacing w:line="300" w:lineRule="auto"/>
        <w:ind w:left="360"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灵枢·刺节真邪第七十五》曰：“搏于皮肤之间，其气外发，腠理开，毫毛摇，气往来行，则为痒。”《外科大成》曰：“风盛则痒”。可见风邪为瘙痒的主要病因。《妇人大全良方·卷三贼风偏枯方论》中说道：“古人有云:‘医风先医血, 血行风自灭是也’。治之先宜养血, 然后驱风, 无不愈者。”且患者湿热蕴结，易致血瘀，故选用放血疗法，一来助血行以利于祛风，二来可使热随血泻以祛湿热。因患者患病部位特殊，无法采用刺络拔罐的方法，故采用点刺后手指挤压出血的方法。</w:t>
      </w:r>
    </w:p>
    <w:p>
      <w:pPr>
        <w:pStyle w:val="9"/>
        <w:spacing w:line="300" w:lineRule="auto"/>
        <w:ind w:left="360" w:firstLine="48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穴位埋线疗法是指在针灸学理论的指导下，将不同型号的可吸收羊肠线置入特定穴位之中，通过其对穴位的持续性刺激作用以达到治疗疾病的作用。埋线疗法与传统针刺疗法相比，具有刺激量大、作用时间长、治疗次数少的优点。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</w:rPr>
        <w:t>[1]</w:t>
      </w:r>
      <w:r>
        <w:rPr>
          <w:rFonts w:hint="eastAsia" w:asciiTheme="minorEastAsia" w:hAnsiTheme="minorEastAsia" w:eastAsiaTheme="minorEastAsia"/>
          <w:sz w:val="24"/>
          <w:szCs w:val="24"/>
        </w:rPr>
        <w:t>同时，羊肠线作为一种异体蛋白，可通过激发人体的应激能力以提高人体自身的免疫力，改善局部循环。</w:t>
      </w:r>
      <w:r>
        <w:rPr>
          <w:rFonts w:hint="eastAsia" w:asciiTheme="minorEastAsia" w:hAnsiTheme="minorEastAsia" w:eastAsiaTheme="minorEastAsia"/>
          <w:sz w:val="24"/>
          <w:szCs w:val="24"/>
          <w:vertAlign w:val="superscript"/>
        </w:rPr>
        <w:t>[2]</w:t>
      </w:r>
      <w:r>
        <w:rPr>
          <w:rFonts w:hint="eastAsia" w:asciiTheme="minorEastAsia" w:hAnsiTheme="minorEastAsia" w:eastAsiaTheme="minorEastAsia"/>
          <w:sz w:val="24"/>
          <w:szCs w:val="24"/>
        </w:rPr>
        <w:t>穴位选用曲池清热除湿，血海活血化瘀，取“血行风自灭”之意，足三里和阴陵泉健脾化湿，蠡沟祛湿止痒，大肠俞通调大肠腑气。6穴并用，共奏清热化湿，祛风止痒之意。</w:t>
      </w:r>
    </w:p>
    <w:p>
      <w:pPr>
        <w:pStyle w:val="9"/>
        <w:spacing w:line="300" w:lineRule="auto"/>
        <w:ind w:left="360" w:firstLine="48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综上所述，放血疗法祛湿止痒取“急则治其标”之意，穴位埋线可提高机体免疫力且所取足三里、阴陵泉等穴又可健脾化湿取“缓则治其本”之意，如此可标本兼治，取得良好疗效。</w:t>
      </w:r>
    </w:p>
    <w:p>
      <w:pPr>
        <w:pStyle w:val="9"/>
        <w:spacing w:line="300" w:lineRule="auto"/>
        <w:ind w:left="360" w:firstLine="422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参考文献</w:t>
      </w:r>
    </w:p>
    <w:p>
      <w:pPr>
        <w:pStyle w:val="9"/>
        <w:spacing w:line="300" w:lineRule="auto"/>
        <w:ind w:left="360" w:firstLine="360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[1]霍金，赵同琪，袁勇.穴位埋线疗法作用机制的研究现状[J].中国针灸，2017,37（11）：1251-1254</w:t>
      </w:r>
    </w:p>
    <w:p>
      <w:pPr>
        <w:pStyle w:val="9"/>
        <w:spacing w:line="300" w:lineRule="auto"/>
        <w:ind w:left="360" w:firstLine="360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[2]张欣宇，杨全甫，李华山.外治法治疗肛周湿疹的研究进展[J].北京中医药，2014,33（2）：148-150</w:t>
      </w:r>
    </w:p>
    <w:p>
      <w:pPr>
        <w:pStyle w:val="9"/>
        <w:spacing w:line="300" w:lineRule="auto"/>
        <w:ind w:left="360" w:firstLine="48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                                 （收稿日期：2019-10-30）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——————————</w:t>
    </w:r>
  </w:p>
  <w:p>
    <w:pPr>
      <w:pStyle w:val="3"/>
    </w:pPr>
    <w:r>
      <w:rPr>
        <w:rFonts w:hint="eastAsia"/>
      </w:rPr>
      <w:t>△张妍（1993-），女，汉族，山东，山东中医药大学硕士研究生。</w:t>
    </w:r>
  </w:p>
  <w:p>
    <w:pPr>
      <w:pStyle w:val="3"/>
    </w:pPr>
    <w:r>
      <w:rPr>
        <w:rFonts w:hint="eastAsia" w:ascii="MS UI Gothic" w:hAnsi="MS UI Gothic" w:eastAsia="MS UI Gothic" w:cs="MS UI Gothic"/>
      </w:rPr>
      <w:t>✉</w:t>
    </w:r>
    <w:r>
      <w:rPr>
        <w:rFonts w:hint="eastAsia" w:ascii="MS UI Gothic" w:hAnsi="MS UI Gothic" w:cs="MS UI Gothic" w:eastAsiaTheme="minorEastAsia"/>
      </w:rPr>
      <w:t>通讯作者</w:t>
    </w:r>
    <w:r>
      <w:rPr>
        <w:rFonts w:hint="eastAsia"/>
      </w:rPr>
      <w:t>：张彤，副教授。E-mail：zhangtongzhongyi@sohu.com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7AA9"/>
    <w:rsid w:val="001322FE"/>
    <w:rsid w:val="00140158"/>
    <w:rsid w:val="001E363B"/>
    <w:rsid w:val="00224BA6"/>
    <w:rsid w:val="00323B43"/>
    <w:rsid w:val="0032573A"/>
    <w:rsid w:val="003D37D8"/>
    <w:rsid w:val="00426133"/>
    <w:rsid w:val="00433143"/>
    <w:rsid w:val="004358AB"/>
    <w:rsid w:val="00474192"/>
    <w:rsid w:val="004952D7"/>
    <w:rsid w:val="0051787A"/>
    <w:rsid w:val="005A702C"/>
    <w:rsid w:val="00784A5C"/>
    <w:rsid w:val="007C2839"/>
    <w:rsid w:val="007C5696"/>
    <w:rsid w:val="00826944"/>
    <w:rsid w:val="008B44A2"/>
    <w:rsid w:val="008B7726"/>
    <w:rsid w:val="009B20BD"/>
    <w:rsid w:val="009D6630"/>
    <w:rsid w:val="00A76E35"/>
    <w:rsid w:val="00B07B19"/>
    <w:rsid w:val="00B37E97"/>
    <w:rsid w:val="00BD546E"/>
    <w:rsid w:val="00BE6CDC"/>
    <w:rsid w:val="00C455ED"/>
    <w:rsid w:val="00CA1B4F"/>
    <w:rsid w:val="00CD21E0"/>
    <w:rsid w:val="00D27DE7"/>
    <w:rsid w:val="00D31D50"/>
    <w:rsid w:val="00D62F07"/>
    <w:rsid w:val="00DB1150"/>
    <w:rsid w:val="00E34623"/>
    <w:rsid w:val="00E4068E"/>
    <w:rsid w:val="00EA7B62"/>
    <w:rsid w:val="00F22ABA"/>
    <w:rsid w:val="06942B2F"/>
    <w:rsid w:val="3B453DA0"/>
    <w:rsid w:val="3B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ahoma" w:hAnsi="Tahoma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rFonts w:eastAsiaTheme="minorEastAsia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278</Words>
  <Characters>1585</Characters>
  <Lines>13</Lines>
  <Paragraphs>3</Paragraphs>
  <TotalTime>199</TotalTime>
  <ScaleCrop>false</ScaleCrop>
  <LinksUpToDate>false</LinksUpToDate>
  <CharactersWithSpaces>1860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2019-12-05T13:04:30Z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