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F8C" w:rsidRPr="0009085B" w:rsidRDefault="00C53F8C" w:rsidP="0009085B">
      <w:pPr>
        <w:jc w:val="center"/>
        <w:rPr>
          <w:rFonts w:ascii="黑体" w:eastAsia="黑体" w:hAnsi="黑体"/>
          <w:sz w:val="44"/>
          <w:szCs w:val="44"/>
        </w:rPr>
      </w:pPr>
      <w:bookmarkStart w:id="0" w:name="_GoBack"/>
      <w:bookmarkEnd w:id="0"/>
      <w:r w:rsidRPr="0009085B">
        <w:rPr>
          <w:rFonts w:ascii="黑体" w:eastAsia="黑体" w:hAnsi="黑体" w:hint="eastAsia"/>
          <w:sz w:val="44"/>
          <w:szCs w:val="44"/>
        </w:rPr>
        <w:t>基于森林蓄积量扩展法</w:t>
      </w:r>
      <w:r w:rsidR="00D95426" w:rsidRPr="0009085B">
        <w:rPr>
          <w:rFonts w:ascii="黑体" w:eastAsia="黑体" w:hAnsi="黑体" w:hint="eastAsia"/>
          <w:sz w:val="44"/>
          <w:szCs w:val="44"/>
        </w:rPr>
        <w:t>的各地区</w:t>
      </w:r>
      <w:r w:rsidRPr="0009085B">
        <w:rPr>
          <w:rFonts w:ascii="黑体" w:eastAsia="黑体" w:hAnsi="黑体" w:hint="eastAsia"/>
          <w:sz w:val="44"/>
          <w:szCs w:val="44"/>
        </w:rPr>
        <w:t>碳汇</w:t>
      </w:r>
      <w:r w:rsidR="006D7495" w:rsidRPr="0009085B">
        <w:rPr>
          <w:rFonts w:ascii="黑体" w:eastAsia="黑体" w:hAnsi="黑体" w:hint="eastAsia"/>
          <w:sz w:val="44"/>
          <w:szCs w:val="44"/>
        </w:rPr>
        <w:t>供给</w:t>
      </w:r>
      <w:r w:rsidR="00D95426" w:rsidRPr="0009085B">
        <w:rPr>
          <w:rFonts w:ascii="黑体" w:eastAsia="黑体" w:hAnsi="黑体" w:hint="eastAsia"/>
          <w:sz w:val="44"/>
          <w:szCs w:val="44"/>
        </w:rPr>
        <w:t>比较</w:t>
      </w:r>
    </w:p>
    <w:p w:rsidR="0009085B" w:rsidRDefault="0009085B" w:rsidP="00314189">
      <w:pPr>
        <w:spacing w:line="400" w:lineRule="exact"/>
        <w:jc w:val="center"/>
        <w:rPr>
          <w:rFonts w:ascii="宋体" w:eastAsia="宋体" w:hAnsi="宋体"/>
          <w:szCs w:val="21"/>
        </w:rPr>
      </w:pPr>
    </w:p>
    <w:p w:rsidR="0009085B" w:rsidRPr="0009085B" w:rsidRDefault="00314189" w:rsidP="00314189">
      <w:pPr>
        <w:spacing w:line="400" w:lineRule="exact"/>
        <w:jc w:val="center"/>
        <w:rPr>
          <w:rFonts w:ascii="仿宋" w:eastAsia="仿宋" w:hAnsi="仿宋"/>
          <w:sz w:val="28"/>
          <w:szCs w:val="28"/>
        </w:rPr>
      </w:pPr>
      <w:r w:rsidRPr="0009085B">
        <w:rPr>
          <w:rFonts w:ascii="仿宋" w:eastAsia="仿宋" w:hAnsi="仿宋" w:hint="eastAsia"/>
          <w:sz w:val="28"/>
          <w:szCs w:val="28"/>
        </w:rPr>
        <w:t>王齐</w:t>
      </w:r>
      <w:r w:rsidR="0009085B">
        <w:rPr>
          <w:rStyle w:val="af4"/>
          <w:rFonts w:ascii="仿宋" w:eastAsia="仿宋" w:hAnsi="仿宋"/>
          <w:sz w:val="28"/>
          <w:szCs w:val="28"/>
        </w:rPr>
        <w:footnoteReference w:id="1"/>
      </w:r>
    </w:p>
    <w:p w:rsidR="00314189" w:rsidRPr="00140DCE" w:rsidRDefault="00140DCE" w:rsidP="00314189">
      <w:pPr>
        <w:spacing w:line="400" w:lineRule="exact"/>
        <w:jc w:val="center"/>
        <w:rPr>
          <w:rFonts w:ascii="宋体" w:eastAsia="宋体" w:hAnsi="宋体"/>
          <w:kern w:val="0"/>
          <w:szCs w:val="21"/>
        </w:rPr>
      </w:pPr>
      <w:r>
        <w:rPr>
          <w:rFonts w:ascii="宋体" w:eastAsia="宋体" w:hAnsi="宋体" w:hint="eastAsia"/>
          <w:kern w:val="0"/>
          <w:szCs w:val="21"/>
        </w:rPr>
        <w:t>（</w:t>
      </w:r>
      <w:r w:rsidR="00314189" w:rsidRPr="00140DCE">
        <w:rPr>
          <w:rFonts w:ascii="宋体" w:eastAsia="宋体" w:hAnsi="宋体" w:hint="eastAsia"/>
          <w:kern w:val="0"/>
          <w:szCs w:val="21"/>
        </w:rPr>
        <w:t>南京林业大学经济管理学院，南京210037</w:t>
      </w:r>
      <w:r>
        <w:rPr>
          <w:rFonts w:ascii="宋体" w:eastAsia="宋体" w:hAnsi="宋体" w:hint="eastAsia"/>
          <w:kern w:val="0"/>
          <w:szCs w:val="21"/>
        </w:rPr>
        <w:t>）</w:t>
      </w:r>
    </w:p>
    <w:p w:rsidR="00E051FA" w:rsidRDefault="00E051FA" w:rsidP="00C17389">
      <w:pPr>
        <w:rPr>
          <w:rFonts w:ascii="宋体" w:eastAsia="宋体" w:hAnsi="宋体"/>
        </w:rPr>
      </w:pPr>
    </w:p>
    <w:p w:rsidR="00E051FA" w:rsidRPr="00E051FA" w:rsidRDefault="00961E9B" w:rsidP="000A5C95">
      <w:pPr>
        <w:spacing w:line="400" w:lineRule="exact"/>
        <w:ind w:firstLineChars="200" w:firstLine="420"/>
        <w:rPr>
          <w:rFonts w:ascii="宋体" w:eastAsia="宋体" w:hAnsi="宋体"/>
          <w:szCs w:val="21"/>
        </w:rPr>
      </w:pPr>
      <w:r w:rsidRPr="00140DCE">
        <w:rPr>
          <w:rFonts w:ascii="黑体" w:eastAsia="黑体" w:hAnsi="黑体" w:hint="eastAsia"/>
          <w:szCs w:val="21"/>
        </w:rPr>
        <w:t>摘</w:t>
      </w:r>
      <w:r w:rsidR="00140DCE" w:rsidRPr="00140DCE">
        <w:rPr>
          <w:rFonts w:ascii="黑体" w:eastAsia="黑体" w:hAnsi="黑体" w:hint="eastAsia"/>
          <w:szCs w:val="21"/>
        </w:rPr>
        <w:t xml:space="preserve"> </w:t>
      </w:r>
      <w:r w:rsidRPr="00140DCE">
        <w:rPr>
          <w:rFonts w:ascii="黑体" w:eastAsia="黑体" w:hAnsi="黑体" w:hint="eastAsia"/>
          <w:szCs w:val="21"/>
        </w:rPr>
        <w:t>要：</w:t>
      </w:r>
      <w:r w:rsidRPr="00E051FA">
        <w:rPr>
          <w:rFonts w:ascii="宋体" w:eastAsia="宋体" w:hAnsi="宋体" w:hint="eastAsia"/>
          <w:szCs w:val="21"/>
        </w:rPr>
        <w:t>随着低碳意识的推进，国家在实现经济高速增长的同时，越来越注重换生态环境的保护，因此低成本、高效率的</w:t>
      </w:r>
      <w:r w:rsidR="00E051FA" w:rsidRPr="00E051FA">
        <w:rPr>
          <w:rFonts w:ascii="宋体" w:eastAsia="宋体" w:hAnsi="宋体" w:hint="eastAsia"/>
          <w:szCs w:val="21"/>
        </w:rPr>
        <w:t>森林碳汇成为控制碳含量的最有效的方式。</w:t>
      </w:r>
      <w:r w:rsidRPr="00E051FA">
        <w:rPr>
          <w:rFonts w:ascii="宋体" w:eastAsia="宋体" w:hAnsi="宋体" w:hint="eastAsia"/>
          <w:szCs w:val="21"/>
        </w:rPr>
        <w:t>本文依据森林蓄积量扩展法对</w:t>
      </w:r>
      <w:r w:rsidR="00E051FA" w:rsidRPr="00E051FA">
        <w:rPr>
          <w:rFonts w:ascii="宋体" w:eastAsia="宋体" w:hAnsi="宋体" w:hint="eastAsia"/>
          <w:szCs w:val="21"/>
        </w:rPr>
        <w:t>我国</w:t>
      </w:r>
      <w:r w:rsidR="00CD558D">
        <w:rPr>
          <w:rFonts w:ascii="宋体" w:eastAsia="宋体" w:hAnsi="宋体" w:hint="eastAsia"/>
          <w:szCs w:val="21"/>
        </w:rPr>
        <w:t>根据地理分类的</w:t>
      </w:r>
      <w:r w:rsidR="00E051FA" w:rsidRPr="00E051FA">
        <w:rPr>
          <w:rFonts w:ascii="宋体" w:eastAsia="宋体" w:hAnsi="宋体" w:hint="eastAsia"/>
          <w:szCs w:val="21"/>
        </w:rPr>
        <w:t>7个地区的碳汇发展现状进行研究，并</w:t>
      </w:r>
      <w:r w:rsidR="00CD558D">
        <w:rPr>
          <w:rFonts w:ascii="宋体" w:eastAsia="宋体" w:hAnsi="宋体" w:hint="eastAsia"/>
          <w:szCs w:val="21"/>
        </w:rPr>
        <w:t>根据数据</w:t>
      </w:r>
      <w:r w:rsidR="00E051FA" w:rsidRPr="00E051FA">
        <w:rPr>
          <w:rFonts w:ascii="宋体" w:eastAsia="宋体" w:hAnsi="宋体" w:hint="eastAsia"/>
          <w:szCs w:val="21"/>
        </w:rPr>
        <w:t>结果对我国碳汇的发展提出相应的建议，为我国实现生态环境保护、完善碳汇市场具有重要意义。</w:t>
      </w:r>
    </w:p>
    <w:p w:rsidR="00E051FA" w:rsidRPr="00E051FA" w:rsidRDefault="00E051FA" w:rsidP="00E051FA">
      <w:pPr>
        <w:spacing w:line="400" w:lineRule="exact"/>
        <w:ind w:firstLineChars="200" w:firstLine="420"/>
        <w:rPr>
          <w:rFonts w:ascii="宋体" w:eastAsia="宋体" w:hAnsi="宋体"/>
          <w:szCs w:val="21"/>
        </w:rPr>
      </w:pPr>
      <w:r w:rsidRPr="00140DCE">
        <w:rPr>
          <w:rFonts w:ascii="黑体" w:eastAsia="黑体" w:hAnsi="黑体" w:hint="eastAsia"/>
          <w:szCs w:val="21"/>
        </w:rPr>
        <w:t>关键词：</w:t>
      </w:r>
      <w:r w:rsidRPr="00E051FA">
        <w:rPr>
          <w:rFonts w:ascii="宋体" w:eastAsia="宋体" w:hAnsi="宋体" w:hint="eastAsia"/>
          <w:szCs w:val="21"/>
        </w:rPr>
        <w:t>碳汇</w:t>
      </w:r>
      <w:r w:rsidR="00140DCE">
        <w:rPr>
          <w:rFonts w:ascii="宋体" w:eastAsia="宋体" w:hAnsi="宋体" w:hint="eastAsia"/>
          <w:szCs w:val="21"/>
        </w:rPr>
        <w:t>；</w:t>
      </w:r>
      <w:r w:rsidRPr="00E051FA">
        <w:rPr>
          <w:rFonts w:ascii="宋体" w:eastAsia="宋体" w:hAnsi="宋体" w:hint="eastAsia"/>
          <w:szCs w:val="21"/>
        </w:rPr>
        <w:t>森林蓄积量扩展法</w:t>
      </w:r>
      <w:r w:rsidR="00140DCE">
        <w:rPr>
          <w:rFonts w:ascii="宋体" w:eastAsia="宋体" w:hAnsi="宋体" w:hint="eastAsia"/>
          <w:szCs w:val="21"/>
        </w:rPr>
        <w:t>；</w:t>
      </w:r>
      <w:r w:rsidR="004703A9">
        <w:rPr>
          <w:rFonts w:ascii="宋体" w:eastAsia="宋体" w:hAnsi="宋体" w:hint="eastAsia"/>
          <w:szCs w:val="21"/>
        </w:rPr>
        <w:t>比较</w:t>
      </w:r>
    </w:p>
    <w:p w:rsidR="00140DCE" w:rsidRDefault="00140DCE" w:rsidP="00140DCE">
      <w:pPr>
        <w:spacing w:line="400" w:lineRule="exact"/>
        <w:ind w:firstLineChars="200" w:firstLine="562"/>
        <w:jc w:val="center"/>
        <w:rPr>
          <w:rFonts w:ascii="Times New Roman" w:eastAsia="宋体" w:hAnsi="Times New Roman" w:cs="Times New Roman"/>
          <w:b/>
          <w:bCs/>
          <w:sz w:val="28"/>
          <w:szCs w:val="28"/>
        </w:rPr>
      </w:pPr>
    </w:p>
    <w:p w:rsidR="00E051FA" w:rsidRDefault="00140DCE" w:rsidP="00140DCE">
      <w:pPr>
        <w:spacing w:line="400" w:lineRule="exact"/>
        <w:ind w:firstLineChars="200" w:firstLine="562"/>
        <w:jc w:val="center"/>
        <w:rPr>
          <w:rFonts w:ascii="Times New Roman" w:eastAsia="宋体" w:hAnsi="Times New Roman" w:cs="Times New Roman"/>
          <w:b/>
          <w:bCs/>
          <w:sz w:val="28"/>
          <w:szCs w:val="28"/>
        </w:rPr>
      </w:pPr>
      <w:r w:rsidRPr="00140DCE">
        <w:rPr>
          <w:rFonts w:ascii="Times New Roman" w:eastAsia="宋体" w:hAnsi="Times New Roman" w:cs="Times New Roman"/>
          <w:b/>
          <w:bCs/>
          <w:sz w:val="28"/>
          <w:szCs w:val="28"/>
        </w:rPr>
        <w:t>Comparison of carbon sink supply in different regions based on the method of forest accumulation expansion</w:t>
      </w:r>
    </w:p>
    <w:p w:rsidR="00140DCE" w:rsidRDefault="00140DCE" w:rsidP="00140DCE">
      <w:pPr>
        <w:spacing w:line="400" w:lineRule="exact"/>
        <w:ind w:firstLineChars="200" w:firstLine="480"/>
        <w:jc w:val="center"/>
        <w:rPr>
          <w:rFonts w:ascii="Times New Roman" w:eastAsia="宋体" w:hAnsi="Times New Roman" w:cs="Times New Roman"/>
          <w:i/>
          <w:iCs/>
          <w:sz w:val="24"/>
          <w:szCs w:val="24"/>
        </w:rPr>
      </w:pPr>
    </w:p>
    <w:p w:rsidR="00140DCE" w:rsidRDefault="00140DCE" w:rsidP="00140DCE">
      <w:pPr>
        <w:spacing w:line="400" w:lineRule="exact"/>
        <w:ind w:firstLineChars="200" w:firstLine="480"/>
        <w:jc w:val="center"/>
      </w:pPr>
      <w:r w:rsidRPr="00646D84">
        <w:rPr>
          <w:rFonts w:ascii="Times New Roman" w:eastAsia="宋体" w:hAnsi="Times New Roman" w:cs="Times New Roman"/>
          <w:i/>
          <w:iCs/>
          <w:sz w:val="24"/>
          <w:szCs w:val="24"/>
        </w:rPr>
        <w:t xml:space="preserve">WANG </w:t>
      </w:r>
      <w:r>
        <w:rPr>
          <w:rFonts w:ascii="Times New Roman" w:eastAsia="宋体" w:hAnsi="Times New Roman" w:cs="Times New Roman"/>
          <w:i/>
          <w:iCs/>
          <w:sz w:val="24"/>
          <w:szCs w:val="24"/>
        </w:rPr>
        <w:t>Q</w:t>
      </w:r>
      <w:r>
        <w:rPr>
          <w:rFonts w:ascii="Times New Roman" w:eastAsia="宋体" w:hAnsi="Times New Roman" w:cs="Times New Roman" w:hint="eastAsia"/>
          <w:i/>
          <w:iCs/>
          <w:sz w:val="24"/>
          <w:szCs w:val="24"/>
        </w:rPr>
        <w:t>i</w:t>
      </w:r>
      <w:r>
        <w:rPr>
          <w:rStyle w:val="af4"/>
          <w:rFonts w:ascii="Times New Roman" w:eastAsia="宋体" w:hAnsi="Times New Roman" w:cs="Times New Roman"/>
          <w:i/>
          <w:iCs/>
          <w:sz w:val="24"/>
          <w:szCs w:val="24"/>
        </w:rPr>
        <w:footnoteReference w:customMarkFollows="1" w:id="2"/>
        <w:t>1</w:t>
      </w:r>
    </w:p>
    <w:p w:rsidR="00140DCE" w:rsidRDefault="00140DCE" w:rsidP="00140DCE">
      <w:pPr>
        <w:spacing w:line="400" w:lineRule="exact"/>
        <w:ind w:firstLineChars="200" w:firstLine="360"/>
        <w:jc w:val="center"/>
        <w:rPr>
          <w:rFonts w:ascii="Times New Roman" w:hAnsi="Times New Roman"/>
          <w:sz w:val="18"/>
          <w:szCs w:val="20"/>
        </w:rPr>
      </w:pPr>
      <w:r>
        <w:rPr>
          <w:rFonts w:ascii="Times New Roman" w:hAnsi="Times New Roman" w:hint="eastAsia"/>
          <w:sz w:val="18"/>
          <w:szCs w:val="20"/>
        </w:rPr>
        <w:t>（</w:t>
      </w:r>
      <w:r>
        <w:rPr>
          <w:rFonts w:ascii="Times New Roman" w:hAnsi="Times New Roman"/>
          <w:sz w:val="18"/>
          <w:szCs w:val="20"/>
        </w:rPr>
        <w:t>School of Science, Nanjing Forestry University; Nanjing 210037</w:t>
      </w:r>
      <w:r>
        <w:rPr>
          <w:rFonts w:ascii="Times New Roman" w:hAnsi="Times New Roman" w:hint="eastAsia"/>
          <w:sz w:val="18"/>
          <w:szCs w:val="20"/>
        </w:rPr>
        <w:t>）</w:t>
      </w:r>
    </w:p>
    <w:p w:rsidR="00140DCE" w:rsidRPr="00140DCE" w:rsidRDefault="00140DCE" w:rsidP="00140DCE">
      <w:pPr>
        <w:spacing w:line="400" w:lineRule="exact"/>
        <w:ind w:firstLineChars="200" w:firstLine="562"/>
        <w:jc w:val="center"/>
        <w:rPr>
          <w:rFonts w:ascii="Times New Roman" w:eastAsia="宋体" w:hAnsi="Times New Roman" w:cs="Times New Roman"/>
          <w:b/>
          <w:bCs/>
          <w:sz w:val="28"/>
          <w:szCs w:val="28"/>
        </w:rPr>
      </w:pPr>
    </w:p>
    <w:p w:rsidR="00140DCE" w:rsidRDefault="00140DCE" w:rsidP="00140DCE">
      <w:pPr>
        <w:spacing w:line="400" w:lineRule="exact"/>
        <w:ind w:firstLineChars="200" w:firstLine="422"/>
        <w:rPr>
          <w:rFonts w:ascii="Times New Roman" w:eastAsia="宋体" w:hAnsi="Times New Roman" w:cs="Times New Roman"/>
        </w:rPr>
      </w:pPr>
      <w:r w:rsidRPr="00646D84">
        <w:rPr>
          <w:rFonts w:ascii="Times New Roman" w:eastAsia="宋体" w:hAnsi="Times New Roman" w:cs="Times New Roman"/>
          <w:b/>
          <w:bCs/>
        </w:rPr>
        <w:t>Abstrac</w:t>
      </w:r>
      <w:r w:rsidRPr="00646D84">
        <w:rPr>
          <w:rFonts w:ascii="宋体" w:eastAsia="宋体" w:hAnsi="宋体"/>
          <w:b/>
          <w:bCs/>
        </w:rPr>
        <w:t>t</w:t>
      </w:r>
      <w:r>
        <w:rPr>
          <w:rFonts w:ascii="宋体" w:eastAsia="宋体" w:hAnsi="宋体" w:hint="eastAsia"/>
        </w:rPr>
        <w:t>：</w:t>
      </w:r>
      <w:r w:rsidRPr="00140DCE">
        <w:rPr>
          <w:rFonts w:ascii="Times New Roman" w:eastAsia="宋体" w:hAnsi="Times New Roman" w:cs="Times New Roman"/>
        </w:rPr>
        <w:t>With the promotion of low-carbon awareness, the country pays more and more attention to the protection of ecological environment while realizing the rapid economic growth. Therefore, low-cost and high-efficiency forest carbon sink has become the most effective way to control carbon content. Therefore, based on the method of forest accumulation expansion, this paper studies the current situation of carbon sink development in seven regions of China, and puts forward corresponding suggestions for the development of carbon sink in China according to the results, which is of great significance for the realization of ecological environment protection and the improvement of carbon sink market in China.</w:t>
      </w:r>
    </w:p>
    <w:p w:rsidR="00140DCE" w:rsidRDefault="00140DCE" w:rsidP="00140DCE">
      <w:pPr>
        <w:spacing w:line="400" w:lineRule="exact"/>
        <w:ind w:firstLineChars="200" w:firstLine="422"/>
        <w:rPr>
          <w:rFonts w:ascii="Arial" w:hAnsi="Arial" w:cs="Arial"/>
          <w:color w:val="333333"/>
          <w:szCs w:val="21"/>
          <w:shd w:val="clear" w:color="auto" w:fill="F9F9F9"/>
        </w:rPr>
      </w:pPr>
      <w:r w:rsidRPr="007D3369">
        <w:rPr>
          <w:rFonts w:ascii="Times New Roman" w:eastAsia="宋体" w:hAnsi="Times New Roman" w:cs="Times New Roman"/>
          <w:b/>
          <w:bCs/>
        </w:rPr>
        <w:t>Key word</w:t>
      </w:r>
      <w:r w:rsidRPr="007D3369">
        <w:rPr>
          <w:rFonts w:ascii="Times New Roman" w:eastAsia="宋体" w:hAnsi="Times New Roman" w:cs="Times New Roman" w:hint="eastAsia"/>
          <w:b/>
          <w:bCs/>
        </w:rPr>
        <w:t>：</w:t>
      </w:r>
      <w:r w:rsidRPr="00140DCE">
        <w:rPr>
          <w:rFonts w:ascii="Times New Roman" w:eastAsia="宋体" w:hAnsi="Times New Roman" w:cs="Times New Roman"/>
        </w:rPr>
        <w:t>Carbon sink</w:t>
      </w:r>
      <w:r w:rsidRPr="007D3369">
        <w:rPr>
          <w:rFonts w:ascii="Times New Roman" w:eastAsia="宋体" w:hAnsi="Times New Roman" w:cs="Times New Roman" w:hint="eastAsia"/>
        </w:rPr>
        <w:t>;</w:t>
      </w:r>
      <w:r w:rsidRPr="007D3369">
        <w:rPr>
          <w:rFonts w:ascii="Times New Roman" w:eastAsia="宋体" w:hAnsi="Times New Roman" w:cs="Times New Roman"/>
        </w:rPr>
        <w:t xml:space="preserve"> </w:t>
      </w:r>
      <w:r w:rsidRPr="00140DCE">
        <w:rPr>
          <w:rFonts w:ascii="Times New Roman" w:eastAsia="宋体" w:hAnsi="Times New Roman" w:cs="Times New Roman"/>
        </w:rPr>
        <w:t>Expansion method of forest volume</w:t>
      </w:r>
      <w:r w:rsidRPr="007D3369">
        <w:rPr>
          <w:rFonts w:ascii="Times New Roman" w:eastAsia="宋体" w:hAnsi="Times New Roman" w:cs="Times New Roman" w:hint="eastAsia"/>
        </w:rPr>
        <w:t>;</w:t>
      </w:r>
      <w:r w:rsidRPr="007D3369">
        <w:rPr>
          <w:rFonts w:ascii="Times New Roman" w:eastAsia="宋体" w:hAnsi="Times New Roman" w:cs="Times New Roman"/>
        </w:rPr>
        <w:t xml:space="preserve"> </w:t>
      </w:r>
      <w:r>
        <w:rPr>
          <w:rFonts w:ascii="Arial" w:hAnsi="Arial" w:cs="Arial" w:hint="eastAsia"/>
          <w:color w:val="333333"/>
          <w:szCs w:val="21"/>
          <w:shd w:val="clear" w:color="auto" w:fill="F9F9F9"/>
        </w:rPr>
        <w:t>C</w:t>
      </w:r>
      <w:r>
        <w:rPr>
          <w:rFonts w:ascii="Arial" w:hAnsi="Arial" w:cs="Arial"/>
          <w:color w:val="333333"/>
          <w:szCs w:val="21"/>
          <w:shd w:val="clear" w:color="auto" w:fill="F9F9F9"/>
        </w:rPr>
        <w:t>omparison</w:t>
      </w:r>
    </w:p>
    <w:p w:rsidR="006E6A7D" w:rsidRPr="00E051FA" w:rsidRDefault="00C53F8C" w:rsidP="00140DCE">
      <w:pPr>
        <w:spacing w:line="400" w:lineRule="exact"/>
        <w:ind w:firstLineChars="200" w:firstLine="562"/>
        <w:rPr>
          <w:rFonts w:ascii="宋体" w:eastAsia="宋体" w:hAnsi="宋体"/>
          <w:b/>
          <w:bCs/>
          <w:sz w:val="28"/>
          <w:szCs w:val="28"/>
        </w:rPr>
      </w:pPr>
      <w:r w:rsidRPr="00E051FA">
        <w:rPr>
          <w:rFonts w:ascii="宋体" w:eastAsia="宋体" w:hAnsi="宋体" w:hint="eastAsia"/>
          <w:b/>
          <w:bCs/>
          <w:sz w:val="28"/>
          <w:szCs w:val="28"/>
        </w:rPr>
        <w:t>一、</w:t>
      </w:r>
      <w:r w:rsidR="004677EE" w:rsidRPr="00E051FA">
        <w:rPr>
          <w:rFonts w:ascii="宋体" w:eastAsia="宋体" w:hAnsi="宋体" w:hint="eastAsia"/>
          <w:b/>
          <w:bCs/>
          <w:sz w:val="28"/>
          <w:szCs w:val="28"/>
        </w:rPr>
        <w:t>引言</w:t>
      </w:r>
    </w:p>
    <w:p w:rsidR="004677EE" w:rsidRPr="00E051FA" w:rsidRDefault="004677EE" w:rsidP="00E051FA">
      <w:pPr>
        <w:spacing w:line="400" w:lineRule="exact"/>
        <w:ind w:firstLineChars="200" w:firstLine="420"/>
        <w:rPr>
          <w:rFonts w:ascii="宋体" w:eastAsia="宋体" w:hAnsi="宋体"/>
          <w:szCs w:val="21"/>
        </w:rPr>
      </w:pPr>
      <w:r w:rsidRPr="00E051FA">
        <w:rPr>
          <w:rFonts w:ascii="宋体" w:eastAsia="宋体" w:hAnsi="宋体" w:hint="eastAsia"/>
          <w:szCs w:val="21"/>
        </w:rPr>
        <w:t>经济的急速增长满足了人们对于</w:t>
      </w:r>
      <w:r w:rsidR="00BB4A03" w:rsidRPr="00E051FA">
        <w:rPr>
          <w:rFonts w:ascii="宋体" w:eastAsia="宋体" w:hAnsi="宋体" w:hint="eastAsia"/>
          <w:szCs w:val="21"/>
        </w:rPr>
        <w:t>物质</w:t>
      </w:r>
      <w:r w:rsidR="00C53F8C" w:rsidRPr="00E051FA">
        <w:rPr>
          <w:rFonts w:ascii="宋体" w:eastAsia="宋体" w:hAnsi="宋体" w:hint="eastAsia"/>
          <w:szCs w:val="21"/>
        </w:rPr>
        <w:t>财富</w:t>
      </w:r>
      <w:r w:rsidR="00BB4A03" w:rsidRPr="00E051FA">
        <w:rPr>
          <w:rFonts w:ascii="宋体" w:eastAsia="宋体" w:hAnsi="宋体" w:hint="eastAsia"/>
          <w:szCs w:val="21"/>
        </w:rPr>
        <w:t>的需求，但是</w:t>
      </w:r>
      <w:r w:rsidR="00C53F8C" w:rsidRPr="00E051FA">
        <w:rPr>
          <w:rFonts w:ascii="宋体" w:eastAsia="宋体" w:hAnsi="宋体" w:hint="eastAsia"/>
          <w:szCs w:val="21"/>
        </w:rPr>
        <w:t>由于工业的发展、资源的消耗</w:t>
      </w:r>
      <w:r w:rsidR="00A15096" w:rsidRPr="00E051FA">
        <w:rPr>
          <w:rFonts w:ascii="宋体" w:eastAsia="宋体" w:hAnsi="宋体" w:hint="eastAsia"/>
          <w:szCs w:val="21"/>
        </w:rPr>
        <w:t>导致全球碳排放量增加，进而造成的全球温室效应、气候变暖等问题已经威胁着每一个生物的生存。我国目前是世界上二氧化碳排放量最多的国家，</w:t>
      </w:r>
      <w:r w:rsidR="00C17389" w:rsidRPr="00E051FA">
        <w:rPr>
          <w:rFonts w:ascii="宋体" w:eastAsia="宋体" w:hAnsi="宋体" w:hint="eastAsia"/>
          <w:szCs w:val="21"/>
        </w:rPr>
        <w:t>排放量为第二名美国的两倍，因此有效控制碳排放，改善生态环境质量迫在眉睫。但是，目前中国仍然处于发展中国家，面对的</w:t>
      </w:r>
      <w:r w:rsidR="00C17389" w:rsidRPr="00E051FA">
        <w:rPr>
          <w:rFonts w:ascii="宋体" w:eastAsia="宋体" w:hAnsi="宋体" w:hint="eastAsia"/>
          <w:szCs w:val="21"/>
        </w:rPr>
        <w:lastRenderedPageBreak/>
        <w:t>发展经济、消除贫困、改善生态等多重问题的挑战，因此只有有效实现碳减排，才能实现“既要绿水平山，又要金山银山”的愿望。</w:t>
      </w:r>
      <w:r w:rsidR="00AA67C9" w:rsidRPr="00E051FA">
        <w:rPr>
          <w:rFonts w:ascii="宋体" w:eastAsia="宋体" w:hAnsi="宋体" w:hint="eastAsia"/>
          <w:szCs w:val="21"/>
        </w:rPr>
        <w:t>相对于高成本、低效率的工业减排方式，以森林资源为基础的</w:t>
      </w:r>
      <w:r w:rsidR="00780E62" w:rsidRPr="00E051FA">
        <w:rPr>
          <w:rFonts w:ascii="宋体" w:eastAsia="宋体" w:hAnsi="宋体" w:hint="eastAsia"/>
          <w:szCs w:val="21"/>
        </w:rPr>
        <w:t>最经济的</w:t>
      </w:r>
      <w:r w:rsidR="00AA67C9" w:rsidRPr="00E051FA">
        <w:rPr>
          <w:rFonts w:ascii="宋体" w:eastAsia="宋体" w:hAnsi="宋体" w:hint="eastAsia"/>
          <w:szCs w:val="21"/>
        </w:rPr>
        <w:t>森林碳汇减排方式</w:t>
      </w:r>
      <w:r w:rsidR="00780E62" w:rsidRPr="00E051FA">
        <w:rPr>
          <w:rFonts w:ascii="宋体" w:eastAsia="宋体" w:hAnsi="宋体" w:hint="eastAsia"/>
          <w:szCs w:val="21"/>
        </w:rPr>
        <w:t>对于我国生态环境的改善具有重要意义</w:t>
      </w:r>
      <w:r w:rsidR="00AA67C9" w:rsidRPr="00E051FA">
        <w:rPr>
          <w:rFonts w:ascii="宋体" w:eastAsia="宋体" w:hAnsi="宋体" w:hint="eastAsia"/>
          <w:szCs w:val="21"/>
        </w:rPr>
        <w:t>。</w:t>
      </w:r>
    </w:p>
    <w:p w:rsidR="00780E62" w:rsidRPr="00E051FA" w:rsidRDefault="00780E62" w:rsidP="00E051FA">
      <w:pPr>
        <w:spacing w:line="400" w:lineRule="exact"/>
        <w:ind w:firstLineChars="200" w:firstLine="420"/>
        <w:rPr>
          <w:rFonts w:ascii="宋体" w:eastAsia="宋体" w:hAnsi="宋体"/>
          <w:szCs w:val="21"/>
        </w:rPr>
      </w:pPr>
      <w:r w:rsidRPr="00E051FA">
        <w:rPr>
          <w:rFonts w:ascii="宋体" w:eastAsia="宋体" w:hAnsi="宋体" w:hint="eastAsia"/>
          <w:szCs w:val="21"/>
        </w:rPr>
        <w:t>国际上，</w:t>
      </w:r>
      <w:r w:rsidR="00C17389" w:rsidRPr="00E051FA">
        <w:rPr>
          <w:rFonts w:ascii="宋体" w:eastAsia="宋体" w:hAnsi="宋体" w:hint="eastAsia"/>
          <w:szCs w:val="21"/>
        </w:rPr>
        <w:t>早在</w:t>
      </w:r>
      <w:r w:rsidR="00E3268F" w:rsidRPr="00E051FA">
        <w:rPr>
          <w:rFonts w:ascii="宋体" w:eastAsia="宋体" w:hAnsi="宋体" w:hint="eastAsia"/>
          <w:szCs w:val="21"/>
        </w:rPr>
        <w:t>2005</w:t>
      </w:r>
      <w:r w:rsidR="00C17389" w:rsidRPr="00E051FA">
        <w:rPr>
          <w:rFonts w:ascii="宋体" w:eastAsia="宋体" w:hAnsi="宋体" w:hint="eastAsia"/>
          <w:szCs w:val="21"/>
        </w:rPr>
        <w:t>年的《</w:t>
      </w:r>
      <w:r w:rsidR="00AA67C9" w:rsidRPr="00E051FA">
        <w:rPr>
          <w:rFonts w:ascii="宋体" w:eastAsia="宋体" w:hAnsi="宋体" w:hint="eastAsia"/>
          <w:szCs w:val="21"/>
        </w:rPr>
        <w:t>京都议定书</w:t>
      </w:r>
      <w:r w:rsidR="00C17389" w:rsidRPr="00E051FA">
        <w:rPr>
          <w:rFonts w:ascii="宋体" w:eastAsia="宋体" w:hAnsi="宋体" w:hint="eastAsia"/>
          <w:szCs w:val="21"/>
        </w:rPr>
        <w:t>》</w:t>
      </w:r>
      <w:r w:rsidR="00E3268F" w:rsidRPr="00E051FA">
        <w:rPr>
          <w:rFonts w:ascii="宋体" w:eastAsia="宋体" w:hAnsi="宋体" w:hint="eastAsia"/>
          <w:szCs w:val="21"/>
        </w:rPr>
        <w:t>生效，</w:t>
      </w:r>
      <w:r w:rsidR="00AA67C9" w:rsidRPr="00E051FA">
        <w:rPr>
          <w:rFonts w:ascii="宋体" w:eastAsia="宋体" w:hAnsi="宋体" w:hint="eastAsia"/>
          <w:szCs w:val="21"/>
        </w:rPr>
        <w:t>就以法律形式规定限制温室气体的排放。</w:t>
      </w:r>
      <w:r w:rsidR="007F144D" w:rsidRPr="00E051FA">
        <w:rPr>
          <w:rFonts w:ascii="宋体" w:eastAsia="宋体" w:hAnsi="宋体"/>
          <w:szCs w:val="21"/>
        </w:rPr>
        <w:t>Alam等</w:t>
      </w:r>
      <w:r w:rsidR="004A4C16">
        <w:rPr>
          <w:rFonts w:ascii="宋体" w:eastAsia="宋体" w:hAnsi="宋体" w:hint="eastAsia"/>
          <w:szCs w:val="21"/>
        </w:rPr>
        <w:t>（2019）</w:t>
      </w:r>
      <w:r w:rsidR="007F144D" w:rsidRPr="00E051FA">
        <w:rPr>
          <w:rFonts w:ascii="宋体" w:eastAsia="宋体" w:hAnsi="宋体"/>
          <w:szCs w:val="21"/>
        </w:rPr>
        <w:t>通过生命周期评估法对孟加拉北部湿地雨育水稻的温室气体排放量进行了估算与分析</w:t>
      </w:r>
      <w:r w:rsidR="004A4C16">
        <w:rPr>
          <w:rFonts w:ascii="宋体" w:eastAsia="宋体" w:hAnsi="宋体" w:hint="eastAsia"/>
          <w:szCs w:val="21"/>
        </w:rPr>
        <w:t>。</w:t>
      </w:r>
      <w:r w:rsidRPr="00E051FA">
        <w:rPr>
          <w:rFonts w:ascii="宋体" w:eastAsia="宋体" w:hAnsi="宋体" w:hint="eastAsia"/>
          <w:szCs w:val="21"/>
        </w:rPr>
        <w:t>国内学者姜霞等人</w:t>
      </w:r>
      <w:r w:rsidR="004A4C16">
        <w:rPr>
          <w:rFonts w:ascii="宋体" w:eastAsia="宋体" w:hAnsi="宋体" w:hint="eastAsia"/>
          <w:szCs w:val="21"/>
        </w:rPr>
        <w:t>（201</w:t>
      </w:r>
      <w:r w:rsidR="00CA147F">
        <w:rPr>
          <w:rFonts w:ascii="宋体" w:eastAsia="宋体" w:hAnsi="宋体" w:hint="eastAsia"/>
          <w:szCs w:val="21"/>
        </w:rPr>
        <w:t>6</w:t>
      </w:r>
      <w:r w:rsidR="004A4C16">
        <w:rPr>
          <w:rFonts w:ascii="宋体" w:eastAsia="宋体" w:hAnsi="宋体" w:hint="eastAsia"/>
          <w:szCs w:val="21"/>
        </w:rPr>
        <w:t>）</w:t>
      </w:r>
      <w:r w:rsidRPr="00E051FA">
        <w:rPr>
          <w:rFonts w:ascii="宋体" w:eastAsia="宋体" w:hAnsi="宋体" w:hint="eastAsia"/>
          <w:szCs w:val="21"/>
        </w:rPr>
        <w:t>利用全球林产品模型</w:t>
      </w:r>
      <w:r w:rsidRPr="00E051FA">
        <w:rPr>
          <w:rFonts w:ascii="宋体" w:eastAsia="宋体" w:hAnsi="宋体"/>
          <w:szCs w:val="21"/>
        </w:rPr>
        <w:t>(GFPM)与政府间气候变化专门委员会(IPCC</w:t>
      </w:r>
      <w:r w:rsidRPr="00E051FA">
        <w:rPr>
          <w:rFonts w:ascii="宋体" w:eastAsia="宋体" w:hAnsi="宋体" w:hint="eastAsia"/>
          <w:szCs w:val="21"/>
        </w:rPr>
        <w:t>)</w:t>
      </w:r>
      <w:r w:rsidRPr="00E051FA">
        <w:rPr>
          <w:rFonts w:ascii="宋体" w:eastAsia="宋体" w:hAnsi="宋体"/>
          <w:szCs w:val="21"/>
        </w:rPr>
        <w:t>碳汇估计方法相结合，</w:t>
      </w:r>
      <w:r w:rsidRPr="00E051FA">
        <w:rPr>
          <w:rFonts w:ascii="宋体" w:eastAsia="宋体" w:hAnsi="宋体" w:hint="eastAsia"/>
          <w:szCs w:val="21"/>
        </w:rPr>
        <w:t>探究经济新常态下经济增长与中国森林碳储量之间的关系，并进行了预测。</w:t>
      </w:r>
      <w:r w:rsidR="003E49BF" w:rsidRPr="00E051FA">
        <w:rPr>
          <w:rFonts w:ascii="宋体" w:eastAsia="宋体" w:hAnsi="宋体" w:hint="eastAsia"/>
          <w:szCs w:val="21"/>
        </w:rPr>
        <w:t>陈欣怡</w:t>
      </w:r>
      <w:r w:rsidR="004A4C16">
        <w:rPr>
          <w:rFonts w:ascii="宋体" w:eastAsia="宋体" w:hAnsi="宋体" w:hint="eastAsia"/>
          <w:szCs w:val="21"/>
        </w:rPr>
        <w:t>（201</w:t>
      </w:r>
      <w:r w:rsidR="00CA147F">
        <w:rPr>
          <w:rFonts w:ascii="宋体" w:eastAsia="宋体" w:hAnsi="宋体" w:hint="eastAsia"/>
          <w:szCs w:val="21"/>
        </w:rPr>
        <w:t>8</w:t>
      </w:r>
      <w:r w:rsidR="004A4C16">
        <w:rPr>
          <w:rFonts w:ascii="宋体" w:eastAsia="宋体" w:hAnsi="宋体" w:hint="eastAsia"/>
          <w:szCs w:val="21"/>
        </w:rPr>
        <w:t>）</w:t>
      </w:r>
      <w:r w:rsidR="003E49BF" w:rsidRPr="00E051FA">
        <w:rPr>
          <w:rFonts w:ascii="宋体" w:eastAsia="宋体" w:hAnsi="宋体" w:hint="eastAsia"/>
          <w:szCs w:val="21"/>
        </w:rPr>
        <w:t>依据国家发展与改革委员会审核备案的《竹林经营碳汇项目方法学》</w:t>
      </w:r>
      <w:r w:rsidR="003E49BF" w:rsidRPr="00E051FA">
        <w:rPr>
          <w:rFonts w:ascii="宋体" w:eastAsia="宋体" w:hAnsi="宋体"/>
          <w:szCs w:val="21"/>
        </w:rPr>
        <w:t>(AR-CM-005-V01) 的方法,对安吉县竹林经营项目的碳汇进行计量</w:t>
      </w:r>
      <w:r w:rsidR="003E49BF" w:rsidRPr="00E051FA">
        <w:rPr>
          <w:rFonts w:ascii="宋体" w:eastAsia="宋体" w:hAnsi="宋体" w:hint="eastAsia"/>
          <w:szCs w:val="21"/>
        </w:rPr>
        <w:t>。</w:t>
      </w:r>
      <w:r w:rsidR="00467E9C" w:rsidRPr="00E051FA">
        <w:rPr>
          <w:rFonts w:ascii="宋体" w:eastAsia="宋体" w:hAnsi="宋体" w:hint="eastAsia"/>
          <w:szCs w:val="21"/>
        </w:rPr>
        <w:t>马学威等人</w:t>
      </w:r>
      <w:r w:rsidR="004A4C16">
        <w:rPr>
          <w:rFonts w:ascii="宋体" w:eastAsia="宋体" w:hAnsi="宋体" w:hint="eastAsia"/>
          <w:szCs w:val="21"/>
        </w:rPr>
        <w:t>（2019）</w:t>
      </w:r>
      <w:r w:rsidR="00467E9C" w:rsidRPr="00E051FA">
        <w:rPr>
          <w:rFonts w:ascii="宋体" w:eastAsia="宋体" w:hAnsi="宋体" w:hint="eastAsia"/>
          <w:szCs w:val="21"/>
        </w:rPr>
        <w:t>利用生物量法、碳通量检测法、稳定性同位素法对森林生态系统碳储量进行研究。</w:t>
      </w:r>
    </w:p>
    <w:p w:rsidR="006D4AAB" w:rsidRPr="00E051FA" w:rsidRDefault="00882192" w:rsidP="006D4AAB">
      <w:pPr>
        <w:spacing w:line="400" w:lineRule="exact"/>
        <w:ind w:firstLineChars="200" w:firstLine="420"/>
        <w:rPr>
          <w:rFonts w:ascii="宋体" w:eastAsia="宋体" w:hAnsi="宋体"/>
          <w:szCs w:val="21"/>
        </w:rPr>
      </w:pPr>
      <w:r w:rsidRPr="00E051FA">
        <w:rPr>
          <w:rFonts w:ascii="宋体" w:eastAsia="宋体" w:hAnsi="宋体" w:hint="eastAsia"/>
          <w:szCs w:val="21"/>
        </w:rPr>
        <w:t>纵观国内外研究，发现国内外学者针对碳汇发展现状的研究主要集中于</w:t>
      </w:r>
      <w:r w:rsidR="008A41A6">
        <w:rPr>
          <w:rFonts w:ascii="宋体" w:eastAsia="宋体" w:hAnsi="宋体" w:hint="eastAsia"/>
          <w:szCs w:val="21"/>
        </w:rPr>
        <w:t>某个具体行业的现状及发展</w:t>
      </w:r>
      <w:r w:rsidRPr="00E051FA">
        <w:rPr>
          <w:rFonts w:ascii="宋体" w:eastAsia="宋体" w:hAnsi="宋体" w:hint="eastAsia"/>
          <w:szCs w:val="21"/>
        </w:rPr>
        <w:t>，或者某个</w:t>
      </w:r>
      <w:r w:rsidR="008A41A6">
        <w:rPr>
          <w:rFonts w:ascii="宋体" w:eastAsia="宋体" w:hAnsi="宋体" w:hint="eastAsia"/>
          <w:szCs w:val="21"/>
        </w:rPr>
        <w:t>省市</w:t>
      </w:r>
      <w:r w:rsidR="00AC35B4">
        <w:rPr>
          <w:rFonts w:ascii="宋体" w:eastAsia="宋体" w:hAnsi="宋体" w:hint="eastAsia"/>
          <w:szCs w:val="21"/>
        </w:rPr>
        <w:t>碳汇的发展现状以及发展潜力</w:t>
      </w:r>
      <w:r w:rsidRPr="00E051FA">
        <w:rPr>
          <w:rFonts w:ascii="宋体" w:eastAsia="宋体" w:hAnsi="宋体" w:hint="eastAsia"/>
          <w:szCs w:val="21"/>
        </w:rPr>
        <w:t>。针对国内碳汇发展</w:t>
      </w:r>
      <w:r w:rsidR="00BF25A0">
        <w:rPr>
          <w:rFonts w:ascii="宋体" w:eastAsia="宋体" w:hAnsi="宋体" w:hint="eastAsia"/>
          <w:szCs w:val="21"/>
        </w:rPr>
        <w:t>研究</w:t>
      </w:r>
      <w:r w:rsidRPr="00E051FA">
        <w:rPr>
          <w:rFonts w:ascii="宋体" w:eastAsia="宋体" w:hAnsi="宋体" w:hint="eastAsia"/>
          <w:szCs w:val="21"/>
        </w:rPr>
        <w:t>来说，国内大量学者</w:t>
      </w:r>
      <w:r w:rsidR="00476169">
        <w:rPr>
          <w:rFonts w:ascii="宋体" w:eastAsia="宋体" w:hAnsi="宋体" w:hint="eastAsia"/>
          <w:szCs w:val="21"/>
        </w:rPr>
        <w:t>对</w:t>
      </w:r>
      <w:r w:rsidRPr="00E051FA">
        <w:rPr>
          <w:rFonts w:ascii="宋体" w:eastAsia="宋体" w:hAnsi="宋体" w:hint="eastAsia"/>
          <w:szCs w:val="21"/>
        </w:rPr>
        <w:t>西部林区碳汇</w:t>
      </w:r>
      <w:r w:rsidR="00E162D6">
        <w:rPr>
          <w:rFonts w:ascii="宋体" w:eastAsia="宋体" w:hAnsi="宋体" w:hint="eastAsia"/>
          <w:szCs w:val="21"/>
        </w:rPr>
        <w:t>和东北林区</w:t>
      </w:r>
      <w:r w:rsidR="00835A69">
        <w:rPr>
          <w:rFonts w:ascii="宋体" w:eastAsia="宋体" w:hAnsi="宋体" w:hint="eastAsia"/>
          <w:szCs w:val="21"/>
        </w:rPr>
        <w:t>碳汇的发展现状以及发展潜力</w:t>
      </w:r>
      <w:r w:rsidRPr="00E051FA">
        <w:rPr>
          <w:rFonts w:ascii="宋体" w:eastAsia="宋体" w:hAnsi="宋体" w:hint="eastAsia"/>
          <w:szCs w:val="21"/>
        </w:rPr>
        <w:t>进行了不同深度与层次的研究，</w:t>
      </w:r>
      <w:r w:rsidR="00A23353">
        <w:rPr>
          <w:rFonts w:ascii="宋体" w:eastAsia="宋体" w:hAnsi="宋体" w:hint="eastAsia"/>
          <w:szCs w:val="21"/>
        </w:rPr>
        <w:t>主要集中于国家重点林区的研究虽然</w:t>
      </w:r>
      <w:r w:rsidR="00F92BFD">
        <w:rPr>
          <w:rFonts w:ascii="宋体" w:eastAsia="宋体" w:hAnsi="宋体" w:hint="eastAsia"/>
          <w:szCs w:val="21"/>
        </w:rPr>
        <w:t>能够进一步</w:t>
      </w:r>
      <w:r w:rsidR="005203B9">
        <w:rPr>
          <w:rFonts w:ascii="宋体" w:eastAsia="宋体" w:hAnsi="宋体" w:hint="eastAsia"/>
          <w:szCs w:val="21"/>
        </w:rPr>
        <w:t>完善</w:t>
      </w:r>
      <w:r w:rsidR="00F92BFD">
        <w:rPr>
          <w:rFonts w:ascii="宋体" w:eastAsia="宋体" w:hAnsi="宋体" w:hint="eastAsia"/>
          <w:szCs w:val="21"/>
        </w:rPr>
        <w:t>国家主要林区</w:t>
      </w:r>
      <w:r w:rsidR="005203B9">
        <w:rPr>
          <w:rFonts w:ascii="宋体" w:eastAsia="宋体" w:hAnsi="宋体" w:hint="eastAsia"/>
          <w:szCs w:val="21"/>
        </w:rPr>
        <w:t>碳汇市场的发展，挖掘主要林区碳汇潜力</w:t>
      </w:r>
      <w:r w:rsidR="00C4576C">
        <w:rPr>
          <w:rFonts w:ascii="宋体" w:eastAsia="宋体" w:hAnsi="宋体" w:hint="eastAsia"/>
          <w:szCs w:val="21"/>
        </w:rPr>
        <w:t>，</w:t>
      </w:r>
      <w:r w:rsidR="00835A69">
        <w:rPr>
          <w:rFonts w:ascii="宋体" w:eastAsia="宋体" w:hAnsi="宋体" w:hint="eastAsia"/>
          <w:szCs w:val="21"/>
        </w:rPr>
        <w:t>但是</w:t>
      </w:r>
      <w:r w:rsidRPr="00E051FA">
        <w:rPr>
          <w:rFonts w:ascii="宋体" w:eastAsia="宋体" w:hAnsi="宋体" w:hint="eastAsia"/>
          <w:szCs w:val="21"/>
        </w:rPr>
        <w:t>鲜少有学者对国内不同地区碳汇发展水平进行比较。</w:t>
      </w:r>
      <w:r w:rsidR="006D4AAB">
        <w:rPr>
          <w:rFonts w:ascii="宋体" w:eastAsia="宋体" w:hAnsi="宋体" w:hint="eastAsia"/>
          <w:szCs w:val="21"/>
        </w:rPr>
        <w:t>本文将通过地理分区的方式</w:t>
      </w:r>
      <w:r w:rsidR="008951E4">
        <w:rPr>
          <w:rFonts w:ascii="宋体" w:eastAsia="宋体" w:hAnsi="宋体" w:hint="eastAsia"/>
          <w:szCs w:val="21"/>
        </w:rPr>
        <w:t>研究不同地区的碳汇发展现状，碳汇增长率</w:t>
      </w:r>
      <w:r w:rsidR="00DF4013">
        <w:rPr>
          <w:rFonts w:ascii="宋体" w:eastAsia="宋体" w:hAnsi="宋体" w:hint="eastAsia"/>
          <w:szCs w:val="21"/>
        </w:rPr>
        <w:t>得出相应的结论，结合国家的政策</w:t>
      </w:r>
      <w:r w:rsidR="00B36CB2">
        <w:rPr>
          <w:rFonts w:ascii="宋体" w:eastAsia="宋体" w:hAnsi="宋体" w:hint="eastAsia"/>
          <w:szCs w:val="21"/>
        </w:rPr>
        <w:t>为</w:t>
      </w:r>
      <w:r w:rsidR="006447BA">
        <w:rPr>
          <w:rFonts w:ascii="宋体" w:eastAsia="宋体" w:hAnsi="宋体" w:hint="eastAsia"/>
          <w:szCs w:val="21"/>
        </w:rPr>
        <w:t>实现</w:t>
      </w:r>
      <w:r w:rsidR="00851053">
        <w:rPr>
          <w:rFonts w:ascii="宋体" w:eastAsia="宋体" w:hAnsi="宋体" w:hint="eastAsia"/>
          <w:szCs w:val="21"/>
        </w:rPr>
        <w:t>不同地区</w:t>
      </w:r>
      <w:r w:rsidR="00B36CB2">
        <w:rPr>
          <w:rFonts w:ascii="宋体" w:eastAsia="宋体" w:hAnsi="宋体" w:hint="eastAsia"/>
          <w:szCs w:val="21"/>
        </w:rPr>
        <w:t>碳汇的均衡发展</w:t>
      </w:r>
      <w:r w:rsidR="00851053">
        <w:rPr>
          <w:rFonts w:ascii="宋体" w:eastAsia="宋体" w:hAnsi="宋体" w:hint="eastAsia"/>
          <w:szCs w:val="21"/>
        </w:rPr>
        <w:t>，</w:t>
      </w:r>
      <w:r w:rsidR="003A6756">
        <w:rPr>
          <w:rFonts w:ascii="宋体" w:eastAsia="宋体" w:hAnsi="宋体" w:hint="eastAsia"/>
          <w:szCs w:val="21"/>
        </w:rPr>
        <w:t>因地制宜的提出相应的治理政策，将对我国碳汇市场的发展具有重大意义。</w:t>
      </w:r>
    </w:p>
    <w:p w:rsidR="004703A9" w:rsidRPr="005925FD" w:rsidRDefault="004703A9" w:rsidP="005925FD">
      <w:pPr>
        <w:spacing w:line="400" w:lineRule="exact"/>
        <w:rPr>
          <w:rFonts w:ascii="宋体" w:eastAsia="宋体" w:hAnsi="宋体"/>
          <w:b/>
          <w:bCs/>
          <w:sz w:val="28"/>
          <w:szCs w:val="28"/>
        </w:rPr>
      </w:pPr>
      <w:r w:rsidRPr="005925FD">
        <w:rPr>
          <w:rFonts w:ascii="宋体" w:eastAsia="宋体" w:hAnsi="宋体" w:hint="eastAsia"/>
          <w:b/>
          <w:bCs/>
          <w:sz w:val="28"/>
          <w:szCs w:val="28"/>
        </w:rPr>
        <w:t>二、研究方法</w:t>
      </w:r>
    </w:p>
    <w:p w:rsidR="00250905" w:rsidRDefault="00250905" w:rsidP="004703A9">
      <w:pPr>
        <w:spacing w:line="400" w:lineRule="exact"/>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样本选取</w:t>
      </w:r>
    </w:p>
    <w:p w:rsidR="00780E62" w:rsidRPr="00E051FA" w:rsidRDefault="004703A9" w:rsidP="004703A9">
      <w:pPr>
        <w:spacing w:line="400" w:lineRule="exact"/>
        <w:ind w:firstLineChars="200" w:firstLine="420"/>
        <w:rPr>
          <w:rFonts w:ascii="宋体" w:eastAsia="宋体" w:hAnsi="宋体"/>
          <w:szCs w:val="21"/>
        </w:rPr>
      </w:pPr>
      <w:r>
        <w:rPr>
          <w:rFonts w:ascii="宋体" w:eastAsia="宋体" w:hAnsi="宋体" w:hint="eastAsia"/>
          <w:szCs w:val="21"/>
        </w:rPr>
        <w:t>样本选取</w:t>
      </w:r>
      <w:r w:rsidR="00E3268F" w:rsidRPr="00E051FA">
        <w:rPr>
          <w:rFonts w:ascii="宋体" w:eastAsia="宋体" w:hAnsi="宋体" w:hint="eastAsia"/>
          <w:szCs w:val="21"/>
        </w:rPr>
        <w:t>以《中国自然地理》中对于中国省市地区的划分为依据，</w:t>
      </w:r>
      <w:r w:rsidR="007161CF" w:rsidRPr="00E051FA">
        <w:rPr>
          <w:rFonts w:ascii="宋体" w:eastAsia="宋体" w:hAnsi="宋体" w:hint="eastAsia"/>
          <w:szCs w:val="21"/>
        </w:rPr>
        <w:t>去除香港、澳门、台湾</w:t>
      </w:r>
      <w:r w:rsidR="00E3268F" w:rsidRPr="00E051FA">
        <w:rPr>
          <w:rFonts w:ascii="宋体" w:eastAsia="宋体" w:hAnsi="宋体" w:hint="eastAsia"/>
          <w:szCs w:val="21"/>
        </w:rPr>
        <w:t>将中国分为华东（上海市、江苏省、浙江省、安徽省、江西省、山东省、福建省）华北（北京市、天津市、山西省、河北省</w:t>
      </w:r>
      <w:r w:rsidR="0009052F" w:rsidRPr="00E051FA">
        <w:rPr>
          <w:rFonts w:ascii="宋体" w:eastAsia="宋体" w:hAnsi="宋体" w:hint="eastAsia"/>
          <w:szCs w:val="21"/>
        </w:rPr>
        <w:t>、内蒙古</w:t>
      </w:r>
      <w:r w:rsidR="00E3268F" w:rsidRPr="00E051FA">
        <w:rPr>
          <w:rFonts w:ascii="宋体" w:eastAsia="宋体" w:hAnsi="宋体" w:hint="eastAsia"/>
          <w:szCs w:val="21"/>
        </w:rPr>
        <w:t>）华中（河南省、湖北省、湖南省）华南（广东省、广西壮族自治区、海南省）西南（重庆市、四川省、贵州省、云南省、西藏自治区）西北（陕西省、甘肃省、青海省、宁夏回族自治区、新疆维吾尔自治区）东北（黑龙江省、吉林省、辽宁省），并以这7个地区</w:t>
      </w:r>
      <w:r w:rsidR="00E81F14" w:rsidRPr="00E051FA">
        <w:rPr>
          <w:rFonts w:ascii="宋体" w:eastAsia="宋体" w:hAnsi="宋体" w:hint="eastAsia"/>
          <w:szCs w:val="21"/>
        </w:rPr>
        <w:t>1998-2017</w:t>
      </w:r>
      <w:r w:rsidR="00E3268F" w:rsidRPr="00E051FA">
        <w:rPr>
          <w:rFonts w:ascii="宋体" w:eastAsia="宋体" w:hAnsi="宋体" w:hint="eastAsia"/>
          <w:szCs w:val="21"/>
        </w:rPr>
        <w:t>年的相关数据为样本，</w:t>
      </w:r>
      <w:r w:rsidR="00E1458B" w:rsidRPr="00E051FA">
        <w:rPr>
          <w:rFonts w:ascii="宋体" w:eastAsia="宋体" w:hAnsi="宋体" w:hint="eastAsia"/>
          <w:szCs w:val="21"/>
        </w:rPr>
        <w:t>依据森林蓄积量扩展法</w:t>
      </w:r>
      <w:r w:rsidR="00E1458B">
        <w:rPr>
          <w:rFonts w:ascii="宋体" w:eastAsia="宋体" w:hAnsi="宋体" w:hint="eastAsia"/>
          <w:szCs w:val="21"/>
        </w:rPr>
        <w:t>，</w:t>
      </w:r>
      <w:r w:rsidR="00882192" w:rsidRPr="00E051FA">
        <w:rPr>
          <w:rFonts w:ascii="宋体" w:eastAsia="宋体" w:hAnsi="宋体" w:hint="eastAsia"/>
          <w:szCs w:val="21"/>
        </w:rPr>
        <w:t>分析不同地区碳汇发展水平的不同，并将对我国碳汇的发展提出建议，将对我国有效利用森林资源、改善生态环境具有重要意义。</w:t>
      </w:r>
    </w:p>
    <w:p w:rsidR="005925FD" w:rsidRPr="005925FD" w:rsidRDefault="005925FD" w:rsidP="00E051FA">
      <w:pPr>
        <w:spacing w:line="400" w:lineRule="exact"/>
        <w:ind w:firstLineChars="200" w:firstLine="420"/>
        <w:rPr>
          <w:rFonts w:ascii="宋体" w:eastAsia="宋体" w:hAnsi="宋体"/>
          <w:szCs w:val="21"/>
        </w:rPr>
      </w:pPr>
      <w:r w:rsidRPr="005925FD">
        <w:rPr>
          <w:rFonts w:ascii="宋体" w:eastAsia="宋体" w:hAnsi="宋体" w:hint="eastAsia"/>
          <w:szCs w:val="21"/>
        </w:rPr>
        <w:t>2.</w:t>
      </w:r>
      <w:r w:rsidR="00F67362">
        <w:rPr>
          <w:rFonts w:ascii="宋体" w:eastAsia="宋体" w:hAnsi="宋体"/>
          <w:szCs w:val="21"/>
        </w:rPr>
        <w:t>2</w:t>
      </w:r>
      <w:r w:rsidR="00F67362">
        <w:rPr>
          <w:rFonts w:ascii="宋体" w:eastAsia="宋体" w:hAnsi="宋体" w:hint="eastAsia"/>
          <w:szCs w:val="21"/>
        </w:rPr>
        <w:t>模型建立</w:t>
      </w:r>
    </w:p>
    <w:p w:rsidR="00E3268F" w:rsidRPr="00E051FA" w:rsidRDefault="00725E8D" w:rsidP="00E051FA">
      <w:pPr>
        <w:spacing w:line="400" w:lineRule="exact"/>
        <w:ind w:firstLineChars="200" w:firstLine="420"/>
        <w:rPr>
          <w:rFonts w:ascii="宋体" w:eastAsia="宋体" w:hAnsi="宋体"/>
          <w:szCs w:val="21"/>
        </w:rPr>
      </w:pPr>
      <w:r w:rsidRPr="00E051FA">
        <w:rPr>
          <w:rFonts w:ascii="宋体" w:eastAsia="宋体" w:hAnsi="宋体" w:hint="eastAsia"/>
          <w:szCs w:val="21"/>
        </w:rPr>
        <w:t>森林碳汇核算方法主要有植物分子式法碳通量法、植物分子式法等。本文</w:t>
      </w:r>
      <w:r w:rsidR="00D66ED1" w:rsidRPr="00E051FA">
        <w:rPr>
          <w:rFonts w:ascii="宋体" w:eastAsia="宋体" w:hAnsi="宋体" w:hint="eastAsia"/>
          <w:szCs w:val="21"/>
        </w:rPr>
        <w:t>从自然科学角度和经济学角度出发，利用森林蓄积量扩展法</w:t>
      </w:r>
      <w:r w:rsidR="00CA147F">
        <w:rPr>
          <w:rFonts w:ascii="宋体" w:eastAsia="宋体" w:hAnsi="宋体" w:hint="eastAsia"/>
          <w:szCs w:val="21"/>
        </w:rPr>
        <w:t>（2006）</w:t>
      </w:r>
      <w:r w:rsidR="00D66ED1" w:rsidRPr="00E051FA">
        <w:rPr>
          <w:rFonts w:ascii="宋体" w:eastAsia="宋体" w:hAnsi="宋体" w:hint="eastAsia"/>
          <w:szCs w:val="21"/>
        </w:rPr>
        <w:t>对样本数据进行研究。</w:t>
      </w:r>
    </w:p>
    <w:p w:rsidR="00D66ED1" w:rsidRPr="00E051FA" w:rsidRDefault="00D66ED1" w:rsidP="00E051FA">
      <w:pPr>
        <w:spacing w:line="400" w:lineRule="exact"/>
        <w:ind w:firstLineChars="200" w:firstLine="420"/>
        <w:rPr>
          <w:rFonts w:ascii="宋体" w:eastAsia="宋体" w:hAnsi="宋体"/>
          <w:szCs w:val="21"/>
        </w:rPr>
      </w:pPr>
      <w:r w:rsidRPr="00E051FA">
        <w:rPr>
          <w:rFonts w:ascii="宋体" w:eastAsia="宋体" w:hAnsi="宋体" w:hint="eastAsia"/>
          <w:szCs w:val="21"/>
        </w:rPr>
        <w:t>因此森林全部固碳量的</w:t>
      </w:r>
      <w:r w:rsidR="004949AA" w:rsidRPr="00E051FA">
        <w:rPr>
          <w:rFonts w:ascii="宋体" w:eastAsia="宋体" w:hAnsi="宋体" w:hint="eastAsia"/>
          <w:szCs w:val="21"/>
        </w:rPr>
        <w:t>计算公式为：</w:t>
      </w:r>
    </w:p>
    <w:p w:rsidR="004949AA" w:rsidRPr="004949AA" w:rsidRDefault="00DC69F2" w:rsidP="00780E62">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F</m:t>
              </m:r>
            </m:sub>
          </m:sSub>
          <m:r>
            <w:rPr>
              <w:rFonts w:ascii="Cambria Math" w:eastAsia="宋体" w:hAnsi="Cambria Math"/>
            </w:rPr>
            <m:t>=</m:t>
          </m:r>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m:t>
                  </m:r>
                </m:sub>
              </m:sSub>
              <m:r>
                <w:rPr>
                  <w:rFonts w:ascii="Cambria Math" w:eastAsia="宋体" w:hAnsi="Cambria Math"/>
                </w:rPr>
                <m:t>)+α</m:t>
              </m:r>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m:t>
                      </m:r>
                    </m:sub>
                  </m:sSub>
                  <m:r>
                    <w:rPr>
                      <w:rFonts w:ascii="Cambria Math" w:eastAsia="宋体" w:hAnsi="Cambria Math"/>
                    </w:rPr>
                    <m:t>)</m:t>
                  </m:r>
                </m:e>
              </m:nary>
              <m:r>
                <w:rPr>
                  <w:rFonts w:ascii="Cambria Math" w:eastAsia="宋体" w:hAnsi="Cambria Math"/>
                </w:rPr>
                <m:t>+β</m:t>
              </m:r>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m:t>
                      </m:r>
                    </m:sub>
                  </m:sSub>
                  <m:r>
                    <w:rPr>
                      <w:rFonts w:ascii="Cambria Math" w:eastAsia="宋体" w:hAnsi="Cambria Math"/>
                    </w:rPr>
                    <m:t>)</m:t>
                  </m:r>
                </m:e>
              </m:nary>
            </m:e>
          </m:nary>
        </m:oMath>
      </m:oMathPara>
    </w:p>
    <w:p w:rsidR="004949AA" w:rsidRDefault="00DC69F2" w:rsidP="00780E62">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m:t>
              </m:r>
            </m:sub>
          </m:sSub>
          <m:r>
            <w:rPr>
              <w:rFonts w:ascii="Cambria Math" w:eastAsia="宋体" w:hAnsi="Cambria Math"/>
            </w:rPr>
            <m:t>*δ*ρ*γ</m:t>
          </m:r>
        </m:oMath>
      </m:oMathPara>
    </w:p>
    <w:p w:rsidR="008C4F56" w:rsidRPr="00E051FA" w:rsidRDefault="00DC69F2" w:rsidP="00E051FA">
      <w:pPr>
        <w:spacing w:line="400" w:lineRule="exact"/>
        <w:ind w:firstLineChars="200" w:firstLine="420"/>
        <w:rPr>
          <w:rFonts w:ascii="宋体" w:eastAsia="宋体" w:hAnsi="宋体"/>
          <w:szCs w:val="21"/>
        </w:rPr>
      </w:pP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ij</m:t>
            </m:r>
          </m:sub>
        </m:sSub>
      </m:oMath>
      <w:r w:rsidR="004949AA" w:rsidRPr="00E051FA">
        <w:rPr>
          <w:rFonts w:ascii="宋体" w:eastAsia="宋体" w:hAnsi="宋体" w:hint="eastAsia"/>
          <w:szCs w:val="21"/>
        </w:rPr>
        <w:t>为第i类地区第j类森林的面积，</w:t>
      </w:r>
      <m:oMath>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ij</m:t>
            </m:r>
          </m:sub>
        </m:sSub>
      </m:oMath>
      <w:r w:rsidR="004949AA" w:rsidRPr="00E051FA">
        <w:rPr>
          <w:rFonts w:ascii="宋体" w:eastAsia="宋体" w:hAnsi="宋体" w:hint="eastAsia"/>
          <w:szCs w:val="21"/>
        </w:rPr>
        <w:t>为第i类地区第j类森林类型的森林碳密度，</w:t>
      </w:r>
      <m:oMath>
        <m:sSub>
          <m:sSubPr>
            <m:ctrlPr>
              <w:rPr>
                <w:rFonts w:ascii="Cambria Math" w:eastAsia="宋体" w:hAnsi="Cambria Math"/>
                <w:szCs w:val="21"/>
              </w:rPr>
            </m:ctrlPr>
          </m:sSubPr>
          <m:e>
            <m:r>
              <w:rPr>
                <w:rFonts w:ascii="Cambria Math" w:eastAsia="宋体" w:hAnsi="Cambria Math"/>
                <w:szCs w:val="21"/>
              </w:rPr>
              <m:t>V</m:t>
            </m:r>
          </m:e>
          <m:sub>
            <m:r>
              <w:rPr>
                <w:rFonts w:ascii="Cambria Math" w:eastAsia="宋体" w:hAnsi="Cambria Math"/>
                <w:szCs w:val="21"/>
              </w:rPr>
              <m:t>ij</m:t>
            </m:r>
          </m:sub>
        </m:sSub>
      </m:oMath>
      <w:r w:rsidR="008C4F56" w:rsidRPr="00E051FA">
        <w:rPr>
          <w:rFonts w:ascii="宋体" w:eastAsia="宋体" w:hAnsi="宋体" w:hint="eastAsia"/>
          <w:szCs w:val="21"/>
        </w:rPr>
        <w:t>为</w:t>
      </w:r>
      <w:r w:rsidR="004949AA" w:rsidRPr="00E051FA">
        <w:rPr>
          <w:rFonts w:ascii="宋体" w:eastAsia="宋体" w:hAnsi="宋体" w:hint="eastAsia"/>
          <w:szCs w:val="21"/>
        </w:rPr>
        <w:t>第i类地区第j类森林类型的森林单位面积蓄积量</w:t>
      </w:r>
      <w:r w:rsidR="008C4F56" w:rsidRPr="00E051FA">
        <w:rPr>
          <w:rFonts w:ascii="宋体" w:eastAsia="宋体" w:hAnsi="宋体" w:hint="eastAsia"/>
          <w:szCs w:val="21"/>
        </w:rPr>
        <w:t>。</w:t>
      </w:r>
    </w:p>
    <w:p w:rsidR="00D66ED1" w:rsidRDefault="004949AA" w:rsidP="00E051FA">
      <w:pPr>
        <w:spacing w:line="400" w:lineRule="exact"/>
        <w:ind w:firstLineChars="200" w:firstLine="420"/>
        <w:rPr>
          <w:rFonts w:ascii="宋体" w:eastAsia="宋体" w:hAnsi="宋体"/>
          <w:szCs w:val="21"/>
        </w:rPr>
      </w:pPr>
      <m:oMath>
        <m:r>
          <w:rPr>
            <w:rFonts w:ascii="Cambria Math" w:eastAsia="宋体" w:hAnsi="Cambria Math"/>
            <w:szCs w:val="21"/>
          </w:rPr>
          <m:t>α</m:t>
        </m:r>
      </m:oMath>
      <w:r w:rsidRPr="00E051FA">
        <w:rPr>
          <w:rFonts w:ascii="宋体" w:eastAsia="宋体" w:hAnsi="宋体" w:hint="eastAsia"/>
          <w:szCs w:val="21"/>
        </w:rPr>
        <w:t>为</w:t>
      </w:r>
      <w:r w:rsidR="008C4F56" w:rsidRPr="00E051FA">
        <w:rPr>
          <w:rFonts w:ascii="宋体" w:eastAsia="宋体" w:hAnsi="宋体" w:hint="eastAsia"/>
          <w:szCs w:val="21"/>
        </w:rPr>
        <w:t>林下植物碳转换系数，表示根据森林生物量计算林下植物的固碳量系数（为0.195）；</w:t>
      </w:r>
      <m:oMath>
        <m:r>
          <w:rPr>
            <w:rFonts w:ascii="Cambria Math" w:eastAsia="宋体" w:hAnsi="Cambria Math"/>
            <w:szCs w:val="21"/>
          </w:rPr>
          <m:t>β</m:t>
        </m:r>
      </m:oMath>
      <w:r w:rsidR="008C4F56" w:rsidRPr="00E051FA">
        <w:rPr>
          <w:rFonts w:ascii="宋体" w:eastAsia="宋体" w:hAnsi="宋体" w:hint="eastAsia"/>
          <w:szCs w:val="21"/>
        </w:rPr>
        <w:t>为林地碳转换系数，表示根据森林生物固碳量计算林地固碳量系数（为1.244）；</w:t>
      </w:r>
      <m:oMath>
        <m:r>
          <w:rPr>
            <w:rFonts w:ascii="Cambria Math" w:eastAsia="宋体" w:hAnsi="Cambria Math"/>
            <w:szCs w:val="21"/>
          </w:rPr>
          <m:t>δ</m:t>
        </m:r>
      </m:oMath>
      <w:r w:rsidR="008C4F56" w:rsidRPr="00E051FA">
        <w:rPr>
          <w:rFonts w:ascii="宋体" w:eastAsia="宋体" w:hAnsi="宋体" w:hint="eastAsia"/>
          <w:szCs w:val="21"/>
        </w:rPr>
        <w:t>为生物量扩大系数，表示将树木蓄积量转换成以树木为主体的生物蓄积量（国际通用I</w:t>
      </w:r>
      <w:r w:rsidR="008C4F56" w:rsidRPr="00E051FA">
        <w:rPr>
          <w:rFonts w:ascii="宋体" w:eastAsia="宋体" w:hAnsi="宋体"/>
          <w:szCs w:val="21"/>
        </w:rPr>
        <w:t>PCC</w:t>
      </w:r>
      <w:r w:rsidR="008C4F56" w:rsidRPr="00E051FA">
        <w:rPr>
          <w:rFonts w:ascii="宋体" w:eastAsia="宋体" w:hAnsi="宋体" w:hint="eastAsia"/>
          <w:szCs w:val="21"/>
        </w:rPr>
        <w:t>默认值为1.9）；</w:t>
      </w:r>
      <m:oMath>
        <m:r>
          <w:rPr>
            <w:rFonts w:ascii="Cambria Math" w:eastAsia="宋体" w:hAnsi="Cambria Math"/>
            <w:szCs w:val="21"/>
          </w:rPr>
          <m:t>ρ</m:t>
        </m:r>
      </m:oMath>
      <w:r w:rsidR="008C4F56" w:rsidRPr="00E051FA">
        <w:rPr>
          <w:rFonts w:ascii="宋体" w:eastAsia="宋体" w:hAnsi="宋体" w:hint="eastAsia"/>
          <w:szCs w:val="21"/>
        </w:rPr>
        <w:t>为容积系数，表示将森林全部生物量蓄积转换成干重的换算系数（国际通用I</w:t>
      </w:r>
      <w:r w:rsidR="008C4F56" w:rsidRPr="00E051FA">
        <w:rPr>
          <w:rFonts w:ascii="宋体" w:eastAsia="宋体" w:hAnsi="宋体"/>
          <w:szCs w:val="21"/>
        </w:rPr>
        <w:t>PCC</w:t>
      </w:r>
      <w:r w:rsidR="008C4F56" w:rsidRPr="00E051FA">
        <w:rPr>
          <w:rFonts w:ascii="宋体" w:eastAsia="宋体" w:hAnsi="宋体" w:hint="eastAsia"/>
          <w:szCs w:val="21"/>
        </w:rPr>
        <w:t>默认值为0.5）；</w:t>
      </w:r>
      <m:oMath>
        <m:r>
          <w:rPr>
            <w:rFonts w:ascii="Cambria Math" w:eastAsia="宋体" w:hAnsi="Cambria Math"/>
            <w:szCs w:val="21"/>
          </w:rPr>
          <m:t>γ</m:t>
        </m:r>
      </m:oMath>
      <w:r w:rsidR="008C4F56" w:rsidRPr="00E051FA">
        <w:rPr>
          <w:rFonts w:ascii="宋体" w:eastAsia="宋体" w:hAnsi="宋体" w:hint="eastAsia"/>
          <w:szCs w:val="21"/>
        </w:rPr>
        <w:t>为含碳量，表示将生物量干重转换成固碳量的转换系数（国际通用I</w:t>
      </w:r>
      <w:r w:rsidR="008C4F56" w:rsidRPr="00E051FA">
        <w:rPr>
          <w:rFonts w:ascii="宋体" w:eastAsia="宋体" w:hAnsi="宋体"/>
          <w:szCs w:val="21"/>
        </w:rPr>
        <w:t>PCC</w:t>
      </w:r>
      <w:r w:rsidR="008C4F56" w:rsidRPr="00E051FA">
        <w:rPr>
          <w:rFonts w:ascii="宋体" w:eastAsia="宋体" w:hAnsi="宋体" w:hint="eastAsia"/>
          <w:szCs w:val="21"/>
        </w:rPr>
        <w:t>默认值为0.5）。</w:t>
      </w:r>
    </w:p>
    <w:p w:rsidR="00F67362" w:rsidRPr="00E051FA" w:rsidRDefault="00F67362" w:rsidP="00F67362">
      <w:pPr>
        <w:spacing w:line="400" w:lineRule="exact"/>
        <w:rPr>
          <w:rFonts w:ascii="宋体" w:eastAsia="宋体" w:hAnsi="宋体"/>
          <w:szCs w:val="21"/>
        </w:rPr>
      </w:pPr>
      <w:r>
        <w:rPr>
          <w:rFonts w:ascii="宋体" w:eastAsia="宋体" w:hAnsi="宋体" w:hint="eastAsia"/>
          <w:b/>
          <w:bCs/>
          <w:sz w:val="28"/>
          <w:szCs w:val="28"/>
        </w:rPr>
        <w:t>三、实证结果及结论</w:t>
      </w:r>
    </w:p>
    <w:p w:rsidR="00A8217B" w:rsidRPr="00E051FA" w:rsidRDefault="00162076" w:rsidP="00E051FA">
      <w:pPr>
        <w:spacing w:line="400" w:lineRule="exact"/>
        <w:ind w:firstLineChars="200" w:firstLine="420"/>
        <w:rPr>
          <w:rFonts w:ascii="宋体" w:eastAsia="宋体" w:hAnsi="宋体"/>
          <w:szCs w:val="21"/>
        </w:rPr>
      </w:pPr>
      <w:r>
        <w:rPr>
          <w:rFonts w:ascii="宋体" w:eastAsia="宋体" w:hAnsi="宋体" w:hint="eastAsia"/>
          <w:szCs w:val="21"/>
        </w:rPr>
        <w:t>数据来源于</w:t>
      </w:r>
      <w:r w:rsidR="00E81F14" w:rsidRPr="00E051FA">
        <w:rPr>
          <w:rFonts w:ascii="宋体" w:eastAsia="宋体" w:hAnsi="宋体" w:hint="eastAsia"/>
          <w:szCs w:val="21"/>
        </w:rPr>
        <w:t>1998-2017</w:t>
      </w:r>
      <w:r w:rsidR="00AE053F" w:rsidRPr="00E051FA">
        <w:rPr>
          <w:rFonts w:ascii="宋体" w:eastAsia="宋体" w:hAnsi="宋体" w:hint="eastAsia"/>
          <w:szCs w:val="21"/>
        </w:rPr>
        <w:t>年的《中国林业统计年鉴》，</w:t>
      </w:r>
      <w:r w:rsidR="00E81F14" w:rsidRPr="00E051FA">
        <w:rPr>
          <w:rFonts w:ascii="宋体" w:eastAsia="宋体" w:hAnsi="宋体" w:hint="eastAsia"/>
          <w:szCs w:val="21"/>
        </w:rPr>
        <w:t>并根据统计年鉴的</w:t>
      </w:r>
      <w:r w:rsidR="00A835A3">
        <w:rPr>
          <w:rFonts w:ascii="宋体" w:eastAsia="宋体" w:hAnsi="宋体" w:hint="eastAsia"/>
          <w:szCs w:val="21"/>
        </w:rPr>
        <w:t>数据记录</w:t>
      </w:r>
      <w:r w:rsidR="00E81F14" w:rsidRPr="00E051FA">
        <w:rPr>
          <w:rFonts w:ascii="宋体" w:eastAsia="宋体" w:hAnsi="宋体" w:hint="eastAsia"/>
          <w:szCs w:val="21"/>
        </w:rPr>
        <w:t>方式，以5年为一周期计算</w:t>
      </w:r>
      <w:r w:rsidR="004E64AF">
        <w:rPr>
          <w:rFonts w:ascii="宋体" w:eastAsia="宋体" w:hAnsi="宋体" w:hint="eastAsia"/>
          <w:szCs w:val="21"/>
        </w:rPr>
        <w:t>不同周期中的森林固碳量</w:t>
      </w:r>
      <w:r w:rsidR="00E81F14" w:rsidRPr="00E051FA">
        <w:rPr>
          <w:rFonts w:ascii="宋体" w:eastAsia="宋体" w:hAnsi="宋体" w:hint="eastAsia"/>
          <w:szCs w:val="21"/>
        </w:rPr>
        <w:t>，</w:t>
      </w:r>
      <w:r w:rsidR="00A8217B" w:rsidRPr="00E051FA">
        <w:rPr>
          <w:rFonts w:ascii="宋体" w:eastAsia="宋体" w:hAnsi="宋体" w:hint="eastAsia"/>
          <w:szCs w:val="21"/>
        </w:rPr>
        <w:t>将7</w:t>
      </w:r>
      <w:r w:rsidR="0012368D" w:rsidRPr="00E051FA">
        <w:rPr>
          <w:rFonts w:ascii="宋体" w:eastAsia="宋体" w:hAnsi="宋体" w:hint="eastAsia"/>
          <w:szCs w:val="21"/>
        </w:rPr>
        <w:t>个</w:t>
      </w:r>
      <w:r w:rsidR="00A8217B" w:rsidRPr="00E051FA">
        <w:rPr>
          <w:rFonts w:ascii="宋体" w:eastAsia="宋体" w:hAnsi="宋体" w:hint="eastAsia"/>
          <w:szCs w:val="21"/>
        </w:rPr>
        <w:t>地区的数据代入</w:t>
      </w:r>
      <w:r w:rsidR="00AE053F" w:rsidRPr="00E051FA">
        <w:rPr>
          <w:rFonts w:ascii="宋体" w:eastAsia="宋体" w:hAnsi="宋体" w:hint="eastAsia"/>
          <w:szCs w:val="21"/>
        </w:rPr>
        <w:t>得到固碳量的统计</w:t>
      </w:r>
      <w:r w:rsidR="000879B8">
        <w:rPr>
          <w:rFonts w:ascii="宋体" w:eastAsia="宋体" w:hAnsi="宋体" w:hint="eastAsia"/>
          <w:szCs w:val="21"/>
        </w:rPr>
        <w:t>面板数据</w:t>
      </w:r>
      <w:r w:rsidR="00AE053F" w:rsidRPr="00E051FA">
        <w:rPr>
          <w:rFonts w:ascii="宋体" w:eastAsia="宋体" w:hAnsi="宋体" w:hint="eastAsia"/>
          <w:szCs w:val="21"/>
        </w:rPr>
        <w:t>为表1</w:t>
      </w:r>
    </w:p>
    <w:p w:rsidR="000A3EB8" w:rsidRDefault="000A3EB8" w:rsidP="0012368D">
      <w:pPr>
        <w:pStyle w:val="a6"/>
        <w:jc w:val="center"/>
        <w:rPr>
          <w:rFonts w:ascii="宋体" w:eastAsia="宋体" w:hAnsi="宋体"/>
        </w:rPr>
      </w:pPr>
      <w:r>
        <w:t>表</w:t>
      </w:r>
      <w:r>
        <w:t xml:space="preserve"> </w:t>
      </w:r>
      <w:r w:rsidR="00BD0EBE">
        <w:fldChar w:fldCharType="begin"/>
      </w:r>
      <w:r>
        <w:instrText xml:space="preserve"> SEQ </w:instrText>
      </w:r>
      <w:r>
        <w:instrText>表</w:instrText>
      </w:r>
      <w:r>
        <w:instrText xml:space="preserve"> \* ARABIC </w:instrText>
      </w:r>
      <w:r w:rsidR="00BD0EBE">
        <w:fldChar w:fldCharType="separate"/>
      </w:r>
      <w:r>
        <w:rPr>
          <w:noProof/>
        </w:rPr>
        <w:t>1</w:t>
      </w:r>
      <w:r w:rsidR="00BD0EBE">
        <w:fldChar w:fldCharType="end"/>
      </w:r>
      <w:r w:rsidR="0012368D">
        <w:rPr>
          <w:rFonts w:hint="eastAsia"/>
        </w:rPr>
        <w:t>地区森林全部固碳量</w:t>
      </w:r>
    </w:p>
    <w:tbl>
      <w:tblPr>
        <w:tblStyle w:val="a5"/>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418"/>
        <w:gridCol w:w="933"/>
        <w:gridCol w:w="1053"/>
        <w:gridCol w:w="1053"/>
        <w:gridCol w:w="932"/>
        <w:gridCol w:w="932"/>
        <w:gridCol w:w="1053"/>
        <w:gridCol w:w="932"/>
      </w:tblGrid>
      <w:tr w:rsidR="00625083" w:rsidRPr="000A3EB8" w:rsidTr="00625083">
        <w:tc>
          <w:tcPr>
            <w:tcW w:w="853"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p>
        </w:tc>
        <w:tc>
          <w:tcPr>
            <w:tcW w:w="561"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华北</w:t>
            </w:r>
          </w:p>
        </w:tc>
        <w:tc>
          <w:tcPr>
            <w:tcW w:w="634"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东北</w:t>
            </w:r>
          </w:p>
        </w:tc>
        <w:tc>
          <w:tcPr>
            <w:tcW w:w="634"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华东</w:t>
            </w:r>
          </w:p>
        </w:tc>
        <w:tc>
          <w:tcPr>
            <w:tcW w:w="561"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华中</w:t>
            </w:r>
          </w:p>
        </w:tc>
        <w:tc>
          <w:tcPr>
            <w:tcW w:w="561"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华南</w:t>
            </w:r>
          </w:p>
        </w:tc>
        <w:tc>
          <w:tcPr>
            <w:tcW w:w="634"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西南</w:t>
            </w:r>
          </w:p>
        </w:tc>
        <w:tc>
          <w:tcPr>
            <w:tcW w:w="561" w:type="pct"/>
            <w:tcBorders>
              <w:bottom w:val="single" w:sz="4" w:space="0" w:color="auto"/>
            </w:tcBorders>
            <w:vAlign w:val="center"/>
          </w:tcPr>
          <w:p w:rsidR="00625083" w:rsidRPr="000A3EB8" w:rsidRDefault="00625083" w:rsidP="0012368D">
            <w:pPr>
              <w:jc w:val="center"/>
              <w:rPr>
                <w:rFonts w:ascii="宋体" w:eastAsia="宋体" w:hAnsi="宋体"/>
                <w:sz w:val="16"/>
                <w:szCs w:val="16"/>
              </w:rPr>
            </w:pPr>
            <w:r w:rsidRPr="000A3EB8">
              <w:rPr>
                <w:rFonts w:ascii="宋体" w:eastAsia="宋体" w:hAnsi="宋体" w:hint="eastAsia"/>
                <w:color w:val="000000"/>
                <w:sz w:val="16"/>
                <w:szCs w:val="16"/>
              </w:rPr>
              <w:t>西北</w:t>
            </w:r>
          </w:p>
        </w:tc>
      </w:tr>
      <w:tr w:rsidR="00625083" w:rsidRPr="000A3EB8" w:rsidTr="00625083">
        <w:tc>
          <w:tcPr>
            <w:tcW w:w="853" w:type="pct"/>
            <w:tcBorders>
              <w:bottom w:val="nil"/>
            </w:tcBorders>
            <w:vAlign w:val="center"/>
          </w:tcPr>
          <w:p w:rsidR="00625083" w:rsidRPr="000A3EB8" w:rsidRDefault="00625083" w:rsidP="00625083">
            <w:pPr>
              <w:jc w:val="center"/>
              <w:rPr>
                <w:rFonts w:ascii="宋体" w:eastAsia="宋体" w:hAnsi="宋体"/>
                <w:sz w:val="16"/>
                <w:szCs w:val="16"/>
              </w:rPr>
            </w:pPr>
            <w:r w:rsidRPr="000A3EB8">
              <w:rPr>
                <w:rFonts w:ascii="宋体" w:eastAsia="宋体" w:hAnsi="宋体" w:hint="eastAsia"/>
                <w:color w:val="000000"/>
                <w:sz w:val="16"/>
                <w:szCs w:val="16"/>
              </w:rPr>
              <w:t>1999-2003</w:t>
            </w:r>
          </w:p>
        </w:tc>
        <w:tc>
          <w:tcPr>
            <w:tcW w:w="561"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37.36 </w:t>
            </w:r>
          </w:p>
        </w:tc>
        <w:tc>
          <w:tcPr>
            <w:tcW w:w="634"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97.02 </w:t>
            </w:r>
          </w:p>
        </w:tc>
        <w:tc>
          <w:tcPr>
            <w:tcW w:w="634"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72.38 </w:t>
            </w:r>
          </w:p>
        </w:tc>
        <w:tc>
          <w:tcPr>
            <w:tcW w:w="561"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22.77 </w:t>
            </w:r>
          </w:p>
        </w:tc>
        <w:tc>
          <w:tcPr>
            <w:tcW w:w="561"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48.81 </w:t>
            </w:r>
          </w:p>
        </w:tc>
        <w:tc>
          <w:tcPr>
            <w:tcW w:w="634"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98.78 </w:t>
            </w:r>
          </w:p>
        </w:tc>
        <w:tc>
          <w:tcPr>
            <w:tcW w:w="561" w:type="pct"/>
            <w:tcBorders>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24.78 </w:t>
            </w:r>
          </w:p>
        </w:tc>
      </w:tr>
      <w:tr w:rsidR="00625083" w:rsidRPr="000A3EB8" w:rsidTr="00625083">
        <w:tc>
          <w:tcPr>
            <w:tcW w:w="853" w:type="pct"/>
            <w:tcBorders>
              <w:top w:val="nil"/>
              <w:bottom w:val="nil"/>
            </w:tcBorders>
            <w:vAlign w:val="center"/>
          </w:tcPr>
          <w:p w:rsidR="00625083" w:rsidRPr="000A3EB8" w:rsidRDefault="00625083" w:rsidP="00625083">
            <w:pPr>
              <w:jc w:val="center"/>
              <w:rPr>
                <w:rFonts w:ascii="宋体" w:eastAsia="宋体" w:hAnsi="宋体"/>
                <w:sz w:val="16"/>
                <w:szCs w:val="16"/>
              </w:rPr>
            </w:pPr>
            <w:r w:rsidRPr="000A3EB8">
              <w:rPr>
                <w:rFonts w:ascii="宋体" w:eastAsia="宋体" w:hAnsi="宋体" w:hint="eastAsia"/>
                <w:color w:val="000000"/>
                <w:sz w:val="16"/>
                <w:szCs w:val="16"/>
              </w:rPr>
              <w:t>2004-2008</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50.12 </w:t>
            </w:r>
          </w:p>
        </w:tc>
        <w:tc>
          <w:tcPr>
            <w:tcW w:w="634"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105.37 </w:t>
            </w:r>
          </w:p>
        </w:tc>
        <w:tc>
          <w:tcPr>
            <w:tcW w:w="634"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113.32 </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36.72 </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65.70 </w:t>
            </w:r>
          </w:p>
        </w:tc>
        <w:tc>
          <w:tcPr>
            <w:tcW w:w="634"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137.08 </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27.54 </w:t>
            </w:r>
          </w:p>
        </w:tc>
      </w:tr>
      <w:tr w:rsidR="00625083" w:rsidRPr="000A3EB8" w:rsidTr="00625083">
        <w:tc>
          <w:tcPr>
            <w:tcW w:w="853" w:type="pct"/>
            <w:tcBorders>
              <w:top w:val="nil"/>
              <w:bottom w:val="nil"/>
            </w:tcBorders>
            <w:vAlign w:val="center"/>
          </w:tcPr>
          <w:p w:rsidR="00625083" w:rsidRPr="000A3EB8" w:rsidRDefault="00625083" w:rsidP="00625083">
            <w:pPr>
              <w:jc w:val="center"/>
              <w:rPr>
                <w:rFonts w:ascii="宋体" w:eastAsia="宋体" w:hAnsi="宋体"/>
                <w:sz w:val="16"/>
                <w:szCs w:val="16"/>
              </w:rPr>
            </w:pPr>
            <w:r w:rsidRPr="000A3EB8">
              <w:rPr>
                <w:rFonts w:ascii="宋体" w:eastAsia="宋体" w:hAnsi="宋体" w:hint="eastAsia"/>
                <w:color w:val="000000"/>
                <w:sz w:val="16"/>
                <w:szCs w:val="16"/>
              </w:rPr>
              <w:t>2009-2012</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56.11 </w:t>
            </w:r>
          </w:p>
        </w:tc>
        <w:tc>
          <w:tcPr>
            <w:tcW w:w="634"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112.97 </w:t>
            </w:r>
          </w:p>
        </w:tc>
        <w:tc>
          <w:tcPr>
            <w:tcW w:w="634"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135.13 </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47.82 </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73.10 </w:t>
            </w:r>
          </w:p>
        </w:tc>
        <w:tc>
          <w:tcPr>
            <w:tcW w:w="634"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151.47 </w:t>
            </w:r>
          </w:p>
        </w:tc>
        <w:tc>
          <w:tcPr>
            <w:tcW w:w="561" w:type="pct"/>
            <w:tcBorders>
              <w:top w:val="nil"/>
              <w:bottom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30.41 </w:t>
            </w:r>
          </w:p>
        </w:tc>
      </w:tr>
      <w:tr w:rsidR="00625083" w:rsidRPr="000A3EB8" w:rsidTr="00625083">
        <w:tc>
          <w:tcPr>
            <w:tcW w:w="853" w:type="pct"/>
            <w:tcBorders>
              <w:top w:val="nil"/>
            </w:tcBorders>
            <w:vAlign w:val="center"/>
          </w:tcPr>
          <w:p w:rsidR="00625083" w:rsidRPr="000A3EB8" w:rsidRDefault="00625083" w:rsidP="00625083">
            <w:pPr>
              <w:jc w:val="center"/>
              <w:rPr>
                <w:rFonts w:ascii="宋体" w:eastAsia="宋体" w:hAnsi="宋体"/>
                <w:sz w:val="16"/>
                <w:szCs w:val="16"/>
              </w:rPr>
            </w:pPr>
            <w:r w:rsidRPr="000A3EB8">
              <w:rPr>
                <w:rFonts w:ascii="宋体" w:eastAsia="宋体" w:hAnsi="宋体" w:hint="eastAsia"/>
                <w:color w:val="000000"/>
                <w:sz w:val="16"/>
                <w:szCs w:val="16"/>
              </w:rPr>
              <w:t>2013-2017</w:t>
            </w:r>
          </w:p>
        </w:tc>
        <w:tc>
          <w:tcPr>
            <w:tcW w:w="561"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68.16 </w:t>
            </w:r>
          </w:p>
        </w:tc>
        <w:tc>
          <w:tcPr>
            <w:tcW w:w="634"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125.20 </w:t>
            </w:r>
          </w:p>
        </w:tc>
        <w:tc>
          <w:tcPr>
            <w:tcW w:w="634"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167.90 </w:t>
            </w:r>
          </w:p>
        </w:tc>
        <w:tc>
          <w:tcPr>
            <w:tcW w:w="561"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55.80 </w:t>
            </w:r>
          </w:p>
        </w:tc>
        <w:tc>
          <w:tcPr>
            <w:tcW w:w="561"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85.37 </w:t>
            </w:r>
          </w:p>
        </w:tc>
        <w:tc>
          <w:tcPr>
            <w:tcW w:w="634"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168.04 </w:t>
            </w:r>
          </w:p>
        </w:tc>
        <w:tc>
          <w:tcPr>
            <w:tcW w:w="561" w:type="pct"/>
            <w:tcBorders>
              <w:top w:val="nil"/>
            </w:tcBorders>
            <w:vAlign w:val="bottom"/>
          </w:tcPr>
          <w:p w:rsidR="00625083" w:rsidRPr="00625083" w:rsidRDefault="00625083" w:rsidP="00625083">
            <w:pPr>
              <w:jc w:val="center"/>
              <w:rPr>
                <w:rFonts w:ascii="宋体" w:eastAsia="宋体" w:hAnsi="宋体"/>
                <w:color w:val="000000"/>
                <w:sz w:val="16"/>
                <w:szCs w:val="16"/>
              </w:rPr>
            </w:pPr>
            <w:r w:rsidRPr="00625083">
              <w:rPr>
                <w:rFonts w:ascii="宋体" w:eastAsia="宋体" w:hAnsi="宋体" w:hint="eastAsia"/>
                <w:color w:val="000000"/>
                <w:sz w:val="16"/>
                <w:szCs w:val="16"/>
              </w:rPr>
              <w:t xml:space="preserve">35.50 </w:t>
            </w:r>
          </w:p>
        </w:tc>
      </w:tr>
    </w:tbl>
    <w:p w:rsidR="006A4ADF" w:rsidRPr="006A4ADF" w:rsidRDefault="006A4ADF" w:rsidP="006A4ADF">
      <w:r>
        <w:t xml:space="preserve">    </w:t>
      </w:r>
      <w:r>
        <w:rPr>
          <w:rFonts w:hint="eastAsia"/>
        </w:rPr>
        <w:t>不同地区森林固碳量的增长率以及固碳量大小的比较</w:t>
      </w:r>
      <w:r w:rsidR="009C2DA0">
        <w:rPr>
          <w:rFonts w:hint="eastAsia"/>
        </w:rPr>
        <w:t>，如图1</w:t>
      </w:r>
      <w:r w:rsidR="009C2DA0">
        <w:t>:</w:t>
      </w:r>
    </w:p>
    <w:p w:rsidR="00625083" w:rsidRDefault="00625083" w:rsidP="00625083">
      <w:pPr>
        <w:pStyle w:val="a6"/>
        <w:jc w:val="center"/>
        <w:rPr>
          <w:rFonts w:ascii="宋体" w:eastAsia="宋体" w:hAnsi="宋体"/>
        </w:rPr>
      </w:pPr>
      <w:r>
        <w:rPr>
          <w:rFonts w:ascii="宋体" w:eastAsia="宋体" w:hAnsi="宋体"/>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266065</wp:posOffset>
            </wp:positionV>
            <wp:extent cx="3691890" cy="1985010"/>
            <wp:effectExtent l="0" t="0" r="3810" b="1524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图</w:t>
      </w:r>
      <w:r>
        <w:t xml:space="preserve"> </w:t>
      </w:r>
      <w:r w:rsidR="00BD0EBE">
        <w:fldChar w:fldCharType="begin"/>
      </w:r>
      <w:r>
        <w:instrText xml:space="preserve"> SEQ </w:instrText>
      </w:r>
      <w:r>
        <w:instrText>图</w:instrText>
      </w:r>
      <w:r>
        <w:instrText xml:space="preserve"> \* ARABIC </w:instrText>
      </w:r>
      <w:r w:rsidR="00BD0EBE">
        <w:fldChar w:fldCharType="separate"/>
      </w:r>
      <w:r>
        <w:rPr>
          <w:noProof/>
        </w:rPr>
        <w:t>1</w:t>
      </w:r>
      <w:r w:rsidR="00BD0EBE">
        <w:fldChar w:fldCharType="end"/>
      </w:r>
      <w:r>
        <w:rPr>
          <w:rFonts w:hint="eastAsia"/>
        </w:rPr>
        <w:t>地区森林全部固碳量</w:t>
      </w:r>
    </w:p>
    <w:p w:rsidR="005925FD" w:rsidRDefault="005925FD" w:rsidP="00E051FA">
      <w:pPr>
        <w:spacing w:line="400" w:lineRule="exact"/>
        <w:ind w:firstLineChars="200" w:firstLine="420"/>
        <w:rPr>
          <w:rFonts w:ascii="宋体" w:eastAsia="宋体" w:hAnsi="宋体"/>
          <w:szCs w:val="21"/>
        </w:rPr>
      </w:pPr>
      <w:r>
        <w:rPr>
          <w:rFonts w:ascii="宋体" w:eastAsia="宋体" w:hAnsi="宋体" w:hint="eastAsia"/>
          <w:szCs w:val="21"/>
        </w:rPr>
        <w:t>2.2</w:t>
      </w:r>
      <w:r w:rsidR="00C6719E">
        <w:rPr>
          <w:rFonts w:ascii="宋体" w:eastAsia="宋体" w:hAnsi="宋体" w:hint="eastAsia"/>
          <w:szCs w:val="21"/>
        </w:rPr>
        <w:t>结论</w:t>
      </w:r>
      <w:r>
        <w:rPr>
          <w:rFonts w:ascii="宋体" w:eastAsia="宋体" w:hAnsi="宋体" w:hint="eastAsia"/>
          <w:szCs w:val="21"/>
        </w:rPr>
        <w:t>及原因分析</w:t>
      </w:r>
    </w:p>
    <w:p w:rsidR="00AE053F" w:rsidRPr="00E051FA" w:rsidRDefault="00625083" w:rsidP="00E051FA">
      <w:pPr>
        <w:spacing w:line="400" w:lineRule="exact"/>
        <w:ind w:firstLineChars="200" w:firstLine="420"/>
        <w:rPr>
          <w:rFonts w:ascii="宋体" w:eastAsia="宋体" w:hAnsi="宋体"/>
          <w:szCs w:val="21"/>
        </w:rPr>
      </w:pPr>
      <w:r w:rsidRPr="00E051FA">
        <w:rPr>
          <w:rFonts w:ascii="宋体" w:eastAsia="宋体" w:hAnsi="宋体" w:hint="eastAsia"/>
          <w:szCs w:val="21"/>
        </w:rPr>
        <w:t>根据以上数据与图表分析结果为，在1999-2017年间，我国各地区森林的固碳量在不断提高</w:t>
      </w:r>
      <w:r w:rsidR="00E90596" w:rsidRPr="00E051FA">
        <w:rPr>
          <w:rFonts w:ascii="宋体" w:eastAsia="宋体" w:hAnsi="宋体" w:hint="eastAsia"/>
          <w:szCs w:val="21"/>
        </w:rPr>
        <w:t>，各地区碳汇量在不断上升</w:t>
      </w:r>
      <w:r w:rsidR="00BD3577" w:rsidRPr="00E051FA">
        <w:rPr>
          <w:rFonts w:ascii="宋体" w:eastAsia="宋体" w:hAnsi="宋体" w:hint="eastAsia"/>
          <w:szCs w:val="21"/>
        </w:rPr>
        <w:t>，表现尤为明显的是西南、华东、东北地区碳汇量始终居于前列。从斜率上看碳汇量在每一时间段的增长速度发现，华东地区碳汇量增长率最高，其次为西南地区的碳汇量增长率。产生这种现象的原因为：</w:t>
      </w:r>
    </w:p>
    <w:p w:rsidR="00BD3577" w:rsidRPr="00E051FA" w:rsidRDefault="00314D51" w:rsidP="00E051FA">
      <w:pPr>
        <w:spacing w:line="400" w:lineRule="exact"/>
        <w:ind w:firstLineChars="200" w:firstLine="420"/>
        <w:rPr>
          <w:rFonts w:ascii="宋体" w:eastAsia="宋体" w:hAnsi="宋体"/>
          <w:szCs w:val="21"/>
        </w:rPr>
      </w:pPr>
      <w:r w:rsidRPr="00E051FA">
        <w:rPr>
          <w:rFonts w:ascii="宋体" w:eastAsia="宋体" w:hAnsi="宋体" w:hint="eastAsia"/>
          <w:szCs w:val="21"/>
        </w:rPr>
        <w:t>1、国家十分重视林业的发展。过去五年，习近平总书记多次深入林区视察指导，研究林业重大问题，关于林业的批示指示讲话就高达</w:t>
      </w:r>
      <w:r w:rsidRPr="00E051FA">
        <w:rPr>
          <w:rFonts w:ascii="宋体" w:eastAsia="宋体" w:hAnsi="宋体"/>
          <w:szCs w:val="21"/>
        </w:rPr>
        <w:t>170多次</w:t>
      </w:r>
      <w:r w:rsidRPr="00E051FA">
        <w:rPr>
          <w:rFonts w:ascii="宋体" w:eastAsia="宋体" w:hAnsi="宋体" w:hint="eastAsia"/>
          <w:szCs w:val="21"/>
        </w:rPr>
        <w:t>。尤其是国家推进天然林保护政策，全面禁止天然林的商业性采伐的措施</w:t>
      </w:r>
      <w:r w:rsidR="007E6C05" w:rsidRPr="00E051FA">
        <w:rPr>
          <w:rFonts w:ascii="宋体" w:eastAsia="宋体" w:hAnsi="宋体" w:hint="eastAsia"/>
          <w:szCs w:val="21"/>
        </w:rPr>
        <w:t>东北地区本就是中国重要的林场，而西部地区是中</w:t>
      </w:r>
      <w:r w:rsidR="007E6C05" w:rsidRPr="00E051FA">
        <w:rPr>
          <w:rFonts w:ascii="宋体" w:eastAsia="宋体" w:hAnsi="宋体" w:hint="eastAsia"/>
          <w:szCs w:val="21"/>
        </w:rPr>
        <w:lastRenderedPageBreak/>
        <w:t>国造林的主战场</w:t>
      </w:r>
      <w:r w:rsidRPr="00E051FA">
        <w:rPr>
          <w:rFonts w:ascii="宋体" w:eastAsia="宋体" w:hAnsi="宋体" w:hint="eastAsia"/>
          <w:szCs w:val="21"/>
        </w:rPr>
        <w:t>对于拥有丰富的森林资源的</w:t>
      </w:r>
      <w:r w:rsidR="00113A94" w:rsidRPr="00E051FA">
        <w:rPr>
          <w:rFonts w:ascii="宋体" w:eastAsia="宋体" w:hAnsi="宋体" w:hint="eastAsia"/>
          <w:szCs w:val="21"/>
        </w:rPr>
        <w:t>东北黑龙江和</w:t>
      </w:r>
      <w:r w:rsidRPr="00E051FA">
        <w:rPr>
          <w:rFonts w:ascii="宋体" w:eastAsia="宋体" w:hAnsi="宋体" w:hint="eastAsia"/>
          <w:szCs w:val="21"/>
        </w:rPr>
        <w:t>西南</w:t>
      </w:r>
      <w:r w:rsidR="00113A94" w:rsidRPr="00E051FA">
        <w:rPr>
          <w:rFonts w:ascii="宋体" w:eastAsia="宋体" w:hAnsi="宋体" w:hint="eastAsia"/>
          <w:szCs w:val="21"/>
        </w:rPr>
        <w:t>四川重庆等</w:t>
      </w:r>
      <w:r w:rsidRPr="00E051FA">
        <w:rPr>
          <w:rFonts w:ascii="宋体" w:eastAsia="宋体" w:hAnsi="宋体" w:hint="eastAsia"/>
          <w:szCs w:val="21"/>
        </w:rPr>
        <w:t>地区来说能够有效扩大森林面积和森林单位面积蓄积量</w:t>
      </w:r>
      <w:r w:rsidR="00113A94" w:rsidRPr="00E051FA">
        <w:rPr>
          <w:rFonts w:ascii="宋体" w:eastAsia="宋体" w:hAnsi="宋体" w:hint="eastAsia"/>
          <w:szCs w:val="21"/>
        </w:rPr>
        <w:t>。加之国家相继推行的退耕还林还草，并监督陕西、宁夏等地的实施使之林地面积扩大，显著增加了碳汇量。</w:t>
      </w:r>
    </w:p>
    <w:p w:rsidR="00BD3577" w:rsidRPr="00E051FA" w:rsidRDefault="00113A94" w:rsidP="00E051FA">
      <w:pPr>
        <w:spacing w:line="400" w:lineRule="exact"/>
        <w:ind w:firstLineChars="200" w:firstLine="420"/>
        <w:rPr>
          <w:rFonts w:ascii="宋体" w:eastAsia="宋体" w:hAnsi="宋体"/>
          <w:szCs w:val="21"/>
        </w:rPr>
      </w:pPr>
      <w:r w:rsidRPr="00E051FA">
        <w:rPr>
          <w:rFonts w:ascii="宋体" w:eastAsia="宋体" w:hAnsi="宋体" w:hint="eastAsia"/>
          <w:szCs w:val="21"/>
        </w:rPr>
        <w:t>2、</w:t>
      </w:r>
      <w:r w:rsidR="004C5774" w:rsidRPr="00E051FA">
        <w:rPr>
          <w:rFonts w:ascii="宋体" w:eastAsia="宋体" w:hAnsi="宋体" w:hint="eastAsia"/>
          <w:szCs w:val="21"/>
        </w:rPr>
        <w:t>“京津冀风沙源治理工程”“三北防护林体系工程”林业改革发展的氛围越来越好</w:t>
      </w:r>
      <w:r w:rsidR="007E6C05" w:rsidRPr="00E051FA">
        <w:rPr>
          <w:rFonts w:ascii="宋体" w:eastAsia="宋体" w:hAnsi="宋体" w:hint="eastAsia"/>
          <w:szCs w:val="21"/>
        </w:rPr>
        <w:t>，“一带一路”“长江经济带”和“京津冀区域”林业发展力度在在国家的大力支持下在不断走强，</w:t>
      </w:r>
      <w:r w:rsidR="00533F3B">
        <w:rPr>
          <w:rFonts w:ascii="宋体" w:eastAsia="宋体" w:hAnsi="宋体" w:hint="eastAsia"/>
          <w:szCs w:val="21"/>
        </w:rPr>
        <w:t>尤其是“退耕还林”政策</w:t>
      </w:r>
      <w:r w:rsidR="00533F3B" w:rsidRPr="00E051FA">
        <w:rPr>
          <w:rFonts w:ascii="宋体" w:eastAsia="宋体" w:hAnsi="宋体" w:hint="eastAsia"/>
          <w:szCs w:val="21"/>
        </w:rPr>
        <w:t>，极大的刺激了森林面积的增长</w:t>
      </w:r>
      <w:r w:rsidR="00533F3B">
        <w:rPr>
          <w:rFonts w:ascii="宋体" w:eastAsia="宋体" w:hAnsi="宋体" w:hint="eastAsia"/>
          <w:szCs w:val="21"/>
        </w:rPr>
        <w:t>，</w:t>
      </w:r>
      <w:r w:rsidR="007E6C05" w:rsidRPr="00E051FA">
        <w:rPr>
          <w:rFonts w:ascii="宋体" w:eastAsia="宋体" w:hAnsi="宋体" w:hint="eastAsia"/>
          <w:szCs w:val="21"/>
        </w:rPr>
        <w:t>加快了长江流域林业生态的保护和修复。</w:t>
      </w:r>
      <w:r w:rsidR="00E75883" w:rsidRPr="00E051FA">
        <w:rPr>
          <w:rFonts w:ascii="宋体" w:eastAsia="宋体" w:hAnsi="宋体" w:hint="eastAsia"/>
          <w:szCs w:val="21"/>
        </w:rPr>
        <w:t>2002-2011年的速丰林基地工程建设形成了</w:t>
      </w:r>
      <w:r w:rsidR="00A77DAE" w:rsidRPr="00E051FA">
        <w:rPr>
          <w:rFonts w:ascii="宋体" w:eastAsia="宋体" w:hAnsi="宋体" w:hint="eastAsia"/>
          <w:szCs w:val="21"/>
        </w:rPr>
        <w:t>以长江中下游地区与黄河中下游地区为代表的中东部工业原料用材林产业带，极大的刺激了森林面积的增长，因此在这段期间华东地区碳汇量增长循序。</w:t>
      </w:r>
    </w:p>
    <w:p w:rsidR="00882192" w:rsidRPr="00093D66" w:rsidRDefault="00B97113" w:rsidP="00093D66">
      <w:pPr>
        <w:spacing w:line="400" w:lineRule="exact"/>
        <w:rPr>
          <w:rFonts w:ascii="宋体" w:eastAsia="宋体" w:hAnsi="宋体"/>
          <w:b/>
          <w:bCs/>
          <w:sz w:val="28"/>
          <w:szCs w:val="28"/>
        </w:rPr>
      </w:pPr>
      <w:r>
        <w:rPr>
          <w:rFonts w:ascii="宋体" w:eastAsia="宋体" w:hAnsi="宋体" w:hint="eastAsia"/>
          <w:b/>
          <w:bCs/>
          <w:sz w:val="28"/>
          <w:szCs w:val="28"/>
        </w:rPr>
        <w:t>四</w:t>
      </w:r>
      <w:r w:rsidR="00BD3577" w:rsidRPr="00093D66">
        <w:rPr>
          <w:rFonts w:ascii="宋体" w:eastAsia="宋体" w:hAnsi="宋体" w:hint="eastAsia"/>
          <w:b/>
          <w:bCs/>
          <w:sz w:val="28"/>
          <w:szCs w:val="28"/>
        </w:rPr>
        <w:t>、</w:t>
      </w:r>
      <w:r w:rsidR="007C738C">
        <w:rPr>
          <w:rFonts w:ascii="宋体" w:eastAsia="宋体" w:hAnsi="宋体" w:hint="eastAsia"/>
          <w:b/>
          <w:bCs/>
          <w:sz w:val="28"/>
          <w:szCs w:val="28"/>
        </w:rPr>
        <w:t>建议</w:t>
      </w:r>
    </w:p>
    <w:p w:rsidR="00CE3CE5" w:rsidRDefault="00CE3CE5" w:rsidP="00E051FA">
      <w:pPr>
        <w:spacing w:line="400" w:lineRule="exact"/>
        <w:ind w:firstLineChars="200" w:firstLine="420"/>
        <w:rPr>
          <w:rFonts w:ascii="宋体" w:eastAsia="宋体" w:hAnsi="宋体"/>
          <w:szCs w:val="21"/>
        </w:rPr>
      </w:pPr>
      <w:r w:rsidRPr="00E051FA">
        <w:rPr>
          <w:rFonts w:ascii="宋体" w:eastAsia="宋体" w:hAnsi="宋体" w:hint="eastAsia"/>
          <w:szCs w:val="21"/>
        </w:rPr>
        <w:t>1、</w:t>
      </w:r>
      <w:r w:rsidR="007C738C">
        <w:rPr>
          <w:rFonts w:ascii="宋体" w:eastAsia="宋体" w:hAnsi="宋体" w:hint="eastAsia"/>
          <w:szCs w:val="21"/>
        </w:rPr>
        <w:t>对于东北、西南、华东地区</w:t>
      </w:r>
    </w:p>
    <w:p w:rsidR="007C738C" w:rsidRDefault="007C738C" w:rsidP="00E051FA">
      <w:pPr>
        <w:spacing w:line="400" w:lineRule="exact"/>
        <w:ind w:firstLineChars="200" w:firstLine="420"/>
        <w:rPr>
          <w:rFonts w:ascii="宋体" w:eastAsia="宋体" w:hAnsi="宋体"/>
          <w:szCs w:val="21"/>
        </w:rPr>
      </w:pPr>
      <w:r>
        <w:rPr>
          <w:rFonts w:ascii="宋体" w:eastAsia="宋体" w:hAnsi="宋体" w:hint="eastAsia"/>
          <w:szCs w:val="21"/>
        </w:rPr>
        <w:t>东北、西南、华东地区的碳汇供给本身就处于高水平，而且碳汇供给在不断提高，增速较快，</w:t>
      </w:r>
      <w:r w:rsidR="00905B82">
        <w:rPr>
          <w:rFonts w:ascii="宋体" w:eastAsia="宋体" w:hAnsi="宋体" w:hint="eastAsia"/>
          <w:szCs w:val="21"/>
        </w:rPr>
        <w:t>是因为</w:t>
      </w:r>
      <w:r>
        <w:rPr>
          <w:rFonts w:ascii="宋体" w:eastAsia="宋体" w:hAnsi="宋体" w:hint="eastAsia"/>
          <w:szCs w:val="21"/>
        </w:rPr>
        <w:t>这些地区目前拥有大面积的森林资源，</w:t>
      </w:r>
      <w:r w:rsidR="00C70D9B">
        <w:rPr>
          <w:rFonts w:ascii="宋体" w:eastAsia="宋体" w:hAnsi="宋体" w:hint="eastAsia"/>
          <w:szCs w:val="21"/>
        </w:rPr>
        <w:t>而且</w:t>
      </w:r>
      <w:r>
        <w:rPr>
          <w:rFonts w:ascii="宋体" w:eastAsia="宋体" w:hAnsi="宋体" w:hint="eastAsia"/>
          <w:szCs w:val="21"/>
        </w:rPr>
        <w:t>多为人工林且多为</w:t>
      </w:r>
      <w:r w:rsidRPr="00E051FA">
        <w:rPr>
          <w:rFonts w:ascii="宋体" w:eastAsia="宋体" w:hAnsi="宋体" w:hint="eastAsia"/>
          <w:szCs w:val="21"/>
        </w:rPr>
        <w:t>幼龄林</w:t>
      </w:r>
      <w:r>
        <w:rPr>
          <w:rFonts w:ascii="宋体" w:eastAsia="宋体" w:hAnsi="宋体" w:hint="eastAsia"/>
          <w:szCs w:val="21"/>
        </w:rPr>
        <w:t>。</w:t>
      </w:r>
    </w:p>
    <w:p w:rsidR="007C738C" w:rsidRDefault="007C738C" w:rsidP="00074D3C">
      <w:pPr>
        <w:spacing w:line="400" w:lineRule="exact"/>
        <w:ind w:firstLineChars="200" w:firstLine="420"/>
        <w:rPr>
          <w:rFonts w:ascii="宋体" w:eastAsia="宋体" w:hAnsi="宋体"/>
          <w:szCs w:val="21"/>
        </w:rPr>
      </w:pPr>
      <w:r>
        <w:rPr>
          <w:rFonts w:ascii="宋体" w:eastAsia="宋体" w:hAnsi="宋体" w:hint="eastAsia"/>
          <w:szCs w:val="21"/>
        </w:rPr>
        <w:t>首先要做到的是保护</w:t>
      </w:r>
      <w:r w:rsidR="00C70D9B">
        <w:rPr>
          <w:rFonts w:ascii="宋体" w:eastAsia="宋体" w:hAnsi="宋体" w:hint="eastAsia"/>
          <w:szCs w:val="21"/>
        </w:rPr>
        <w:t>森林</w:t>
      </w:r>
      <w:r>
        <w:rPr>
          <w:rFonts w:ascii="宋体" w:eastAsia="宋体" w:hAnsi="宋体" w:hint="eastAsia"/>
          <w:szCs w:val="21"/>
        </w:rPr>
        <w:t>资源，然后</w:t>
      </w:r>
      <w:r w:rsidR="000F235F">
        <w:rPr>
          <w:rFonts w:ascii="宋体" w:eastAsia="宋体" w:hAnsi="宋体" w:hint="eastAsia"/>
          <w:szCs w:val="21"/>
        </w:rPr>
        <w:t>配合</w:t>
      </w:r>
      <w:r>
        <w:rPr>
          <w:rFonts w:ascii="宋体" w:eastAsia="宋体" w:hAnsi="宋体" w:hint="eastAsia"/>
          <w:szCs w:val="21"/>
        </w:rPr>
        <w:t>环境与政策优势争取进一步增加森林蓄积量、森林覆盖率和提高森林质量，需要有关政策的制定及相应的推进措施。要将高效利用森林碳汇的生态效益，</w:t>
      </w:r>
      <w:r w:rsidRPr="00E051FA">
        <w:rPr>
          <w:rFonts w:ascii="宋体" w:eastAsia="宋体" w:hAnsi="宋体" w:hint="eastAsia"/>
          <w:szCs w:val="21"/>
        </w:rPr>
        <w:t>森林资源成本低、效率高，森林碳汇具有明显的生态效益，固碳功能持久稳定、更加有效</w:t>
      </w:r>
      <w:r>
        <w:rPr>
          <w:rFonts w:ascii="宋体" w:eastAsia="宋体" w:hAnsi="宋体" w:hint="eastAsia"/>
          <w:szCs w:val="21"/>
        </w:rPr>
        <w:t>，因此</w:t>
      </w:r>
      <w:r w:rsidRPr="00E051FA">
        <w:rPr>
          <w:rFonts w:ascii="宋体" w:eastAsia="宋体" w:hAnsi="宋体" w:hint="eastAsia"/>
          <w:szCs w:val="21"/>
        </w:rPr>
        <w:t>高效利用森林生态系统的碳汇功能，有利于在实现经济的稳步发展下，实现生态环境的改善。</w:t>
      </w:r>
    </w:p>
    <w:p w:rsidR="007C738C" w:rsidRPr="00E051FA" w:rsidRDefault="00074D3C" w:rsidP="007C738C">
      <w:pPr>
        <w:spacing w:line="400" w:lineRule="exact"/>
        <w:ind w:firstLineChars="200" w:firstLine="420"/>
        <w:rPr>
          <w:rFonts w:ascii="宋体" w:eastAsia="宋体" w:hAnsi="宋体"/>
          <w:szCs w:val="21"/>
        </w:rPr>
      </w:pPr>
      <w:r>
        <w:rPr>
          <w:rFonts w:ascii="宋体" w:eastAsia="宋体" w:hAnsi="宋体" w:hint="eastAsia"/>
          <w:szCs w:val="21"/>
        </w:rPr>
        <w:t>其次</w:t>
      </w:r>
      <w:r w:rsidR="007C738C">
        <w:rPr>
          <w:rFonts w:ascii="宋体" w:eastAsia="宋体" w:hAnsi="宋体" w:hint="eastAsia"/>
          <w:szCs w:val="21"/>
        </w:rPr>
        <w:t>利用碳汇供给潜力，</w:t>
      </w:r>
      <w:r w:rsidR="007C738C" w:rsidRPr="00E051FA">
        <w:rPr>
          <w:rFonts w:ascii="宋体" w:eastAsia="宋体" w:hAnsi="宋体" w:hint="eastAsia"/>
          <w:szCs w:val="21"/>
        </w:rPr>
        <w:t>实现碳汇的经济效益</w:t>
      </w:r>
      <w:r w:rsidR="007C738C">
        <w:rPr>
          <w:rFonts w:ascii="宋体" w:eastAsia="宋体" w:hAnsi="宋体" w:hint="eastAsia"/>
          <w:szCs w:val="21"/>
        </w:rPr>
        <w:t>。</w:t>
      </w:r>
      <w:r w:rsidR="007C738C" w:rsidRPr="00E051FA">
        <w:rPr>
          <w:rFonts w:ascii="宋体" w:eastAsia="宋体" w:hAnsi="宋体" w:hint="eastAsia"/>
          <w:szCs w:val="21"/>
        </w:rPr>
        <w:t>我们应当应根据现有林业碳汇项目特征以及发展趋势，结合我国碳市场发展与森林经营特点，合理制定相应的林业碳汇发展策略，并重点做好相关基础与技术工作，以促进我国林业碳汇市场与项目健康发展</w:t>
      </w:r>
      <w:r w:rsidR="0069000F">
        <w:rPr>
          <w:rFonts w:ascii="宋体" w:eastAsia="宋体" w:hAnsi="宋体" w:hint="eastAsia"/>
          <w:szCs w:val="21"/>
        </w:rPr>
        <w:t>（</w:t>
      </w:r>
      <w:r w:rsidR="0069000F" w:rsidRPr="0069000F">
        <w:rPr>
          <w:rFonts w:ascii="宋体" w:eastAsia="宋体" w:hAnsi="宋体" w:hint="eastAsia"/>
          <w:szCs w:val="21"/>
        </w:rPr>
        <w:t>沈琪</w:t>
      </w:r>
      <w:r w:rsidR="0069000F">
        <w:rPr>
          <w:rFonts w:ascii="宋体" w:eastAsia="宋体" w:hAnsi="宋体" w:hint="eastAsia"/>
          <w:szCs w:val="21"/>
        </w:rPr>
        <w:t>2016）</w:t>
      </w:r>
      <w:r w:rsidR="007C738C" w:rsidRPr="00E051FA">
        <w:rPr>
          <w:rFonts w:ascii="宋体" w:eastAsia="宋体" w:hAnsi="宋体" w:hint="eastAsia"/>
          <w:szCs w:val="21"/>
        </w:rPr>
        <w:t>。</w:t>
      </w:r>
      <w:r w:rsidR="007C738C" w:rsidRPr="00E051FA">
        <w:rPr>
          <w:rFonts w:ascii="宋体" w:eastAsia="宋体" w:hAnsi="宋体"/>
          <w:szCs w:val="21"/>
        </w:rPr>
        <w:t>在建立多层级、多元化林业碳汇市场的基础上，要加强不同碳市场的衔接与协同，以增</w:t>
      </w:r>
      <w:r w:rsidR="007C738C" w:rsidRPr="00E051FA">
        <w:rPr>
          <w:rFonts w:ascii="宋体" w:eastAsia="宋体" w:hAnsi="宋体" w:hint="eastAsia"/>
          <w:szCs w:val="21"/>
        </w:rPr>
        <w:t>强林业碳汇在不同市场之间的流动性，更大程度激活林业碳汇市场。同时，还要积极参与国际林业碳汇开发与合作，学习借鉴国外林业碳汇市场发展的相关经验，并充分利用国内国外两个市场资源，为我国林业碳汇发展提供支持。</w:t>
      </w:r>
    </w:p>
    <w:p w:rsidR="00C03441" w:rsidRDefault="00C03441" w:rsidP="00074D3C">
      <w:pPr>
        <w:spacing w:line="400" w:lineRule="exact"/>
        <w:ind w:firstLineChars="200" w:firstLine="420"/>
        <w:rPr>
          <w:rFonts w:ascii="宋体" w:eastAsia="宋体" w:hAnsi="宋体"/>
          <w:szCs w:val="21"/>
        </w:rPr>
      </w:pPr>
      <w:r>
        <w:rPr>
          <w:rFonts w:ascii="宋体" w:eastAsia="宋体" w:hAnsi="宋体" w:hint="eastAsia"/>
          <w:szCs w:val="21"/>
        </w:rPr>
        <w:t>2、对于</w:t>
      </w:r>
      <w:r w:rsidRPr="00E051FA">
        <w:rPr>
          <w:rFonts w:ascii="宋体" w:eastAsia="宋体" w:hAnsi="宋体" w:hint="eastAsia"/>
          <w:szCs w:val="21"/>
        </w:rPr>
        <w:t>华北</w:t>
      </w:r>
      <w:r>
        <w:rPr>
          <w:rFonts w:ascii="宋体" w:eastAsia="宋体" w:hAnsi="宋体" w:hint="eastAsia"/>
          <w:szCs w:val="21"/>
        </w:rPr>
        <w:t>、</w:t>
      </w:r>
      <w:r w:rsidRPr="00E051FA">
        <w:rPr>
          <w:rFonts w:ascii="宋体" w:eastAsia="宋体" w:hAnsi="宋体" w:hint="eastAsia"/>
          <w:szCs w:val="21"/>
        </w:rPr>
        <w:t>华中</w:t>
      </w:r>
      <w:r>
        <w:rPr>
          <w:rFonts w:ascii="宋体" w:eastAsia="宋体" w:hAnsi="宋体" w:hint="eastAsia"/>
          <w:szCs w:val="21"/>
        </w:rPr>
        <w:t>、</w:t>
      </w:r>
      <w:r w:rsidRPr="00E051FA">
        <w:rPr>
          <w:rFonts w:ascii="宋体" w:eastAsia="宋体" w:hAnsi="宋体" w:hint="eastAsia"/>
          <w:szCs w:val="21"/>
        </w:rPr>
        <w:t>华南</w:t>
      </w:r>
      <w:r>
        <w:rPr>
          <w:rFonts w:ascii="宋体" w:eastAsia="宋体" w:hAnsi="宋体" w:hint="eastAsia"/>
          <w:szCs w:val="21"/>
        </w:rPr>
        <w:t>、</w:t>
      </w:r>
      <w:r w:rsidRPr="00E051FA">
        <w:rPr>
          <w:rFonts w:ascii="宋体" w:eastAsia="宋体" w:hAnsi="宋体" w:hint="eastAsia"/>
          <w:szCs w:val="21"/>
        </w:rPr>
        <w:t>西北</w:t>
      </w:r>
      <w:r>
        <w:rPr>
          <w:rFonts w:ascii="宋体" w:eastAsia="宋体" w:hAnsi="宋体" w:hint="eastAsia"/>
          <w:szCs w:val="21"/>
        </w:rPr>
        <w:t>地区</w:t>
      </w:r>
    </w:p>
    <w:p w:rsidR="00C03441" w:rsidRDefault="00C03441" w:rsidP="00074D3C">
      <w:pPr>
        <w:spacing w:line="400" w:lineRule="exact"/>
        <w:ind w:firstLineChars="200" w:firstLine="420"/>
        <w:rPr>
          <w:rFonts w:ascii="宋体" w:eastAsia="宋体" w:hAnsi="宋体"/>
          <w:szCs w:val="21"/>
        </w:rPr>
      </w:pPr>
      <w:r>
        <w:rPr>
          <w:rFonts w:ascii="宋体" w:eastAsia="宋体" w:hAnsi="宋体" w:hint="eastAsia"/>
          <w:szCs w:val="21"/>
        </w:rPr>
        <w:t>这些地区目前碳汇供给水平不高，</w:t>
      </w:r>
      <w:r w:rsidR="00074D3C">
        <w:rPr>
          <w:rFonts w:ascii="宋体" w:eastAsia="宋体" w:hAnsi="宋体" w:hint="eastAsia"/>
          <w:szCs w:val="21"/>
        </w:rPr>
        <w:t>碳汇发展能力弱，所以目前要首先提高碳汇供给能力。</w:t>
      </w:r>
    </w:p>
    <w:p w:rsidR="0044552D" w:rsidRDefault="0086242B" w:rsidP="004D01C5">
      <w:pPr>
        <w:spacing w:line="400" w:lineRule="exact"/>
        <w:ind w:firstLineChars="200" w:firstLine="420"/>
        <w:rPr>
          <w:rFonts w:ascii="宋体" w:eastAsia="宋体" w:hAnsi="宋体"/>
          <w:szCs w:val="21"/>
        </w:rPr>
      </w:pPr>
      <w:r>
        <w:rPr>
          <w:rFonts w:ascii="宋体" w:eastAsia="宋体" w:hAnsi="宋体" w:hint="eastAsia"/>
          <w:szCs w:val="21"/>
        </w:rPr>
        <w:t>西北地区目前来说是国家大力扶持发展的地区，西北地区防护</w:t>
      </w:r>
      <w:r w:rsidR="00E56EC2">
        <w:rPr>
          <w:rFonts w:ascii="宋体" w:eastAsia="宋体" w:hAnsi="宋体" w:hint="eastAsia"/>
          <w:szCs w:val="21"/>
        </w:rPr>
        <w:t>林，一带一路等战略</w:t>
      </w:r>
      <w:r w:rsidR="00095CC8">
        <w:rPr>
          <w:rFonts w:ascii="宋体" w:eastAsia="宋体" w:hAnsi="宋体" w:hint="eastAsia"/>
          <w:szCs w:val="21"/>
        </w:rPr>
        <w:t>正在逐步改善西北地区生态环境以及经济发展环境。虽然西北地区</w:t>
      </w:r>
      <w:r w:rsidR="00FE55BB">
        <w:rPr>
          <w:rFonts w:ascii="宋体" w:eastAsia="宋体" w:hAnsi="宋体" w:hint="eastAsia"/>
          <w:szCs w:val="21"/>
        </w:rPr>
        <w:t>林业发展基础起步较晚，生态环境改善较难，但是西部地区拥有较大的林业发展潜力，</w:t>
      </w:r>
      <w:r w:rsidR="00872551">
        <w:rPr>
          <w:rFonts w:ascii="宋体" w:eastAsia="宋体" w:hAnsi="宋体" w:hint="eastAsia"/>
          <w:szCs w:val="21"/>
        </w:rPr>
        <w:t>可能成为碳汇经济的新的增长点。因此，</w:t>
      </w:r>
      <w:r w:rsidR="00074D3C">
        <w:rPr>
          <w:rFonts w:ascii="宋体" w:eastAsia="宋体" w:hAnsi="宋体" w:hint="eastAsia"/>
          <w:szCs w:val="21"/>
        </w:rPr>
        <w:t>对于西北地区应当</w:t>
      </w:r>
      <w:r w:rsidR="00074D3C" w:rsidRPr="00074D3C">
        <w:rPr>
          <w:rFonts w:ascii="宋体" w:eastAsia="宋体" w:hAnsi="宋体" w:hint="eastAsia"/>
          <w:szCs w:val="21"/>
        </w:rPr>
        <w:t>加大技术投入，改善森林质量，增加林业基础设施建设投资，改善林业基层管理机构条件</w:t>
      </w:r>
      <w:r w:rsidR="00074D3C">
        <w:rPr>
          <w:rFonts w:ascii="宋体" w:eastAsia="宋体" w:hAnsi="宋体" w:hint="eastAsia"/>
          <w:szCs w:val="21"/>
        </w:rPr>
        <w:t>。相应</w:t>
      </w:r>
      <w:r w:rsidR="00074D3C" w:rsidRPr="00074D3C">
        <w:rPr>
          <w:rFonts w:ascii="宋体" w:eastAsia="宋体" w:hAnsi="宋体"/>
          <w:szCs w:val="21"/>
        </w:rPr>
        <w:t>在国家西部大开发的号召下，积极响应，</w:t>
      </w:r>
      <w:r w:rsidR="00074D3C" w:rsidRPr="00074D3C">
        <w:rPr>
          <w:rFonts w:ascii="宋体" w:eastAsia="宋体" w:hAnsi="宋体" w:hint="eastAsia"/>
          <w:szCs w:val="21"/>
        </w:rPr>
        <w:t>大力开展碳汇造林，降低荒漠化面积，提高森林覆盖率</w:t>
      </w:r>
      <w:r w:rsidR="00074D3C" w:rsidRPr="00074D3C">
        <w:rPr>
          <w:rFonts w:ascii="宋体" w:eastAsia="宋体" w:hAnsi="宋体"/>
          <w:szCs w:val="21"/>
        </w:rPr>
        <w:t>;降低病虫害率，提高森</w:t>
      </w:r>
      <w:r w:rsidR="00074D3C" w:rsidRPr="00074D3C">
        <w:rPr>
          <w:rFonts w:ascii="宋体" w:eastAsia="宋体" w:hAnsi="宋体" w:hint="eastAsia"/>
          <w:szCs w:val="21"/>
        </w:rPr>
        <w:t>林质量。</w:t>
      </w:r>
    </w:p>
    <w:p w:rsidR="00733FBF" w:rsidRDefault="00074D3C" w:rsidP="004D01C5">
      <w:pPr>
        <w:spacing w:line="400" w:lineRule="exact"/>
        <w:ind w:firstLineChars="200" w:firstLine="420"/>
        <w:rPr>
          <w:rFonts w:ascii="宋体" w:eastAsia="宋体" w:hAnsi="宋体"/>
          <w:szCs w:val="21"/>
        </w:rPr>
      </w:pPr>
      <w:r>
        <w:rPr>
          <w:rFonts w:ascii="宋体" w:eastAsia="宋体" w:hAnsi="宋体" w:hint="eastAsia"/>
          <w:szCs w:val="21"/>
        </w:rPr>
        <w:t>对于华北、华中，该地区经济较为发达，应当加大森林</w:t>
      </w:r>
      <w:r w:rsidRPr="00074D3C">
        <w:rPr>
          <w:rFonts w:ascii="宋体" w:eastAsia="宋体" w:hAnsi="宋体" w:hint="eastAsia"/>
          <w:szCs w:val="21"/>
        </w:rPr>
        <w:t>投资，改善森林质量</w:t>
      </w:r>
      <w:r w:rsidRPr="00074D3C">
        <w:rPr>
          <w:rFonts w:ascii="宋体" w:eastAsia="宋体" w:hAnsi="宋体"/>
          <w:szCs w:val="21"/>
        </w:rPr>
        <w:t>;发展支柱</w:t>
      </w:r>
      <w:r w:rsidRPr="00074D3C">
        <w:rPr>
          <w:rFonts w:ascii="宋体" w:eastAsia="宋体" w:hAnsi="宋体"/>
          <w:szCs w:val="21"/>
        </w:rPr>
        <w:lastRenderedPageBreak/>
        <w:t>产业，开拓新型产业</w:t>
      </w:r>
      <w:r>
        <w:rPr>
          <w:rFonts w:ascii="宋体" w:eastAsia="宋体" w:hAnsi="宋体" w:hint="eastAsia"/>
          <w:szCs w:val="21"/>
        </w:rPr>
        <w:t>，培养林业专业人才。</w:t>
      </w:r>
      <w:r w:rsidR="005F5E6E">
        <w:rPr>
          <w:rFonts w:ascii="宋体" w:eastAsia="宋体" w:hAnsi="宋体" w:hint="eastAsia"/>
          <w:szCs w:val="21"/>
        </w:rPr>
        <w:t>重点引导碳汇走向碳汇经济</w:t>
      </w:r>
      <w:r w:rsidR="00F90661">
        <w:rPr>
          <w:rFonts w:ascii="宋体" w:eastAsia="宋体" w:hAnsi="宋体" w:hint="eastAsia"/>
          <w:szCs w:val="21"/>
        </w:rPr>
        <w:t>新业态，</w:t>
      </w:r>
      <w:r w:rsidR="002C4D78">
        <w:rPr>
          <w:rFonts w:ascii="宋体" w:eastAsia="宋体" w:hAnsi="宋体" w:hint="eastAsia"/>
          <w:szCs w:val="21"/>
        </w:rPr>
        <w:t>利用高效、开放、发达的经济环境</w:t>
      </w:r>
      <w:r w:rsidR="00FF30B6">
        <w:rPr>
          <w:rFonts w:ascii="宋体" w:eastAsia="宋体" w:hAnsi="宋体" w:hint="eastAsia"/>
          <w:szCs w:val="21"/>
        </w:rPr>
        <w:t>，加之政府政策</w:t>
      </w:r>
      <w:r w:rsidR="00985FF1">
        <w:rPr>
          <w:rFonts w:ascii="宋体" w:eastAsia="宋体" w:hAnsi="宋体" w:hint="eastAsia"/>
          <w:szCs w:val="21"/>
        </w:rPr>
        <w:t>应给予相应的配合和支持</w:t>
      </w:r>
      <w:r w:rsidR="00DD35A7">
        <w:rPr>
          <w:rFonts w:ascii="宋体" w:eastAsia="宋体" w:hAnsi="宋体" w:hint="eastAsia"/>
          <w:szCs w:val="21"/>
        </w:rPr>
        <w:t>，比如可以建设</w:t>
      </w:r>
      <w:r w:rsidR="009D66E9">
        <w:rPr>
          <w:rFonts w:ascii="宋体" w:eastAsia="宋体" w:hAnsi="宋体" w:hint="eastAsia"/>
          <w:szCs w:val="21"/>
        </w:rPr>
        <w:t>市场信息平台，扶持发展特色品牌</w:t>
      </w:r>
      <w:r w:rsidR="003E070B">
        <w:rPr>
          <w:rFonts w:ascii="宋体" w:eastAsia="宋体" w:hAnsi="宋体" w:hint="eastAsia"/>
          <w:szCs w:val="21"/>
        </w:rPr>
        <w:t>，发展或者引进林业产业的龙头</w:t>
      </w:r>
      <w:r w:rsidR="002F1C4B">
        <w:rPr>
          <w:rFonts w:ascii="宋体" w:eastAsia="宋体" w:hAnsi="宋体" w:hint="eastAsia"/>
          <w:szCs w:val="21"/>
        </w:rPr>
        <w:t>企业，形成行业向相互促进，相互带动的模式</w:t>
      </w:r>
      <w:r w:rsidR="00595667">
        <w:rPr>
          <w:rFonts w:ascii="宋体" w:eastAsia="宋体" w:hAnsi="宋体" w:hint="eastAsia"/>
          <w:szCs w:val="21"/>
        </w:rPr>
        <w:t>，复制和推广碳汇经济新业态，实现人与自然的和谐共处。</w:t>
      </w:r>
    </w:p>
    <w:p w:rsidR="00074D3C" w:rsidRPr="004D01C5" w:rsidRDefault="00074D3C" w:rsidP="004D01C5">
      <w:pPr>
        <w:spacing w:line="400" w:lineRule="exact"/>
        <w:ind w:firstLineChars="200" w:firstLine="420"/>
        <w:rPr>
          <w:rFonts w:ascii="宋体" w:eastAsia="宋体" w:hAnsi="宋体"/>
          <w:szCs w:val="21"/>
        </w:rPr>
      </w:pPr>
      <w:r>
        <w:rPr>
          <w:rFonts w:ascii="宋体" w:eastAsia="宋体" w:hAnsi="宋体" w:hint="eastAsia"/>
          <w:szCs w:val="21"/>
        </w:rPr>
        <w:t>对于华南地区</w:t>
      </w:r>
      <w:r w:rsidR="006E28EB">
        <w:rPr>
          <w:rFonts w:ascii="宋体" w:eastAsia="宋体" w:hAnsi="宋体" w:hint="eastAsia"/>
          <w:szCs w:val="21"/>
        </w:rPr>
        <w:t>来说</w:t>
      </w:r>
      <w:r w:rsidR="004D01C5" w:rsidRPr="004D01C5">
        <w:rPr>
          <w:rFonts w:ascii="宋体" w:eastAsia="宋体" w:hAnsi="宋体" w:hint="eastAsia"/>
          <w:szCs w:val="21"/>
        </w:rPr>
        <w:t>经济、社会发展状况</w:t>
      </w:r>
      <w:r w:rsidR="002E6B2F">
        <w:rPr>
          <w:rFonts w:ascii="宋体" w:eastAsia="宋体" w:hAnsi="宋体" w:hint="eastAsia"/>
          <w:szCs w:val="21"/>
        </w:rPr>
        <w:t>不平稳</w:t>
      </w:r>
      <w:r w:rsidR="00794CF0">
        <w:rPr>
          <w:rFonts w:ascii="宋体" w:eastAsia="宋体" w:hAnsi="宋体" w:hint="eastAsia"/>
          <w:szCs w:val="21"/>
        </w:rPr>
        <w:t>，城市之间经济发展现状差异较大</w:t>
      </w:r>
      <w:r w:rsidR="004D01C5" w:rsidRPr="004D01C5">
        <w:rPr>
          <w:rFonts w:ascii="宋体" w:eastAsia="宋体" w:hAnsi="宋体" w:hint="eastAsia"/>
          <w:szCs w:val="21"/>
        </w:rPr>
        <w:t>，</w:t>
      </w:r>
      <w:r w:rsidR="000C72AA">
        <w:rPr>
          <w:rFonts w:ascii="宋体" w:eastAsia="宋体" w:hAnsi="宋体" w:hint="eastAsia"/>
          <w:szCs w:val="21"/>
        </w:rPr>
        <w:t>因此</w:t>
      </w:r>
      <w:r w:rsidR="002E6B2F">
        <w:rPr>
          <w:rFonts w:ascii="宋体" w:eastAsia="宋体" w:hAnsi="宋体" w:hint="eastAsia"/>
          <w:szCs w:val="21"/>
        </w:rPr>
        <w:t>根据其目前的</w:t>
      </w:r>
      <w:r w:rsidR="000C72AA">
        <w:rPr>
          <w:rFonts w:ascii="宋体" w:eastAsia="宋体" w:hAnsi="宋体" w:hint="eastAsia"/>
          <w:szCs w:val="21"/>
        </w:rPr>
        <w:t>该</w:t>
      </w:r>
      <w:r w:rsidR="005262E9">
        <w:rPr>
          <w:rFonts w:ascii="宋体" w:eastAsia="宋体" w:hAnsi="宋体" w:hint="eastAsia"/>
          <w:szCs w:val="21"/>
        </w:rPr>
        <w:t>地区</w:t>
      </w:r>
      <w:r w:rsidR="002E6B2F">
        <w:rPr>
          <w:rFonts w:ascii="宋体" w:eastAsia="宋体" w:hAnsi="宋体" w:hint="eastAsia"/>
          <w:szCs w:val="21"/>
        </w:rPr>
        <w:t>现状</w:t>
      </w:r>
      <w:r w:rsidR="005262E9">
        <w:rPr>
          <w:rFonts w:ascii="宋体" w:eastAsia="宋体" w:hAnsi="宋体" w:hint="eastAsia"/>
          <w:szCs w:val="21"/>
        </w:rPr>
        <w:t>，</w:t>
      </w:r>
      <w:r w:rsidR="004D01C5" w:rsidRPr="004D01C5">
        <w:rPr>
          <w:rFonts w:ascii="宋体" w:eastAsia="宋体" w:hAnsi="宋体" w:hint="eastAsia"/>
          <w:szCs w:val="21"/>
        </w:rPr>
        <w:t>需要着重改善</w:t>
      </w:r>
      <w:r w:rsidR="005262E9">
        <w:rPr>
          <w:rFonts w:ascii="宋体" w:eastAsia="宋体" w:hAnsi="宋体" w:hint="eastAsia"/>
          <w:szCs w:val="21"/>
        </w:rPr>
        <w:t>、</w:t>
      </w:r>
      <w:r w:rsidR="004D01C5" w:rsidRPr="004D01C5">
        <w:rPr>
          <w:rFonts w:ascii="宋体" w:eastAsia="宋体" w:hAnsi="宋体" w:hint="eastAsia"/>
          <w:szCs w:val="21"/>
        </w:rPr>
        <w:t>优化林业基层管理机构，提高森林管理效率，</w:t>
      </w:r>
      <w:r w:rsidR="00667E10">
        <w:rPr>
          <w:rFonts w:ascii="宋体" w:eastAsia="宋体" w:hAnsi="宋体" w:hint="eastAsia"/>
          <w:szCs w:val="21"/>
        </w:rPr>
        <w:t>强化林地质量管理</w:t>
      </w:r>
      <w:r w:rsidR="00A75555">
        <w:rPr>
          <w:rFonts w:ascii="宋体" w:eastAsia="宋体" w:hAnsi="宋体" w:hint="eastAsia"/>
          <w:szCs w:val="21"/>
        </w:rPr>
        <w:t>，改善土壤成分</w:t>
      </w:r>
      <w:r w:rsidR="00E77F4E">
        <w:rPr>
          <w:rFonts w:ascii="宋体" w:eastAsia="宋体" w:hAnsi="宋体" w:hint="eastAsia"/>
          <w:szCs w:val="21"/>
        </w:rPr>
        <w:t>，提升林地质量应用，</w:t>
      </w:r>
      <w:r w:rsidR="004D01C5" w:rsidRPr="004D01C5">
        <w:rPr>
          <w:rFonts w:ascii="宋体" w:eastAsia="宋体" w:hAnsi="宋体" w:hint="eastAsia"/>
          <w:szCs w:val="21"/>
        </w:rPr>
        <w:t>改善基层林业机构的硬件设施状况。</w:t>
      </w:r>
      <w:r w:rsidR="006050BD">
        <w:rPr>
          <w:rFonts w:ascii="宋体" w:eastAsia="宋体" w:hAnsi="宋体" w:hint="eastAsia"/>
          <w:szCs w:val="21"/>
        </w:rPr>
        <w:t>由于该地区</w:t>
      </w:r>
      <w:r w:rsidR="005915F1">
        <w:rPr>
          <w:rFonts w:ascii="宋体" w:eastAsia="宋体" w:hAnsi="宋体" w:hint="eastAsia"/>
          <w:szCs w:val="21"/>
        </w:rPr>
        <w:t>碳汇发展的潜力巨大，应该将来自深圳的优秀的社会资本</w:t>
      </w:r>
      <w:r w:rsidR="0095434C">
        <w:rPr>
          <w:rFonts w:ascii="宋体" w:eastAsia="宋体" w:hAnsi="宋体" w:hint="eastAsia"/>
          <w:szCs w:val="21"/>
        </w:rPr>
        <w:t>引入到林业产业发展领域</w:t>
      </w:r>
      <w:r w:rsidR="00EE1AAC">
        <w:rPr>
          <w:rFonts w:ascii="宋体" w:eastAsia="宋体" w:hAnsi="宋体" w:hint="eastAsia"/>
          <w:szCs w:val="21"/>
        </w:rPr>
        <w:t>，改善社会资本的投资结构。更加应当注意人才的培养，</w:t>
      </w:r>
      <w:r w:rsidR="009F288A">
        <w:rPr>
          <w:rFonts w:ascii="宋体" w:eastAsia="宋体" w:hAnsi="宋体" w:hint="eastAsia"/>
          <w:szCs w:val="21"/>
        </w:rPr>
        <w:t>面朝深圳高校</w:t>
      </w:r>
      <w:r w:rsidR="00753186">
        <w:rPr>
          <w:rFonts w:ascii="宋体" w:eastAsia="宋体" w:hAnsi="宋体" w:hint="eastAsia"/>
          <w:szCs w:val="21"/>
        </w:rPr>
        <w:t>，应当培养出</w:t>
      </w:r>
      <w:r w:rsidR="007F5B40">
        <w:rPr>
          <w:rFonts w:ascii="宋体" w:eastAsia="宋体" w:hAnsi="宋体" w:hint="eastAsia"/>
          <w:szCs w:val="21"/>
        </w:rPr>
        <w:t>具有专业技术</w:t>
      </w:r>
      <w:r w:rsidR="00F605DD">
        <w:rPr>
          <w:rFonts w:ascii="宋体" w:eastAsia="宋体" w:hAnsi="宋体" w:hint="eastAsia"/>
          <w:szCs w:val="21"/>
        </w:rPr>
        <w:t>和服务质量的</w:t>
      </w:r>
      <w:r w:rsidR="00522010">
        <w:rPr>
          <w:rFonts w:ascii="宋体" w:eastAsia="宋体" w:hAnsi="宋体" w:hint="eastAsia"/>
          <w:szCs w:val="21"/>
        </w:rPr>
        <w:t>职业团队</w:t>
      </w:r>
      <w:r w:rsidR="00E40460">
        <w:rPr>
          <w:rFonts w:ascii="宋体" w:eastAsia="宋体" w:hAnsi="宋体" w:hint="eastAsia"/>
          <w:szCs w:val="21"/>
        </w:rPr>
        <w:t>，促进该地区的碳汇发展，带领该地区的碳汇</w:t>
      </w:r>
      <w:r w:rsidR="00136ADA">
        <w:rPr>
          <w:rFonts w:ascii="宋体" w:eastAsia="宋体" w:hAnsi="宋体" w:hint="eastAsia"/>
          <w:szCs w:val="21"/>
        </w:rPr>
        <w:t>市场进一步完善和开放。</w:t>
      </w:r>
    </w:p>
    <w:p w:rsidR="00BD3577" w:rsidRPr="00074D3C" w:rsidRDefault="00BD3577" w:rsidP="00780E62">
      <w:pPr>
        <w:rPr>
          <w:rFonts w:ascii="宋体" w:eastAsia="宋体" w:hAnsi="宋体"/>
        </w:rPr>
      </w:pPr>
    </w:p>
    <w:p w:rsidR="00BD3577" w:rsidRDefault="00BD3577" w:rsidP="00780E62">
      <w:pPr>
        <w:rPr>
          <w:rFonts w:ascii="宋体" w:eastAsia="宋体" w:hAnsi="宋体"/>
        </w:rPr>
      </w:pPr>
    </w:p>
    <w:p w:rsidR="00BD3577" w:rsidRDefault="002A32CE" w:rsidP="00780E62">
      <w:pPr>
        <w:rPr>
          <w:rFonts w:ascii="宋体" w:eastAsia="宋体" w:hAnsi="宋体"/>
        </w:rPr>
      </w:pPr>
      <w:r>
        <w:rPr>
          <w:rFonts w:ascii="宋体" w:eastAsia="宋体" w:hAnsi="宋体" w:hint="eastAsia"/>
        </w:rPr>
        <w:t>参考文献：</w:t>
      </w:r>
    </w:p>
    <w:p w:rsidR="00780E62" w:rsidRPr="007E0150" w:rsidRDefault="007E0150" w:rsidP="007E0150">
      <w:pPr>
        <w:spacing w:line="400" w:lineRule="exact"/>
        <w:rPr>
          <w:rFonts w:ascii="宋体" w:eastAsia="宋体" w:hAnsi="宋体"/>
          <w:szCs w:val="21"/>
        </w:rPr>
      </w:pPr>
      <w:r>
        <w:rPr>
          <w:rFonts w:ascii="宋体" w:eastAsia="宋体" w:hAnsi="宋体"/>
          <w:szCs w:val="21"/>
        </w:rPr>
        <w:t>[1]</w:t>
      </w:r>
      <w:r w:rsidR="007F144D" w:rsidRPr="007E0150">
        <w:rPr>
          <w:rFonts w:ascii="宋体" w:eastAsia="宋体" w:hAnsi="宋体"/>
          <w:szCs w:val="21"/>
        </w:rPr>
        <w:t>ALAM M K,BELL R W,BISWAS W K. Increases in soil sequestered carbon under conservation agriculture cropping decrease the estimated greenhouse gas emissions of wetland rice using life cycle assessment[J]. Journal of Cleaner Production, 2019,224(07):72-78.</w:t>
      </w:r>
    </w:p>
    <w:p w:rsidR="00780E62" w:rsidRPr="007E0150" w:rsidRDefault="007E0150" w:rsidP="007E0150">
      <w:pPr>
        <w:spacing w:line="400" w:lineRule="exact"/>
        <w:rPr>
          <w:rFonts w:ascii="宋体" w:eastAsia="宋体" w:hAnsi="宋体"/>
          <w:szCs w:val="21"/>
        </w:rPr>
      </w:pPr>
      <w:r>
        <w:rPr>
          <w:rFonts w:ascii="宋体" w:eastAsia="宋体" w:hAnsi="宋体"/>
          <w:szCs w:val="21"/>
        </w:rPr>
        <w:t>[2]</w:t>
      </w:r>
      <w:r w:rsidR="00780E62" w:rsidRPr="007E0150">
        <w:rPr>
          <w:rFonts w:ascii="宋体" w:eastAsia="宋体" w:hAnsi="宋体" w:hint="eastAsia"/>
          <w:szCs w:val="21"/>
        </w:rPr>
        <w:t>姜霞</w:t>
      </w:r>
      <w:r w:rsidR="00780E62" w:rsidRPr="007E0150">
        <w:rPr>
          <w:rFonts w:ascii="宋体" w:eastAsia="宋体" w:hAnsi="宋体"/>
          <w:szCs w:val="21"/>
        </w:rPr>
        <w:t>,黄祖辉.经济新常态下中国林业碳汇潜力分析[J].中国农村经济,2016(11):57-67.</w:t>
      </w:r>
    </w:p>
    <w:p w:rsidR="003E49BF" w:rsidRPr="007E0150" w:rsidRDefault="007E0150" w:rsidP="007E0150">
      <w:pPr>
        <w:spacing w:line="400" w:lineRule="exact"/>
        <w:rPr>
          <w:rFonts w:ascii="宋体" w:eastAsia="宋体" w:hAnsi="宋体"/>
          <w:szCs w:val="21"/>
        </w:rPr>
      </w:pPr>
      <w:r>
        <w:rPr>
          <w:rFonts w:ascii="宋体" w:eastAsia="宋体" w:hAnsi="宋体"/>
          <w:szCs w:val="21"/>
        </w:rPr>
        <w:t>[3]</w:t>
      </w:r>
      <w:r w:rsidR="003E49BF" w:rsidRPr="007E0150">
        <w:rPr>
          <w:rFonts w:ascii="宋体" w:eastAsia="宋体" w:hAnsi="宋体" w:hint="eastAsia"/>
          <w:szCs w:val="21"/>
        </w:rPr>
        <w:t>陈欣怡</w:t>
      </w:r>
      <w:r w:rsidR="003E49BF" w:rsidRPr="007E0150">
        <w:rPr>
          <w:rFonts w:ascii="宋体" w:eastAsia="宋体" w:hAnsi="宋体"/>
          <w:szCs w:val="21"/>
        </w:rPr>
        <w:t>,郑国全.安吉县竹林经营碳汇项目计量分析[J].林业经济问题,2018,38(04):23-29+102.</w:t>
      </w:r>
    </w:p>
    <w:p w:rsidR="00882192" w:rsidRPr="007E0150" w:rsidRDefault="007E0150" w:rsidP="007E0150">
      <w:pPr>
        <w:spacing w:line="400" w:lineRule="exact"/>
        <w:rPr>
          <w:rFonts w:ascii="宋体" w:eastAsia="宋体" w:hAnsi="宋体"/>
          <w:szCs w:val="21"/>
        </w:rPr>
      </w:pPr>
      <w:r>
        <w:rPr>
          <w:rFonts w:ascii="宋体" w:eastAsia="宋体" w:hAnsi="宋体"/>
          <w:szCs w:val="21"/>
        </w:rPr>
        <w:t>[4]</w:t>
      </w:r>
      <w:r w:rsidR="00882192" w:rsidRPr="007E0150">
        <w:rPr>
          <w:rFonts w:ascii="宋体" w:eastAsia="宋体" w:hAnsi="宋体" w:hint="eastAsia"/>
          <w:szCs w:val="21"/>
        </w:rPr>
        <w:t>马学威</w:t>
      </w:r>
      <w:r w:rsidR="00882192" w:rsidRPr="007E0150">
        <w:rPr>
          <w:rFonts w:ascii="宋体" w:eastAsia="宋体" w:hAnsi="宋体"/>
          <w:szCs w:val="21"/>
        </w:rPr>
        <w:t>,熊康宁,张俞,赖佳丽,张仕豪,季传泽.森林生态系统碳储量研究进展与展望[J].西北林学院学报,2019,34(05):62-72.</w:t>
      </w:r>
    </w:p>
    <w:p w:rsidR="00D66ED1" w:rsidRPr="007E0150" w:rsidRDefault="007E0150" w:rsidP="007E0150">
      <w:pPr>
        <w:spacing w:line="400" w:lineRule="exact"/>
        <w:rPr>
          <w:rFonts w:ascii="宋体" w:eastAsia="宋体" w:hAnsi="宋体"/>
          <w:szCs w:val="21"/>
        </w:rPr>
      </w:pPr>
      <w:r>
        <w:rPr>
          <w:rFonts w:ascii="宋体" w:eastAsia="宋体" w:hAnsi="宋体"/>
          <w:szCs w:val="21"/>
        </w:rPr>
        <w:t>[5]</w:t>
      </w:r>
      <w:r w:rsidR="00D66ED1" w:rsidRPr="007E0150">
        <w:rPr>
          <w:rFonts w:ascii="宋体" w:eastAsia="宋体" w:hAnsi="宋体" w:hint="eastAsia"/>
          <w:szCs w:val="21"/>
        </w:rPr>
        <w:t>郗婷婷</w:t>
      </w:r>
      <w:r w:rsidR="00D66ED1" w:rsidRPr="007E0150">
        <w:rPr>
          <w:rFonts w:ascii="宋体" w:eastAsia="宋体" w:hAnsi="宋体"/>
          <w:szCs w:val="21"/>
        </w:rPr>
        <w:t>,李顺龙.黑龙江省森林碳汇潜力分析[J].林业经济问题,2006(06):519-522+526.</w:t>
      </w:r>
    </w:p>
    <w:p w:rsidR="0069000F" w:rsidRPr="007E0150" w:rsidRDefault="007E0150" w:rsidP="007E0150">
      <w:pPr>
        <w:spacing w:line="400" w:lineRule="exact"/>
        <w:rPr>
          <w:rFonts w:ascii="宋体" w:eastAsia="宋体" w:hAnsi="宋体"/>
          <w:szCs w:val="21"/>
        </w:rPr>
      </w:pPr>
      <w:r>
        <w:rPr>
          <w:rFonts w:ascii="宋体" w:eastAsia="宋体" w:hAnsi="宋体"/>
          <w:szCs w:val="21"/>
        </w:rPr>
        <w:t>[6]</w:t>
      </w:r>
      <w:r w:rsidR="0069000F" w:rsidRPr="007E0150">
        <w:rPr>
          <w:rFonts w:ascii="宋体" w:eastAsia="宋体" w:hAnsi="宋体" w:hint="eastAsia"/>
          <w:szCs w:val="21"/>
        </w:rPr>
        <w:t>沈琪</w:t>
      </w:r>
      <w:r w:rsidR="0069000F" w:rsidRPr="007E0150">
        <w:rPr>
          <w:rFonts w:ascii="宋体" w:eastAsia="宋体" w:hAnsi="宋体"/>
          <w:szCs w:val="21"/>
        </w:rPr>
        <w:t>,刘珍妮,李瑶,曹卉,丁胜.林业碳票市场交易模式研究[J].江苏科技信息,2016(20):11-12.</w:t>
      </w:r>
    </w:p>
    <w:sectPr w:rsidR="0069000F" w:rsidRPr="007E0150" w:rsidSect="00BD0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165" w:rsidRDefault="005F7165" w:rsidP="00314189">
      <w:r>
        <w:separator/>
      </w:r>
    </w:p>
  </w:endnote>
  <w:endnote w:type="continuationSeparator" w:id="0">
    <w:p w:rsidR="005F7165" w:rsidRDefault="005F7165" w:rsidP="0031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微软雅黑"/>
    <w:panose1 w:val="020B0604020202020204"/>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165" w:rsidRDefault="005F7165" w:rsidP="00314189">
      <w:r>
        <w:separator/>
      </w:r>
    </w:p>
  </w:footnote>
  <w:footnote w:type="continuationSeparator" w:id="0">
    <w:p w:rsidR="005F7165" w:rsidRDefault="005F7165" w:rsidP="00314189">
      <w:r>
        <w:continuationSeparator/>
      </w:r>
    </w:p>
  </w:footnote>
  <w:footnote w:id="1">
    <w:p w:rsidR="0009085B" w:rsidRDefault="0009085B">
      <w:pPr>
        <w:pStyle w:val="af2"/>
      </w:pPr>
      <w:r>
        <w:rPr>
          <w:rStyle w:val="af4"/>
        </w:rPr>
        <w:footnoteRef/>
      </w:r>
      <w:r>
        <w:t xml:space="preserve"> </w:t>
      </w:r>
      <w:r w:rsidRPr="008D4AAA">
        <w:rPr>
          <w:rFonts w:eastAsia="宋体" w:hint="eastAsia"/>
          <w:b/>
          <w:bCs/>
          <w:sz w:val="15"/>
        </w:rPr>
        <w:t>作者介绍</w:t>
      </w:r>
      <w:r w:rsidRPr="008D4AAA">
        <w:rPr>
          <w:rFonts w:eastAsia="宋体" w:hint="eastAsia"/>
          <w:sz w:val="15"/>
        </w:rPr>
        <w:t>：王齐（</w:t>
      </w:r>
      <w:r w:rsidRPr="008D4AAA">
        <w:rPr>
          <w:rFonts w:eastAsia="宋体" w:hint="eastAsia"/>
          <w:sz w:val="15"/>
        </w:rPr>
        <w:t>1</w:t>
      </w:r>
      <w:r w:rsidRPr="008D4AAA">
        <w:rPr>
          <w:rFonts w:eastAsia="宋体"/>
          <w:sz w:val="15"/>
        </w:rPr>
        <w:t>999</w:t>
      </w:r>
      <w:r w:rsidRPr="008D4AAA">
        <w:rPr>
          <w:rFonts w:eastAsia="宋体" w:hint="eastAsia"/>
          <w:sz w:val="15"/>
        </w:rPr>
        <w:t>-</w:t>
      </w:r>
      <w:r w:rsidRPr="008D4AAA">
        <w:rPr>
          <w:rFonts w:eastAsia="宋体" w:hint="eastAsia"/>
          <w:sz w:val="15"/>
        </w:rPr>
        <w:t>），女，南京林业大学经济管理学院金融工程专业本科生在读。</w:t>
      </w:r>
    </w:p>
  </w:footnote>
  <w:footnote w:id="2">
    <w:p w:rsidR="00140DCE" w:rsidRPr="004F7CC2" w:rsidRDefault="00140DCE" w:rsidP="00140DCE">
      <w:pPr>
        <w:pStyle w:val="af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96DAB"/>
    <w:multiLevelType w:val="hybridMultilevel"/>
    <w:tmpl w:val="1EFC1D7C"/>
    <w:lvl w:ilvl="0" w:tplc="5AEA5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C04312"/>
    <w:multiLevelType w:val="hybridMultilevel"/>
    <w:tmpl w:val="46DA8AE2"/>
    <w:lvl w:ilvl="0" w:tplc="791A4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F7320C"/>
    <w:multiLevelType w:val="hybridMultilevel"/>
    <w:tmpl w:val="8486864E"/>
    <w:lvl w:ilvl="0" w:tplc="4EC8B6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92"/>
    <w:rsid w:val="00074D3C"/>
    <w:rsid w:val="000879B8"/>
    <w:rsid w:val="0009052F"/>
    <w:rsid w:val="0009085B"/>
    <w:rsid w:val="00093D66"/>
    <w:rsid w:val="00095CC8"/>
    <w:rsid w:val="000A3EB8"/>
    <w:rsid w:val="000A5C95"/>
    <w:rsid w:val="000C026B"/>
    <w:rsid w:val="000C72AA"/>
    <w:rsid w:val="000F235F"/>
    <w:rsid w:val="00113A94"/>
    <w:rsid w:val="0012368D"/>
    <w:rsid w:val="00136ADA"/>
    <w:rsid w:val="00140DCE"/>
    <w:rsid w:val="00162076"/>
    <w:rsid w:val="00176905"/>
    <w:rsid w:val="001A40D3"/>
    <w:rsid w:val="00223616"/>
    <w:rsid w:val="00250905"/>
    <w:rsid w:val="00284C36"/>
    <w:rsid w:val="002A32CE"/>
    <w:rsid w:val="002C4D78"/>
    <w:rsid w:val="002E6B2F"/>
    <w:rsid w:val="002F1C4B"/>
    <w:rsid w:val="00314189"/>
    <w:rsid w:val="00314D51"/>
    <w:rsid w:val="003A6756"/>
    <w:rsid w:val="003C1C37"/>
    <w:rsid w:val="003E070B"/>
    <w:rsid w:val="003E49BF"/>
    <w:rsid w:val="0040678A"/>
    <w:rsid w:val="00412C28"/>
    <w:rsid w:val="0044552D"/>
    <w:rsid w:val="00467094"/>
    <w:rsid w:val="004677EE"/>
    <w:rsid w:val="00467E9C"/>
    <w:rsid w:val="004703A9"/>
    <w:rsid w:val="00476169"/>
    <w:rsid w:val="004949AA"/>
    <w:rsid w:val="004A4C16"/>
    <w:rsid w:val="004C5774"/>
    <w:rsid w:val="004D01C5"/>
    <w:rsid w:val="004E64AF"/>
    <w:rsid w:val="005203B9"/>
    <w:rsid w:val="00522010"/>
    <w:rsid w:val="00522221"/>
    <w:rsid w:val="005262E9"/>
    <w:rsid w:val="00533F3B"/>
    <w:rsid w:val="005915F1"/>
    <w:rsid w:val="005925FD"/>
    <w:rsid w:val="00595667"/>
    <w:rsid w:val="005F5E6E"/>
    <w:rsid w:val="005F7165"/>
    <w:rsid w:val="006050BD"/>
    <w:rsid w:val="00625083"/>
    <w:rsid w:val="006447BA"/>
    <w:rsid w:val="00667E10"/>
    <w:rsid w:val="00683714"/>
    <w:rsid w:val="0069000F"/>
    <w:rsid w:val="006A4ADF"/>
    <w:rsid w:val="006D4AAB"/>
    <w:rsid w:val="006D7495"/>
    <w:rsid w:val="006E28EB"/>
    <w:rsid w:val="006E6A7D"/>
    <w:rsid w:val="007161CF"/>
    <w:rsid w:val="00725E8D"/>
    <w:rsid w:val="00733FBF"/>
    <w:rsid w:val="00753186"/>
    <w:rsid w:val="00780E62"/>
    <w:rsid w:val="007906EC"/>
    <w:rsid w:val="00794CF0"/>
    <w:rsid w:val="007C738C"/>
    <w:rsid w:val="007E0150"/>
    <w:rsid w:val="007E6C05"/>
    <w:rsid w:val="007F144D"/>
    <w:rsid w:val="007F5B40"/>
    <w:rsid w:val="00810073"/>
    <w:rsid w:val="00835A69"/>
    <w:rsid w:val="00851053"/>
    <w:rsid w:val="0086242B"/>
    <w:rsid w:val="00872551"/>
    <w:rsid w:val="00882192"/>
    <w:rsid w:val="008951E4"/>
    <w:rsid w:val="008A41A6"/>
    <w:rsid w:val="008C4F56"/>
    <w:rsid w:val="00905B82"/>
    <w:rsid w:val="00927734"/>
    <w:rsid w:val="0095434C"/>
    <w:rsid w:val="00961E9B"/>
    <w:rsid w:val="009671DE"/>
    <w:rsid w:val="00985FF1"/>
    <w:rsid w:val="009C2DA0"/>
    <w:rsid w:val="009D6661"/>
    <w:rsid w:val="009D66E9"/>
    <w:rsid w:val="009F0C75"/>
    <w:rsid w:val="009F288A"/>
    <w:rsid w:val="00A15096"/>
    <w:rsid w:val="00A23353"/>
    <w:rsid w:val="00A27027"/>
    <w:rsid w:val="00A61396"/>
    <w:rsid w:val="00A75555"/>
    <w:rsid w:val="00A77DAE"/>
    <w:rsid w:val="00A8217B"/>
    <w:rsid w:val="00A835A3"/>
    <w:rsid w:val="00AA67C9"/>
    <w:rsid w:val="00AC35B4"/>
    <w:rsid w:val="00AE053F"/>
    <w:rsid w:val="00AF112B"/>
    <w:rsid w:val="00B255CC"/>
    <w:rsid w:val="00B36CB2"/>
    <w:rsid w:val="00B97113"/>
    <w:rsid w:val="00BB4A03"/>
    <w:rsid w:val="00BC29C4"/>
    <w:rsid w:val="00BD0EBE"/>
    <w:rsid w:val="00BD3577"/>
    <w:rsid w:val="00BF25A0"/>
    <w:rsid w:val="00C03441"/>
    <w:rsid w:val="00C16192"/>
    <w:rsid w:val="00C17389"/>
    <w:rsid w:val="00C4576C"/>
    <w:rsid w:val="00C53F8C"/>
    <w:rsid w:val="00C6719E"/>
    <w:rsid w:val="00C70D9B"/>
    <w:rsid w:val="00CA147F"/>
    <w:rsid w:val="00CD558D"/>
    <w:rsid w:val="00CE3CE5"/>
    <w:rsid w:val="00D1687D"/>
    <w:rsid w:val="00D66ED1"/>
    <w:rsid w:val="00D8718A"/>
    <w:rsid w:val="00D95426"/>
    <w:rsid w:val="00DD35A7"/>
    <w:rsid w:val="00DF4013"/>
    <w:rsid w:val="00E051FA"/>
    <w:rsid w:val="00E1458B"/>
    <w:rsid w:val="00E162D6"/>
    <w:rsid w:val="00E3268F"/>
    <w:rsid w:val="00E37F4A"/>
    <w:rsid w:val="00E40460"/>
    <w:rsid w:val="00E56EC2"/>
    <w:rsid w:val="00E75883"/>
    <w:rsid w:val="00E77F4E"/>
    <w:rsid w:val="00E81F14"/>
    <w:rsid w:val="00E90596"/>
    <w:rsid w:val="00EC0ECB"/>
    <w:rsid w:val="00EE1AAC"/>
    <w:rsid w:val="00F605DD"/>
    <w:rsid w:val="00F67362"/>
    <w:rsid w:val="00F90661"/>
    <w:rsid w:val="00F92BFD"/>
    <w:rsid w:val="00FE55BB"/>
    <w:rsid w:val="00FF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AC53FFF-7610-44B7-84FE-9184803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7EE"/>
    <w:pPr>
      <w:ind w:firstLineChars="200" w:firstLine="420"/>
    </w:pPr>
  </w:style>
  <w:style w:type="character" w:styleId="a4">
    <w:name w:val="Placeholder Text"/>
    <w:basedOn w:val="a0"/>
    <w:uiPriority w:val="99"/>
    <w:semiHidden/>
    <w:rsid w:val="004949AA"/>
    <w:rPr>
      <w:color w:val="808080"/>
    </w:rPr>
  </w:style>
  <w:style w:type="table" w:styleId="a5">
    <w:name w:val="Table Grid"/>
    <w:basedOn w:val="a1"/>
    <w:uiPriority w:val="39"/>
    <w:rsid w:val="000A3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0A3EB8"/>
    <w:rPr>
      <w:rFonts w:asciiTheme="majorHAnsi" w:eastAsia="黑体" w:hAnsiTheme="majorHAnsi" w:cstheme="majorBidi"/>
      <w:sz w:val="20"/>
      <w:szCs w:val="20"/>
    </w:rPr>
  </w:style>
  <w:style w:type="paragraph" w:styleId="a7">
    <w:name w:val="header"/>
    <w:basedOn w:val="a"/>
    <w:link w:val="a8"/>
    <w:uiPriority w:val="99"/>
    <w:unhideWhenUsed/>
    <w:rsid w:val="0031418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4189"/>
    <w:rPr>
      <w:sz w:val="18"/>
      <w:szCs w:val="18"/>
    </w:rPr>
  </w:style>
  <w:style w:type="paragraph" w:styleId="a9">
    <w:name w:val="footer"/>
    <w:basedOn w:val="a"/>
    <w:link w:val="aa"/>
    <w:uiPriority w:val="99"/>
    <w:unhideWhenUsed/>
    <w:rsid w:val="00314189"/>
    <w:pPr>
      <w:tabs>
        <w:tab w:val="center" w:pos="4153"/>
        <w:tab w:val="right" w:pos="8306"/>
      </w:tabs>
      <w:snapToGrid w:val="0"/>
      <w:jc w:val="left"/>
    </w:pPr>
    <w:rPr>
      <w:sz w:val="18"/>
      <w:szCs w:val="18"/>
    </w:rPr>
  </w:style>
  <w:style w:type="character" w:customStyle="1" w:styleId="aa">
    <w:name w:val="页脚 字符"/>
    <w:basedOn w:val="a0"/>
    <w:link w:val="a9"/>
    <w:uiPriority w:val="99"/>
    <w:rsid w:val="00314189"/>
    <w:rPr>
      <w:sz w:val="18"/>
      <w:szCs w:val="18"/>
    </w:rPr>
  </w:style>
  <w:style w:type="paragraph" w:styleId="ab">
    <w:name w:val="Balloon Text"/>
    <w:basedOn w:val="a"/>
    <w:link w:val="ac"/>
    <w:uiPriority w:val="99"/>
    <w:semiHidden/>
    <w:unhideWhenUsed/>
    <w:rsid w:val="00A27027"/>
    <w:rPr>
      <w:sz w:val="18"/>
      <w:szCs w:val="18"/>
    </w:rPr>
  </w:style>
  <w:style w:type="character" w:customStyle="1" w:styleId="ac">
    <w:name w:val="批注框文本 字符"/>
    <w:basedOn w:val="a0"/>
    <w:link w:val="ab"/>
    <w:uiPriority w:val="99"/>
    <w:semiHidden/>
    <w:rsid w:val="00A27027"/>
    <w:rPr>
      <w:sz w:val="18"/>
      <w:szCs w:val="18"/>
    </w:rPr>
  </w:style>
  <w:style w:type="character" w:styleId="ad">
    <w:name w:val="annotation reference"/>
    <w:basedOn w:val="a0"/>
    <w:uiPriority w:val="99"/>
    <w:semiHidden/>
    <w:unhideWhenUsed/>
    <w:rsid w:val="00A27027"/>
    <w:rPr>
      <w:sz w:val="21"/>
      <w:szCs w:val="21"/>
    </w:rPr>
  </w:style>
  <w:style w:type="paragraph" w:styleId="ae">
    <w:name w:val="annotation text"/>
    <w:basedOn w:val="a"/>
    <w:link w:val="af"/>
    <w:uiPriority w:val="99"/>
    <w:semiHidden/>
    <w:unhideWhenUsed/>
    <w:rsid w:val="00A27027"/>
    <w:pPr>
      <w:jc w:val="left"/>
    </w:pPr>
  </w:style>
  <w:style w:type="character" w:customStyle="1" w:styleId="af">
    <w:name w:val="批注文字 字符"/>
    <w:basedOn w:val="a0"/>
    <w:link w:val="ae"/>
    <w:uiPriority w:val="99"/>
    <w:semiHidden/>
    <w:rsid w:val="00A27027"/>
  </w:style>
  <w:style w:type="paragraph" w:styleId="af0">
    <w:name w:val="annotation subject"/>
    <w:basedOn w:val="ae"/>
    <w:next w:val="ae"/>
    <w:link w:val="af1"/>
    <w:uiPriority w:val="99"/>
    <w:semiHidden/>
    <w:unhideWhenUsed/>
    <w:rsid w:val="00A27027"/>
    <w:rPr>
      <w:b/>
      <w:bCs/>
    </w:rPr>
  </w:style>
  <w:style w:type="character" w:customStyle="1" w:styleId="af1">
    <w:name w:val="批注主题 字符"/>
    <w:basedOn w:val="af"/>
    <w:link w:val="af0"/>
    <w:uiPriority w:val="99"/>
    <w:semiHidden/>
    <w:rsid w:val="00A27027"/>
    <w:rPr>
      <w:b/>
      <w:bCs/>
    </w:rPr>
  </w:style>
  <w:style w:type="paragraph" w:styleId="af2">
    <w:name w:val="footnote text"/>
    <w:basedOn w:val="a"/>
    <w:link w:val="af3"/>
    <w:uiPriority w:val="99"/>
    <w:semiHidden/>
    <w:unhideWhenUsed/>
    <w:rsid w:val="0009085B"/>
    <w:pPr>
      <w:snapToGrid w:val="0"/>
      <w:jc w:val="left"/>
    </w:pPr>
    <w:rPr>
      <w:sz w:val="18"/>
      <w:szCs w:val="18"/>
    </w:rPr>
  </w:style>
  <w:style w:type="character" w:customStyle="1" w:styleId="af3">
    <w:name w:val="脚注文本 字符"/>
    <w:basedOn w:val="a0"/>
    <w:link w:val="af2"/>
    <w:uiPriority w:val="99"/>
    <w:semiHidden/>
    <w:rsid w:val="0009085B"/>
    <w:rPr>
      <w:sz w:val="18"/>
      <w:szCs w:val="18"/>
    </w:rPr>
  </w:style>
  <w:style w:type="character" w:styleId="af4">
    <w:name w:val="footnote reference"/>
    <w:basedOn w:val="a0"/>
    <w:uiPriority w:val="99"/>
    <w:semiHidden/>
    <w:unhideWhenUsed/>
    <w:rsid w:val="000908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289846">
      <w:bodyDiv w:val="1"/>
      <w:marLeft w:val="0"/>
      <w:marRight w:val="0"/>
      <w:marTop w:val="0"/>
      <w:marBottom w:val="0"/>
      <w:divBdr>
        <w:top w:val="none" w:sz="0" w:space="0" w:color="auto"/>
        <w:left w:val="none" w:sz="0" w:space="0" w:color="auto"/>
        <w:bottom w:val="none" w:sz="0" w:space="0" w:color="auto"/>
        <w:right w:val="none" w:sz="0" w:space="0" w:color="auto"/>
      </w:divBdr>
      <w:divsChild>
        <w:div w:id="111104795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华北</c:v>
                </c:pt>
              </c:strCache>
            </c:strRef>
          </c:tx>
          <c:spPr>
            <a:ln w="28575" cap="rnd">
              <a:solidFill>
                <a:schemeClr val="accent1"/>
              </a:solidFill>
              <a:round/>
            </a:ln>
            <a:effectLst/>
          </c:spPr>
          <c:marker>
            <c:symbol val="none"/>
          </c:marker>
          <c:cat>
            <c:strRef>
              <c:f>Sheet1!$A$2:$A$5</c:f>
              <c:strCache>
                <c:ptCount val="4"/>
                <c:pt idx="0">
                  <c:v>1999-2003</c:v>
                </c:pt>
                <c:pt idx="1">
                  <c:v>2004-2008</c:v>
                </c:pt>
                <c:pt idx="2">
                  <c:v>2009-2012</c:v>
                </c:pt>
                <c:pt idx="3">
                  <c:v>2013-2017</c:v>
                </c:pt>
              </c:strCache>
            </c:strRef>
          </c:cat>
          <c:val>
            <c:numRef>
              <c:f>Sheet1!$B$2:$B$5</c:f>
              <c:numCache>
                <c:formatCode>General</c:formatCode>
                <c:ptCount val="4"/>
                <c:pt idx="0">
                  <c:v>3736.25</c:v>
                </c:pt>
                <c:pt idx="1">
                  <c:v>5011.83</c:v>
                </c:pt>
                <c:pt idx="2">
                  <c:v>5610.64</c:v>
                </c:pt>
                <c:pt idx="3">
                  <c:v>6816.08</c:v>
                </c:pt>
              </c:numCache>
            </c:numRef>
          </c:val>
          <c:smooth val="0"/>
          <c:extLst>
            <c:ext xmlns:c16="http://schemas.microsoft.com/office/drawing/2014/chart" uri="{C3380CC4-5D6E-409C-BE32-E72D297353CC}">
              <c16:uniqueId val="{00000000-6C2A-43D4-A96C-CE61D4F330D7}"/>
            </c:ext>
          </c:extLst>
        </c:ser>
        <c:ser>
          <c:idx val="1"/>
          <c:order val="1"/>
          <c:tx>
            <c:strRef>
              <c:f>Sheet1!$C$1</c:f>
              <c:strCache>
                <c:ptCount val="1"/>
                <c:pt idx="0">
                  <c:v>东北</c:v>
                </c:pt>
              </c:strCache>
            </c:strRef>
          </c:tx>
          <c:spPr>
            <a:ln w="28575" cap="rnd">
              <a:solidFill>
                <a:schemeClr val="accent2"/>
              </a:solidFill>
              <a:round/>
            </a:ln>
            <a:effectLst/>
          </c:spPr>
          <c:marker>
            <c:symbol val="none"/>
          </c:marker>
          <c:cat>
            <c:strRef>
              <c:f>Sheet1!$A$2:$A$5</c:f>
              <c:strCache>
                <c:ptCount val="4"/>
                <c:pt idx="0">
                  <c:v>1999-2003</c:v>
                </c:pt>
                <c:pt idx="1">
                  <c:v>2004-2008</c:v>
                </c:pt>
                <c:pt idx="2">
                  <c:v>2009-2012</c:v>
                </c:pt>
                <c:pt idx="3">
                  <c:v>2013-2017</c:v>
                </c:pt>
              </c:strCache>
            </c:strRef>
          </c:cat>
          <c:val>
            <c:numRef>
              <c:f>Sheet1!$C$2:$C$5</c:f>
              <c:numCache>
                <c:formatCode>General</c:formatCode>
                <c:ptCount val="4"/>
                <c:pt idx="0">
                  <c:v>9702.2099999999973</c:v>
                </c:pt>
                <c:pt idx="1">
                  <c:v>10536.98</c:v>
                </c:pt>
                <c:pt idx="2">
                  <c:v>11296.6</c:v>
                </c:pt>
                <c:pt idx="3">
                  <c:v>12519.82</c:v>
                </c:pt>
              </c:numCache>
            </c:numRef>
          </c:val>
          <c:smooth val="0"/>
          <c:extLst>
            <c:ext xmlns:c16="http://schemas.microsoft.com/office/drawing/2014/chart" uri="{C3380CC4-5D6E-409C-BE32-E72D297353CC}">
              <c16:uniqueId val="{00000001-6C2A-43D4-A96C-CE61D4F330D7}"/>
            </c:ext>
          </c:extLst>
        </c:ser>
        <c:ser>
          <c:idx val="2"/>
          <c:order val="2"/>
          <c:tx>
            <c:strRef>
              <c:f>Sheet1!$D$1</c:f>
              <c:strCache>
                <c:ptCount val="1"/>
                <c:pt idx="0">
                  <c:v>华东</c:v>
                </c:pt>
              </c:strCache>
            </c:strRef>
          </c:tx>
          <c:spPr>
            <a:ln w="28575" cap="rnd">
              <a:solidFill>
                <a:schemeClr val="accent3"/>
              </a:solidFill>
              <a:round/>
            </a:ln>
            <a:effectLst/>
          </c:spPr>
          <c:marker>
            <c:symbol val="none"/>
          </c:marker>
          <c:cat>
            <c:strRef>
              <c:f>Sheet1!$A$2:$A$5</c:f>
              <c:strCache>
                <c:ptCount val="4"/>
                <c:pt idx="0">
                  <c:v>1999-2003</c:v>
                </c:pt>
                <c:pt idx="1">
                  <c:v>2004-2008</c:v>
                </c:pt>
                <c:pt idx="2">
                  <c:v>2009-2012</c:v>
                </c:pt>
                <c:pt idx="3">
                  <c:v>2013-2017</c:v>
                </c:pt>
              </c:strCache>
            </c:strRef>
          </c:cat>
          <c:val>
            <c:numRef>
              <c:f>Sheet1!$D$2:$D$5</c:f>
              <c:numCache>
                <c:formatCode>General</c:formatCode>
                <c:ptCount val="4"/>
                <c:pt idx="0">
                  <c:v>7238.41</c:v>
                </c:pt>
                <c:pt idx="1">
                  <c:v>11331.869999999999</c:v>
                </c:pt>
                <c:pt idx="2">
                  <c:v>13512.55</c:v>
                </c:pt>
                <c:pt idx="3">
                  <c:v>16789.82</c:v>
                </c:pt>
              </c:numCache>
            </c:numRef>
          </c:val>
          <c:smooth val="0"/>
          <c:extLst>
            <c:ext xmlns:c16="http://schemas.microsoft.com/office/drawing/2014/chart" uri="{C3380CC4-5D6E-409C-BE32-E72D297353CC}">
              <c16:uniqueId val="{00000002-6C2A-43D4-A96C-CE61D4F330D7}"/>
            </c:ext>
          </c:extLst>
        </c:ser>
        <c:ser>
          <c:idx val="3"/>
          <c:order val="3"/>
          <c:tx>
            <c:strRef>
              <c:f>Sheet1!$E$1</c:f>
              <c:strCache>
                <c:ptCount val="1"/>
                <c:pt idx="0">
                  <c:v>华中</c:v>
                </c:pt>
              </c:strCache>
            </c:strRef>
          </c:tx>
          <c:spPr>
            <a:ln w="28575" cap="rnd">
              <a:solidFill>
                <a:schemeClr val="accent4"/>
              </a:solidFill>
              <a:round/>
            </a:ln>
            <a:effectLst/>
          </c:spPr>
          <c:marker>
            <c:symbol val="none"/>
          </c:marker>
          <c:cat>
            <c:strRef>
              <c:f>Sheet1!$A$2:$A$5</c:f>
              <c:strCache>
                <c:ptCount val="4"/>
                <c:pt idx="0">
                  <c:v>1999-2003</c:v>
                </c:pt>
                <c:pt idx="1">
                  <c:v>2004-2008</c:v>
                </c:pt>
                <c:pt idx="2">
                  <c:v>2009-2012</c:v>
                </c:pt>
                <c:pt idx="3">
                  <c:v>2013-2017</c:v>
                </c:pt>
              </c:strCache>
            </c:strRef>
          </c:cat>
          <c:val>
            <c:numRef>
              <c:f>Sheet1!$E$2:$E$5</c:f>
              <c:numCache>
                <c:formatCode>General</c:formatCode>
                <c:ptCount val="4"/>
                <c:pt idx="0">
                  <c:v>2277.15</c:v>
                </c:pt>
                <c:pt idx="1">
                  <c:v>3671.8300000000004</c:v>
                </c:pt>
                <c:pt idx="2">
                  <c:v>4781.59</c:v>
                </c:pt>
                <c:pt idx="3">
                  <c:v>5579.9</c:v>
                </c:pt>
              </c:numCache>
            </c:numRef>
          </c:val>
          <c:smooth val="0"/>
          <c:extLst>
            <c:ext xmlns:c16="http://schemas.microsoft.com/office/drawing/2014/chart" uri="{C3380CC4-5D6E-409C-BE32-E72D297353CC}">
              <c16:uniqueId val="{00000003-6C2A-43D4-A96C-CE61D4F330D7}"/>
            </c:ext>
          </c:extLst>
        </c:ser>
        <c:ser>
          <c:idx val="4"/>
          <c:order val="4"/>
          <c:tx>
            <c:strRef>
              <c:f>Sheet1!$F$1</c:f>
              <c:strCache>
                <c:ptCount val="1"/>
                <c:pt idx="0">
                  <c:v>华南</c:v>
                </c:pt>
              </c:strCache>
            </c:strRef>
          </c:tx>
          <c:spPr>
            <a:ln w="28575" cap="rnd">
              <a:solidFill>
                <a:schemeClr val="accent5"/>
              </a:solidFill>
              <a:round/>
            </a:ln>
            <a:effectLst/>
          </c:spPr>
          <c:marker>
            <c:symbol val="none"/>
          </c:marker>
          <c:cat>
            <c:strRef>
              <c:f>Sheet1!$A$2:$A$5</c:f>
              <c:strCache>
                <c:ptCount val="4"/>
                <c:pt idx="0">
                  <c:v>1999-2003</c:v>
                </c:pt>
                <c:pt idx="1">
                  <c:v>2004-2008</c:v>
                </c:pt>
                <c:pt idx="2">
                  <c:v>2009-2012</c:v>
                </c:pt>
                <c:pt idx="3">
                  <c:v>2013-2017</c:v>
                </c:pt>
              </c:strCache>
            </c:strRef>
          </c:cat>
          <c:val>
            <c:numRef>
              <c:f>Sheet1!$F$2:$F$5</c:f>
              <c:numCache>
                <c:formatCode>General</c:formatCode>
                <c:ptCount val="4"/>
                <c:pt idx="0">
                  <c:v>4881.37</c:v>
                </c:pt>
                <c:pt idx="1">
                  <c:v>6570.4</c:v>
                </c:pt>
                <c:pt idx="2">
                  <c:v>7310.04</c:v>
                </c:pt>
                <c:pt idx="3">
                  <c:v>8537.06</c:v>
                </c:pt>
              </c:numCache>
            </c:numRef>
          </c:val>
          <c:smooth val="0"/>
          <c:extLst>
            <c:ext xmlns:c16="http://schemas.microsoft.com/office/drawing/2014/chart" uri="{C3380CC4-5D6E-409C-BE32-E72D297353CC}">
              <c16:uniqueId val="{00000004-6C2A-43D4-A96C-CE61D4F330D7}"/>
            </c:ext>
          </c:extLst>
        </c:ser>
        <c:ser>
          <c:idx val="5"/>
          <c:order val="5"/>
          <c:tx>
            <c:strRef>
              <c:f>Sheet1!$G$1</c:f>
              <c:strCache>
                <c:ptCount val="1"/>
                <c:pt idx="0">
                  <c:v>西南</c:v>
                </c:pt>
              </c:strCache>
            </c:strRef>
          </c:tx>
          <c:spPr>
            <a:ln w="28575" cap="rnd">
              <a:solidFill>
                <a:schemeClr val="accent6"/>
              </a:solidFill>
              <a:round/>
            </a:ln>
            <a:effectLst/>
          </c:spPr>
          <c:marker>
            <c:symbol val="none"/>
          </c:marker>
          <c:cat>
            <c:strRef>
              <c:f>Sheet1!$A$2:$A$5</c:f>
              <c:strCache>
                <c:ptCount val="4"/>
                <c:pt idx="0">
                  <c:v>1999-2003</c:v>
                </c:pt>
                <c:pt idx="1">
                  <c:v>2004-2008</c:v>
                </c:pt>
                <c:pt idx="2">
                  <c:v>2009-2012</c:v>
                </c:pt>
                <c:pt idx="3">
                  <c:v>2013-2017</c:v>
                </c:pt>
              </c:strCache>
            </c:strRef>
          </c:cat>
          <c:val>
            <c:numRef>
              <c:f>Sheet1!$G$2:$G$5</c:f>
              <c:numCache>
                <c:formatCode>General</c:formatCode>
                <c:ptCount val="4"/>
                <c:pt idx="0">
                  <c:v>9878.17</c:v>
                </c:pt>
                <c:pt idx="1">
                  <c:v>13708.130000000001</c:v>
                </c:pt>
                <c:pt idx="2">
                  <c:v>15147.16</c:v>
                </c:pt>
                <c:pt idx="3">
                  <c:v>16803.509999999995</c:v>
                </c:pt>
              </c:numCache>
            </c:numRef>
          </c:val>
          <c:smooth val="0"/>
          <c:extLst>
            <c:ext xmlns:c16="http://schemas.microsoft.com/office/drawing/2014/chart" uri="{C3380CC4-5D6E-409C-BE32-E72D297353CC}">
              <c16:uniqueId val="{00000005-6C2A-43D4-A96C-CE61D4F330D7}"/>
            </c:ext>
          </c:extLst>
        </c:ser>
        <c:ser>
          <c:idx val="6"/>
          <c:order val="6"/>
          <c:tx>
            <c:strRef>
              <c:f>Sheet1!$H$1</c:f>
              <c:strCache>
                <c:ptCount val="1"/>
                <c:pt idx="0">
                  <c:v>西北</c:v>
                </c:pt>
              </c:strCache>
            </c:strRef>
          </c:tx>
          <c:spPr>
            <a:ln w="28575" cap="rnd">
              <a:solidFill>
                <a:schemeClr val="accent1">
                  <a:lumMod val="60000"/>
                </a:schemeClr>
              </a:solidFill>
              <a:round/>
            </a:ln>
            <a:effectLst/>
          </c:spPr>
          <c:marker>
            <c:symbol val="none"/>
          </c:marker>
          <c:cat>
            <c:strRef>
              <c:f>Sheet1!$A$2:$A$5</c:f>
              <c:strCache>
                <c:ptCount val="4"/>
                <c:pt idx="0">
                  <c:v>1999-2003</c:v>
                </c:pt>
                <c:pt idx="1">
                  <c:v>2004-2008</c:v>
                </c:pt>
                <c:pt idx="2">
                  <c:v>2009-2012</c:v>
                </c:pt>
                <c:pt idx="3">
                  <c:v>2013-2017</c:v>
                </c:pt>
              </c:strCache>
            </c:strRef>
          </c:cat>
          <c:val>
            <c:numRef>
              <c:f>Sheet1!$H$2:$H$5</c:f>
              <c:numCache>
                <c:formatCode>General</c:formatCode>
                <c:ptCount val="4"/>
                <c:pt idx="0">
                  <c:v>2477.73</c:v>
                </c:pt>
                <c:pt idx="1">
                  <c:v>2753.7599999999998</c:v>
                </c:pt>
                <c:pt idx="2">
                  <c:v>3040.9900000000002</c:v>
                </c:pt>
                <c:pt idx="3">
                  <c:v>3549.94</c:v>
                </c:pt>
              </c:numCache>
            </c:numRef>
          </c:val>
          <c:smooth val="0"/>
          <c:extLst>
            <c:ext xmlns:c16="http://schemas.microsoft.com/office/drawing/2014/chart" uri="{C3380CC4-5D6E-409C-BE32-E72D297353CC}">
              <c16:uniqueId val="{00000006-6C2A-43D4-A96C-CE61D4F330D7}"/>
            </c:ext>
          </c:extLst>
        </c:ser>
        <c:dLbls>
          <c:showLegendKey val="0"/>
          <c:showVal val="0"/>
          <c:showCatName val="0"/>
          <c:showSerName val="0"/>
          <c:showPercent val="0"/>
          <c:showBubbleSize val="0"/>
        </c:dLbls>
        <c:smooth val="0"/>
        <c:axId val="56546048"/>
        <c:axId val="56547584"/>
      </c:lineChart>
      <c:catAx>
        <c:axId val="5654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547584"/>
        <c:crosses val="autoZero"/>
        <c:auto val="1"/>
        <c:lblAlgn val="ctr"/>
        <c:lblOffset val="100"/>
        <c:noMultiLvlLbl val="0"/>
      </c:catAx>
      <c:valAx>
        <c:axId val="56547584"/>
        <c:scaling>
          <c:orientation val="minMax"/>
        </c:scaling>
        <c:delete val="1"/>
        <c:axPos val="l"/>
        <c:majorGridlines>
          <c:spPr>
            <a:ln w="9525" cap="flat" cmpd="sng" algn="ctr">
              <a:noFill/>
              <a:round/>
            </a:ln>
            <a:effectLst/>
          </c:spPr>
        </c:majorGridlines>
        <c:numFmt formatCode="General" sourceLinked="1"/>
        <c:majorTickMark val="none"/>
        <c:minorTickMark val="none"/>
        <c:tickLblPos val="none"/>
        <c:crossAx val="56546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dist">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3DAB-3365-4B44-BFD8-21D7A1F57F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王 齐</cp:lastModifiedBy>
  <cp:revision>2</cp:revision>
  <dcterms:created xsi:type="dcterms:W3CDTF">2019-12-02T01:25:00Z</dcterms:created>
  <dcterms:modified xsi:type="dcterms:W3CDTF">2019-12-02T01:25:00Z</dcterms:modified>
</cp:coreProperties>
</file>