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200"/>
        <w:jc w:val="both"/>
        <w:rPr>
          <w:rFonts w:hint="eastAsia" w:ascii="黑体" w:hAnsi="黑体" w:eastAsia="黑体"/>
          <w:sz w:val="48"/>
          <w:szCs w:val="48"/>
          <w:lang w:val="en-US" w:eastAsia="zh-CN"/>
        </w:rPr>
      </w:pPr>
      <w:r>
        <w:rPr>
          <w:rFonts w:hint="eastAsia" w:ascii="黑体" w:hAnsi="黑体" w:eastAsia="黑体"/>
          <w:sz w:val="48"/>
          <w:szCs w:val="48"/>
          <w:lang w:val="en-US" w:eastAsia="zh-CN"/>
        </w:rPr>
        <w:t>东湖</w:t>
      </w:r>
      <w:r>
        <w:rPr>
          <w:rFonts w:ascii="黑体" w:hAnsi="黑体" w:eastAsia="黑体"/>
          <w:sz w:val="48"/>
          <w:szCs w:val="4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sz w:val="48"/>
          <w:szCs w:val="48"/>
        </w:rPr>
        <w:instrText xml:space="preserve">ADDIN CNKISM.UserStyle</w:instrText>
      </w:r>
      <w:r>
        <w:rPr>
          <w:rFonts w:ascii="黑体" w:hAnsi="黑体" w:eastAsia="黑体"/>
          <w:sz w:val="48"/>
          <w:szCs w:val="48"/>
        </w:rPr>
        <w:fldChar w:fldCharType="end"/>
      </w:r>
      <w:r>
        <w:rPr>
          <w:rFonts w:ascii="黑体" w:hAnsi="黑体" w:eastAsia="黑体"/>
          <w:sz w:val="48"/>
          <w:szCs w:val="48"/>
        </w:rPr>
        <w:t>新城</w:t>
      </w:r>
      <w:r>
        <w:rPr>
          <w:rFonts w:hint="eastAsia" w:ascii="黑体" w:hAnsi="黑体" w:eastAsia="黑体"/>
          <w:sz w:val="48"/>
          <w:szCs w:val="48"/>
          <w:lang w:val="en-US" w:eastAsia="zh-CN"/>
        </w:rPr>
        <w:t>公共</w:t>
      </w:r>
      <w:r>
        <w:rPr>
          <w:rFonts w:ascii="黑体" w:hAnsi="黑体" w:eastAsia="黑体"/>
          <w:sz w:val="48"/>
          <w:szCs w:val="48"/>
        </w:rPr>
        <w:t>停车需求</w:t>
      </w:r>
      <w:r>
        <w:rPr>
          <w:rFonts w:hint="eastAsia" w:ascii="黑体" w:hAnsi="黑体" w:eastAsia="黑体"/>
          <w:sz w:val="48"/>
          <w:szCs w:val="48"/>
          <w:lang w:val="en-US" w:eastAsia="zh-CN"/>
        </w:rPr>
        <w:t>与土地供给问题</w:t>
      </w:r>
    </w:p>
    <w:p>
      <w:pPr>
        <w:ind w:firstLine="630" w:firstLineChars="300"/>
        <w:jc w:val="center"/>
        <w:rPr>
          <w:rFonts w:hint="eastAsia" w:ascii="楷体" w:hAnsi="楷体" w:eastAsia="楷体" w:cs="楷体"/>
          <w:sz w:val="21"/>
          <w:szCs w:val="21"/>
          <w:lang w:val="en-US" w:eastAsia="zh-CN"/>
        </w:rPr>
      </w:pPr>
    </w:p>
    <w:p>
      <w:pPr>
        <w:ind w:firstLine="630" w:firstLineChars="300"/>
        <w:jc w:val="center"/>
        <w:rPr>
          <w:rFonts w:hint="eastAsia" w:ascii="楷体" w:hAnsi="楷体" w:eastAsia="楷体" w:cs="楷体"/>
          <w:sz w:val="21"/>
          <w:szCs w:val="21"/>
          <w:lang w:val="en-US" w:eastAsia="zh-CN"/>
        </w:rPr>
      </w:pPr>
    </w:p>
    <w:p>
      <w:pPr>
        <w:ind w:firstLine="3990" w:firstLineChars="1900"/>
        <w:jc w:val="both"/>
        <w:rPr>
          <w:rFonts w:hint="eastAsia" w:ascii="楷体" w:hAnsi="楷体" w:eastAsia="楷体" w:cs="楷体"/>
          <w:sz w:val="18"/>
          <w:szCs w:val="18"/>
          <w:lang w:val="en-US" w:eastAsia="zh-CN"/>
        </w:rPr>
      </w:pPr>
      <w:r>
        <w:rPr>
          <w:rFonts w:hint="eastAsia" w:ascii="楷体" w:hAnsi="楷体" w:eastAsia="楷体" w:cs="楷体"/>
          <w:sz w:val="21"/>
          <w:szCs w:val="21"/>
          <w:lang w:val="en-US" w:eastAsia="zh-CN"/>
        </w:rPr>
        <w:t>王琼霄</w:t>
      </w:r>
      <w:r>
        <w:rPr>
          <w:rFonts w:hint="eastAsia" w:ascii="楷体" w:hAnsi="楷体" w:eastAsia="楷体" w:cs="楷体"/>
          <w:sz w:val="21"/>
          <w:szCs w:val="21"/>
          <w:vertAlign w:val="superscript"/>
          <w:lang w:val="en-US" w:eastAsia="zh-CN"/>
        </w:rPr>
        <w:t>1</w:t>
      </w:r>
      <w:r>
        <w:rPr>
          <w:rFonts w:hint="eastAsia" w:ascii="楷体" w:hAnsi="楷体" w:eastAsia="楷体" w:cs="楷体"/>
          <w:sz w:val="21"/>
          <w:szCs w:val="21"/>
          <w:lang w:val="en-US" w:eastAsia="zh-CN"/>
        </w:rPr>
        <w:t>，王族智</w:t>
      </w:r>
      <w:r>
        <w:rPr>
          <w:rFonts w:hint="eastAsia" w:ascii="楷体" w:hAnsi="楷体" w:eastAsia="楷体" w:cs="楷体"/>
          <w:sz w:val="21"/>
          <w:szCs w:val="21"/>
          <w:vertAlign w:val="superscript"/>
          <w:lang w:val="en-US" w:eastAsia="zh-CN"/>
        </w:rPr>
        <w:t>2</w:t>
      </w:r>
    </w:p>
    <w:p>
      <w:pPr>
        <w:ind w:firstLine="540" w:firstLineChars="300"/>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（1.武汉工程大学，湖北 武汉，430073，2.湖北省广播电视局蕲春中波转播台，湖北 黄冈，435317）</w:t>
      </w:r>
    </w:p>
    <w:p>
      <w:pPr>
        <w:rPr>
          <w:rFonts w:hint="eastAsia" w:ascii="黑体" w:hAnsi="黑体" w:eastAsia="黑体"/>
          <w:sz w:val="21"/>
          <w:szCs w:val="21"/>
        </w:rPr>
      </w:pPr>
    </w:p>
    <w:p>
      <w:pPr>
        <w:rPr>
          <w:rFonts w:hint="default" w:ascii="黑体" w:hAnsi="黑体" w:eastAsia="黑体"/>
          <w:sz w:val="28"/>
          <w:szCs w:val="28"/>
          <w:lang w:val="en-US" w:eastAsia="zh-CN"/>
        </w:rPr>
      </w:pPr>
      <w:bookmarkStart w:id="0" w:name="_GoBack"/>
      <w:bookmarkEnd w:id="0"/>
      <w:r>
        <w:rPr>
          <w:rFonts w:hint="eastAsia" w:ascii="黑体" w:hAnsi="黑体" w:eastAsia="黑体"/>
          <w:sz w:val="21"/>
          <w:szCs w:val="21"/>
        </w:rPr>
        <w:t>摘要：</w:t>
      </w:r>
      <w:r>
        <w:rPr>
          <w:rFonts w:hint="eastAsia" w:ascii="楷体" w:hAnsi="楷体" w:eastAsia="楷体" w:cs="楷体"/>
          <w:sz w:val="21"/>
          <w:szCs w:val="21"/>
          <w:highlight w:val="none"/>
          <w:lang w:val="en-US" w:eastAsia="zh-CN"/>
        </w:rPr>
        <w:t>目前，许多大城市正面临着旧城区空间不断增加的压力和日益严重的交通拥堵，发展新城</w:t>
      </w:r>
      <w:r>
        <w:rPr>
          <w:rFonts w:hint="eastAsia" w:ascii="楷体" w:hAnsi="楷体" w:eastAsia="楷体" w:cs="楷体"/>
          <w:sz w:val="21"/>
          <w:szCs w:val="21"/>
          <w:highlight w:val="none"/>
          <w:u w:val="none"/>
          <w:lang w:val="en-US" w:eastAsia="zh-CN"/>
        </w:rPr>
        <w:t>是</w:t>
      </w:r>
      <w:r>
        <w:rPr>
          <w:rFonts w:hint="eastAsia" w:ascii="楷体" w:hAnsi="楷体" w:eastAsia="楷体" w:cs="楷体"/>
          <w:sz w:val="21"/>
          <w:szCs w:val="21"/>
          <w:highlight w:val="none"/>
          <w:lang w:val="en-US" w:eastAsia="zh-CN"/>
        </w:rPr>
        <w:t>新型城镇化重要举措。为此，</w:t>
      </w:r>
      <w:r>
        <w:rPr>
          <w:rFonts w:hint="eastAsia" w:ascii="楷体" w:hAnsi="楷体" w:eastAsia="楷体" w:cs="楷体"/>
          <w:sz w:val="21"/>
          <w:szCs w:val="21"/>
          <w:lang w:val="en-US" w:eastAsia="zh-CN"/>
        </w:rPr>
        <w:t>城市规划中是否还需要大量的独立公共停车场用地，配建泊位是否能够满足城市正常机动化发展需求，是否可以</w:t>
      </w:r>
      <w:r>
        <w:rPr>
          <w:rFonts w:hint="eastAsia" w:ascii="楷体" w:hAnsi="楷体" w:eastAsia="楷体" w:cs="楷体"/>
          <w:sz w:val="21"/>
          <w:szCs w:val="21"/>
          <w:highlight w:val="none"/>
          <w:u w:val="none"/>
          <w:lang w:val="en-US" w:eastAsia="zh-CN"/>
        </w:rPr>
        <w:t>用</w:t>
      </w:r>
      <w:r>
        <w:rPr>
          <w:rFonts w:hint="eastAsia" w:ascii="楷体" w:hAnsi="楷体" w:eastAsia="楷体" w:cs="楷体"/>
          <w:sz w:val="21"/>
          <w:szCs w:val="21"/>
          <w:lang w:val="en-US" w:eastAsia="zh-CN"/>
        </w:rPr>
        <w:t>弹性的停车用地供给策略，应对</w:t>
      </w:r>
      <w:r>
        <w:rPr>
          <w:rFonts w:hint="eastAsia" w:ascii="楷体" w:hAnsi="楷体" w:eastAsia="楷体" w:cs="楷体"/>
          <w:sz w:val="21"/>
          <w:szCs w:val="21"/>
          <w:highlight w:val="none"/>
          <w:lang w:val="en-US" w:eastAsia="zh-CN"/>
        </w:rPr>
        <w:t>机动车停车泊位</w:t>
      </w:r>
      <w:r>
        <w:rPr>
          <w:rFonts w:hint="eastAsia" w:ascii="楷体" w:hAnsi="楷体" w:eastAsia="楷体" w:cs="楷体"/>
          <w:sz w:val="21"/>
          <w:szCs w:val="21"/>
          <w:lang w:val="en-US" w:eastAsia="zh-CN"/>
        </w:rPr>
        <w:t>未来发展的不确定性。</w:t>
      </w:r>
    </w:p>
    <w:p>
      <w:pPr>
        <w:rPr>
          <w:rFonts w:hint="eastAsia" w:ascii="黑体" w:hAnsi="黑体" w:eastAsia="黑体"/>
          <w:sz w:val="28"/>
          <w:szCs w:val="28"/>
          <w:lang w:val="en-US" w:eastAsia="zh-CN"/>
        </w:rPr>
      </w:pPr>
      <w:r>
        <w:rPr>
          <w:rFonts w:hint="eastAsia" w:ascii="黑体" w:hAnsi="黑体" w:eastAsia="黑体"/>
          <w:sz w:val="21"/>
          <w:szCs w:val="21"/>
        </w:rPr>
        <w:t>关键词</w:t>
      </w:r>
      <w:r>
        <w:rPr>
          <w:rFonts w:hint="eastAsia" w:ascii="黑体" w:hAnsi="黑体" w:eastAsia="黑体"/>
          <w:sz w:val="28"/>
          <w:szCs w:val="28"/>
        </w:rPr>
        <w:t>：</w:t>
      </w:r>
      <w:r>
        <w:rPr>
          <w:rFonts w:hint="eastAsia" w:ascii="楷体" w:hAnsi="楷体" w:eastAsia="楷体" w:cs="楷体"/>
          <w:sz w:val="21"/>
          <w:szCs w:val="21"/>
          <w:lang w:val="en-US" w:eastAsia="zh-CN"/>
        </w:rPr>
        <w:t>新城；公共停车场；用地供给策略</w:t>
      </w:r>
    </w:p>
    <w:p>
      <w:pPr>
        <w:rPr>
          <w:rFonts w:hint="eastAsia" w:ascii="黑体" w:hAnsi="黑体" w:eastAsia="黑体" w:cs="黑体"/>
          <w:sz w:val="21"/>
          <w:szCs w:val="21"/>
          <w:highlight w:val="none"/>
          <w:lang w:val="en-US" w:eastAsia="zh-CN"/>
        </w:rPr>
      </w:pPr>
      <w:r>
        <w:rPr>
          <w:rFonts w:hint="eastAsia" w:ascii="黑体" w:hAnsi="黑体" w:eastAsia="黑体" w:cs="黑体"/>
          <w:sz w:val="21"/>
          <w:szCs w:val="21"/>
          <w:highlight w:val="none"/>
          <w:lang w:val="en-US" w:eastAsia="zh-CN"/>
        </w:rPr>
        <w:t>中图分类号：TD         文献标志码：A         文章标号：</w:t>
      </w:r>
    </w:p>
    <w:p>
      <w:pPr>
        <w:rPr>
          <w:rFonts w:hint="eastAsia" w:ascii="黑体" w:hAnsi="黑体" w:eastAsia="黑体" w:cs="黑体"/>
          <w:sz w:val="21"/>
          <w:szCs w:val="21"/>
          <w:highlight w:val="none"/>
          <w:lang w:val="en-US" w:eastAsia="zh-CN"/>
        </w:rPr>
        <w:sectPr>
          <w:pgSz w:w="11906" w:h="16838"/>
          <w:pgMar w:top="1417" w:right="1134" w:bottom="964" w:left="1134" w:header="851" w:footer="992" w:gutter="0"/>
          <w:pgBorders>
            <w:top w:val="none" w:sz="0" w:space="0"/>
            <w:left w:val="none" w:sz="0" w:space="0"/>
            <w:bottom w:val="none" w:sz="0" w:space="0"/>
            <w:right w:val="none" w:sz="0" w:space="0"/>
          </w:pgBorders>
          <w:cols w:space="425" w:num="1"/>
          <w:rtlGutter w:val="0"/>
          <w:docGrid w:type="lines" w:linePitch="312" w:charSpace="0"/>
        </w:sectPr>
      </w:pPr>
    </w:p>
    <w:p>
      <w:pPr>
        <w:rPr>
          <w:rFonts w:hint="eastAsia" w:ascii="黑体" w:hAnsi="黑体" w:eastAsia="黑体" w:cs="黑体"/>
          <w:sz w:val="21"/>
          <w:szCs w:val="21"/>
          <w:highlight w:val="none"/>
          <w:lang w:val="en-US" w:eastAsia="zh-CN"/>
        </w:rPr>
      </w:pPr>
    </w:p>
    <w:p>
      <w:pPr>
        <w:rPr>
          <w:rFonts w:hint="eastAsia" w:ascii="黑体" w:hAnsi="黑体" w:eastAsia="黑体"/>
          <w:sz w:val="21"/>
          <w:szCs w:val="21"/>
          <w:lang w:val="en-US" w:eastAsia="zh-CN"/>
        </w:rPr>
      </w:pPr>
      <w:r>
        <w:rPr>
          <w:rFonts w:hint="eastAsia" w:ascii="黑体" w:hAnsi="黑体" w:eastAsia="黑体"/>
          <w:sz w:val="21"/>
          <w:szCs w:val="21"/>
          <w:lang w:val="en-US" w:eastAsia="zh-CN"/>
        </w:rPr>
        <w:br w:type="page"/>
      </w:r>
    </w:p>
    <w:p>
      <w:pPr>
        <w:rPr>
          <w:rFonts w:ascii="黑体" w:hAnsi="黑体" w:eastAsia="黑体"/>
          <w:sz w:val="21"/>
          <w:szCs w:val="21"/>
        </w:rPr>
      </w:pPr>
      <w:r>
        <w:rPr>
          <w:rFonts w:hint="eastAsia" w:ascii="黑体" w:hAnsi="黑体" w:eastAsia="黑体"/>
          <w:sz w:val="21"/>
          <w:szCs w:val="21"/>
          <w:lang w:val="en-US" w:eastAsia="zh-CN"/>
        </w:rPr>
        <w:t>1</w:t>
      </w:r>
      <w:r>
        <w:rPr>
          <w:rFonts w:hint="eastAsia" w:ascii="黑体" w:hAnsi="黑体" w:eastAsia="黑体"/>
          <w:sz w:val="21"/>
          <w:szCs w:val="21"/>
        </w:rPr>
        <w:t>引言</w:t>
      </w:r>
    </w:p>
    <w:p>
      <w:pPr>
        <w:ind w:firstLine="420" w:firstLineChars="200"/>
        <w:rPr>
          <w:rFonts w:hint="eastAsia" w:ascii="宋体" w:hAnsi="宋体" w:eastAsia="宋体"/>
          <w:sz w:val="28"/>
          <w:szCs w:val="28"/>
          <w:lang w:val="en-US" w:eastAsia="zh-CN"/>
        </w:rPr>
      </w:pPr>
      <w:r>
        <w:rPr>
          <w:rFonts w:hint="eastAsia" w:ascii="宋体" w:hAnsi="宋体" w:eastAsia="宋体"/>
          <w:sz w:val="21"/>
          <w:szCs w:val="21"/>
          <w:highlight w:val="none"/>
        </w:rPr>
        <w:t>我国</w:t>
      </w:r>
      <w:r>
        <w:rPr>
          <w:rFonts w:hint="eastAsia" w:ascii="宋体" w:hAnsi="宋体" w:eastAsia="宋体"/>
          <w:sz w:val="21"/>
          <w:szCs w:val="21"/>
          <w:highlight w:val="none"/>
          <w:lang w:val="en-US" w:eastAsia="zh-CN"/>
        </w:rPr>
        <w:t>正处于新城开发建设的快速发展阶段，到2014年，县、县级以上的新城镇建设总量超过3000个，其中大城市新城新区建设超过了1000个</w:t>
      </w:r>
      <w:r>
        <w:rPr>
          <w:rFonts w:hint="eastAsia" w:ascii="宋体" w:hAnsi="宋体" w:eastAsia="宋体"/>
          <w:sz w:val="21"/>
          <w:szCs w:val="21"/>
          <w:highlight w:val="none"/>
          <w:vertAlign w:val="superscript"/>
          <w:lang w:val="en-US" w:eastAsia="zh-CN"/>
        </w:rPr>
        <w:t>[1]</w:t>
      </w:r>
      <w:r>
        <w:rPr>
          <w:rFonts w:hint="eastAsia" w:ascii="宋体" w:hAnsi="宋体" w:eastAsia="宋体"/>
          <w:sz w:val="21"/>
          <w:szCs w:val="21"/>
          <w:highlight w:val="none"/>
        </w:rPr>
        <w:t>，</w:t>
      </w:r>
      <w:r>
        <w:rPr>
          <w:rFonts w:hint="eastAsia" w:ascii="宋体" w:hAnsi="宋体" w:eastAsia="宋体"/>
          <w:sz w:val="21"/>
          <w:szCs w:val="21"/>
          <w:highlight w:val="none"/>
          <w:lang w:val="en-US" w:eastAsia="zh-CN"/>
        </w:rPr>
        <w:t>许多新城正处在发展过程中，很难找到突破口，这就需要借助重大项目或者活动</w:t>
      </w:r>
      <w:r>
        <w:rPr>
          <w:rFonts w:hint="eastAsia" w:ascii="宋体" w:hAnsi="宋体" w:eastAsia="宋体"/>
          <w:sz w:val="21"/>
          <w:szCs w:val="21"/>
          <w:highlight w:val="none"/>
          <w:u w:val="none"/>
          <w:lang w:val="en-US" w:eastAsia="zh-CN"/>
        </w:rPr>
        <w:t>的手段</w:t>
      </w:r>
      <w:r>
        <w:rPr>
          <w:rFonts w:hint="eastAsia" w:ascii="宋体" w:hAnsi="宋体" w:eastAsia="宋体"/>
          <w:sz w:val="21"/>
          <w:szCs w:val="21"/>
          <w:highlight w:val="none"/>
          <w:lang w:val="en-US" w:eastAsia="zh-CN"/>
        </w:rPr>
        <w:t>。因此将城市自然</w:t>
      </w:r>
      <w:r>
        <w:rPr>
          <w:rFonts w:hint="eastAsia" w:ascii="宋体" w:hAnsi="宋体" w:eastAsia="宋体"/>
          <w:sz w:val="21"/>
          <w:szCs w:val="21"/>
          <w:highlight w:val="none"/>
          <w:u w:val="none"/>
          <w:lang w:val="en-US" w:eastAsia="zh-CN"/>
        </w:rPr>
        <w:t>、</w:t>
      </w:r>
      <w:r>
        <w:rPr>
          <w:rFonts w:hint="eastAsia" w:ascii="宋体" w:hAnsi="宋体" w:eastAsia="宋体"/>
          <w:sz w:val="21"/>
          <w:szCs w:val="21"/>
          <w:highlight w:val="none"/>
          <w:lang w:val="en-US" w:eastAsia="zh-CN"/>
        </w:rPr>
        <w:t>人文和历史环境的新老资源重新整合，合理利用，系统开发，构建城市空间整体的、</w:t>
      </w:r>
      <w:r>
        <w:rPr>
          <w:rFonts w:hint="eastAsia" w:ascii="宋体" w:hAnsi="宋体" w:eastAsia="宋体"/>
          <w:sz w:val="21"/>
          <w:szCs w:val="21"/>
          <w:lang w:val="en-US" w:eastAsia="zh-CN"/>
        </w:rPr>
        <w:t>系统的空间</w:t>
      </w:r>
      <w:r>
        <w:rPr>
          <w:rFonts w:hint="eastAsia" w:ascii="宋体" w:hAnsi="宋体" w:eastAsia="宋体"/>
          <w:sz w:val="21"/>
          <w:szCs w:val="21"/>
          <w:highlight w:val="none"/>
          <w:lang w:val="en-US" w:eastAsia="zh-CN"/>
        </w:rPr>
        <w:t>新</w:t>
      </w:r>
      <w:r>
        <w:rPr>
          <w:rFonts w:hint="eastAsia" w:ascii="宋体" w:hAnsi="宋体" w:eastAsia="宋体"/>
          <w:sz w:val="21"/>
          <w:szCs w:val="21"/>
          <w:lang w:val="en-US" w:eastAsia="zh-CN"/>
        </w:rPr>
        <w:t>骨架</w:t>
      </w:r>
      <w:r>
        <w:rPr>
          <w:rFonts w:hint="eastAsia" w:ascii="宋体" w:hAnsi="宋体" w:eastAsia="宋体"/>
          <w:sz w:val="21"/>
          <w:szCs w:val="21"/>
          <w:vertAlign w:val="superscript"/>
          <w:lang w:val="en-US" w:eastAsia="zh-CN"/>
        </w:rPr>
        <w:t>[2-4]</w:t>
      </w:r>
      <w:r>
        <w:rPr>
          <w:rFonts w:hint="eastAsia" w:ascii="宋体" w:hAnsi="宋体" w:eastAsia="宋体"/>
          <w:sz w:val="21"/>
          <w:szCs w:val="21"/>
          <w:lang w:val="en-US" w:eastAsia="zh-CN"/>
        </w:rPr>
        <w:t>。</w:t>
      </w:r>
    </w:p>
    <w:p>
      <w:pPr>
        <w:rPr>
          <w:rFonts w:ascii="黑体" w:hAnsi="黑体" w:eastAsia="黑体"/>
          <w:sz w:val="28"/>
          <w:szCs w:val="28"/>
        </w:rPr>
      </w:pPr>
      <w:r>
        <w:rPr>
          <w:rFonts w:hint="eastAsia" w:ascii="黑体" w:hAnsi="黑体" w:eastAsia="黑体"/>
          <w:sz w:val="21"/>
          <w:szCs w:val="21"/>
          <w:lang w:val="en-US" w:eastAsia="zh-CN"/>
        </w:rPr>
        <w:t>2</w:t>
      </w:r>
      <w:r>
        <w:rPr>
          <w:rFonts w:hint="eastAsia" w:ascii="黑体" w:hAnsi="黑体" w:eastAsia="黑体"/>
          <w:sz w:val="21"/>
          <w:szCs w:val="21"/>
        </w:rPr>
        <w:t>工程背景</w:t>
      </w:r>
      <w:r>
        <w:rPr>
          <w:rFonts w:hint="eastAsia" w:ascii="黑体" w:hAnsi="黑体" w:eastAsia="黑体"/>
          <w:sz w:val="28"/>
          <w:szCs w:val="28"/>
        </w:rPr>
        <w:t xml:space="preserve"> </w:t>
      </w:r>
    </w:p>
    <w:p>
      <w:pPr>
        <w:ind w:firstLine="420" w:firstLineChars="200"/>
        <w:rPr>
          <w:rFonts w:hint="eastAsia" w:ascii="宋体" w:hAnsi="宋体" w:eastAsia="宋体"/>
          <w:sz w:val="28"/>
          <w:szCs w:val="28"/>
        </w:rPr>
      </w:pPr>
      <w:r>
        <w:rPr>
          <w:rFonts w:hint="eastAsia" w:ascii="宋体" w:hAnsi="宋体" w:eastAsia="宋体"/>
          <w:sz w:val="21"/>
          <w:szCs w:val="21"/>
        </w:rPr>
        <w:t>东湖高新区面积为518平方公里，</w:t>
      </w:r>
      <w:r>
        <w:rPr>
          <w:rFonts w:hint="eastAsia" w:ascii="宋体" w:hAnsi="宋体" w:eastAsia="宋体"/>
          <w:sz w:val="21"/>
          <w:szCs w:val="21"/>
          <w:lang w:val="en-US" w:eastAsia="zh-CN"/>
        </w:rPr>
        <w:t>现状建成面积约为119.09平方公里。</w:t>
      </w:r>
      <w:r>
        <w:rPr>
          <w:rFonts w:hint="eastAsia" w:ascii="宋体" w:hAnsi="宋体" w:eastAsia="宋体"/>
          <w:sz w:val="21"/>
          <w:szCs w:val="21"/>
        </w:rPr>
        <w:t>已建及在建用地约占规划建设用地的70%，</w:t>
      </w:r>
      <w:r>
        <w:rPr>
          <w:rFonts w:hint="eastAsia" w:ascii="宋体" w:hAnsi="宋体" w:eastAsia="宋体"/>
          <w:sz w:val="21"/>
          <w:szCs w:val="21"/>
          <w:lang w:val="en-US" w:eastAsia="zh-CN"/>
        </w:rPr>
        <w:t>如图1所示。</w:t>
      </w:r>
    </w:p>
    <w:p>
      <w:pPr>
        <w:ind w:firstLine="210" w:firstLineChars="100"/>
        <w:jc w:val="cente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p>
    <w:p>
      <w:pPr>
        <w:ind w:firstLine="210" w:firstLineChars="100"/>
        <w:jc w:val="center"/>
        <w:rPr>
          <w:rFonts w:hint="eastAsia" w:ascii="宋体" w:hAnsi="宋体" w:eastAsia="宋体"/>
          <w:sz w:val="28"/>
          <w:szCs w:val="28"/>
        </w:rPr>
      </w:pPr>
      <w:r>
        <w:drawing>
          <wp:inline distT="0" distB="0" distL="114300" distR="114300">
            <wp:extent cx="3093720" cy="2946400"/>
            <wp:effectExtent l="0" t="0" r="1143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3093720" cy="2946400"/>
                    </a:xfrm>
                    <a:prstGeom prst="rect">
                      <a:avLst/>
                    </a:prstGeom>
                    <a:noFill/>
                    <a:ln>
                      <a:noFill/>
                    </a:ln>
                  </pic:spPr>
                </pic:pic>
              </a:graphicData>
            </a:graphic>
          </wp:inline>
        </w:drawing>
      </w:r>
    </w:p>
    <w:p>
      <w:pPr>
        <w:ind w:firstLine="180" w:firstLineChars="10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图1 研究范围图</w:t>
      </w:r>
    </w:p>
    <w:p>
      <w:pPr>
        <w:jc w:val="both"/>
        <w:rPr>
          <w:rFonts w:hint="eastAsia" w:ascii="楷体" w:hAnsi="楷体" w:eastAsia="楷体" w:cs="楷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2.1经济发展</w:t>
      </w:r>
    </w:p>
    <w:p>
      <w:pPr>
        <w:numPr>
          <w:ilvl w:val="0"/>
          <w:numId w:val="0"/>
        </w:numPr>
        <w:ind w:firstLine="420" w:firstLineChars="200"/>
        <w:jc w:val="both"/>
        <w:rPr>
          <w:rFonts w:hint="eastAsia" w:ascii="宋体" w:hAnsi="宋体" w:eastAsia="宋体"/>
          <w:sz w:val="21"/>
          <w:szCs w:val="21"/>
          <w:highlight w:val="none"/>
          <w:lang w:val="en-US" w:eastAsia="zh-CN"/>
        </w:rPr>
      </w:pPr>
      <w:r>
        <w:rPr>
          <w:rFonts w:hint="eastAsia" w:ascii="宋体" w:hAnsi="宋体" w:eastAsia="宋体"/>
          <w:sz w:val="21"/>
          <w:szCs w:val="21"/>
          <w:highlight w:val="none"/>
          <w:lang w:eastAsia="zh-CN"/>
        </w:rPr>
        <w:t>“</w:t>
      </w:r>
      <w:r>
        <w:rPr>
          <w:rFonts w:hint="eastAsia" w:ascii="宋体" w:hAnsi="宋体" w:eastAsia="宋体"/>
          <w:sz w:val="21"/>
          <w:szCs w:val="21"/>
          <w:highlight w:val="none"/>
          <w:lang w:val="en-US" w:eastAsia="zh-CN"/>
        </w:rPr>
        <w:t>十二五”期间，东湖高新区经济增长较快，综合实力大幅</w:t>
      </w:r>
      <w:r>
        <w:rPr>
          <w:rFonts w:hint="eastAsia" w:ascii="宋体" w:hAnsi="宋体" w:eastAsia="宋体"/>
          <w:sz w:val="21"/>
          <w:szCs w:val="21"/>
          <w:highlight w:val="none"/>
          <w:u w:val="none"/>
          <w:lang w:val="en-US" w:eastAsia="zh-CN"/>
        </w:rPr>
        <w:t>提</w:t>
      </w:r>
      <w:r>
        <w:rPr>
          <w:rFonts w:hint="eastAsia" w:ascii="宋体" w:hAnsi="宋体" w:eastAsia="宋体"/>
          <w:sz w:val="21"/>
          <w:szCs w:val="21"/>
          <w:highlight w:val="none"/>
          <w:lang w:val="en-US" w:eastAsia="zh-CN"/>
        </w:rPr>
        <w:t>升。2015年，东湖高新区企业总收入10062亿元，五年间增长了28%，工业总产值、工业增加值实现翻番。如表1所示。</w:t>
      </w:r>
    </w:p>
    <w:p>
      <w:pPr>
        <w:ind w:firstLine="360" w:firstLineChars="200"/>
        <w:jc w:val="center"/>
        <w:rPr>
          <w:rFonts w:hint="eastAsia" w:ascii="黑体" w:hAnsi="黑体" w:eastAsia="黑体"/>
          <w:sz w:val="18"/>
          <w:szCs w:val="18"/>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p>
    <w:p>
      <w:pPr>
        <w:ind w:firstLine="360" w:firstLineChars="200"/>
        <w:jc w:val="center"/>
        <w:rPr>
          <w:rFonts w:hint="eastAsia" w:ascii="宋体" w:hAnsi="宋体" w:eastAsia="宋体"/>
          <w:sz w:val="18"/>
          <w:szCs w:val="18"/>
          <w:lang w:val="en-US" w:eastAsia="zh-CN"/>
        </w:rPr>
      </w:pPr>
      <w:r>
        <w:rPr>
          <w:rFonts w:hint="eastAsia" w:ascii="黑体" w:hAnsi="黑体" w:eastAsia="黑体"/>
          <w:sz w:val="18"/>
          <w:szCs w:val="18"/>
          <w:lang w:val="en-US" w:eastAsia="zh-CN"/>
        </w:rPr>
        <w:t>表1 东湖高新区主要经济指标运行情况</w:t>
      </w:r>
    </w:p>
    <w:tbl>
      <w:tblPr>
        <w:tblStyle w:val="7"/>
        <w:tblW w:w="8044" w:type="dxa"/>
        <w:jc w:val="center"/>
        <w:tblInd w:w="-42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356"/>
        <w:gridCol w:w="1110"/>
        <w:gridCol w:w="1155"/>
        <w:gridCol w:w="1110"/>
        <w:gridCol w:w="1110"/>
        <w:gridCol w:w="1095"/>
        <w:gridCol w:w="110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主要指标</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2010年</w:t>
            </w:r>
          </w:p>
        </w:tc>
        <w:tc>
          <w:tcPr>
            <w:tcW w:w="115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2011年</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2012年</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2013年</w:t>
            </w:r>
          </w:p>
        </w:tc>
        <w:tc>
          <w:tcPr>
            <w:tcW w:w="109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2014年</w:t>
            </w:r>
          </w:p>
        </w:tc>
        <w:tc>
          <w:tcPr>
            <w:tcW w:w="110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2015年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企业总收入（亿元）</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2926</w:t>
            </w:r>
          </w:p>
        </w:tc>
        <w:tc>
          <w:tcPr>
            <w:tcW w:w="115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3810</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5006</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6517</w:t>
            </w:r>
          </w:p>
        </w:tc>
        <w:tc>
          <w:tcPr>
            <w:tcW w:w="109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8526</w:t>
            </w:r>
          </w:p>
        </w:tc>
        <w:tc>
          <w:tcPr>
            <w:tcW w:w="110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10062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工业总产值（亿元）</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1051</w:t>
            </w:r>
          </w:p>
        </w:tc>
        <w:tc>
          <w:tcPr>
            <w:tcW w:w="115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1301</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1669</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1806</w:t>
            </w:r>
          </w:p>
        </w:tc>
        <w:tc>
          <w:tcPr>
            <w:tcW w:w="109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2011</w:t>
            </w:r>
          </w:p>
        </w:tc>
        <w:tc>
          <w:tcPr>
            <w:tcW w:w="110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工业增加值（亿元）</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325</w:t>
            </w:r>
          </w:p>
        </w:tc>
        <w:tc>
          <w:tcPr>
            <w:tcW w:w="115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365</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510</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603</w:t>
            </w:r>
          </w:p>
        </w:tc>
        <w:tc>
          <w:tcPr>
            <w:tcW w:w="109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603</w:t>
            </w:r>
          </w:p>
        </w:tc>
        <w:tc>
          <w:tcPr>
            <w:tcW w:w="110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全口径财政收入（亿元）</w:t>
            </w:r>
          </w:p>
        </w:tc>
        <w:tc>
          <w:tcPr>
            <w:tcW w:w="1110"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97</w:t>
            </w:r>
          </w:p>
        </w:tc>
        <w:tc>
          <w:tcPr>
            <w:tcW w:w="1155"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134</w:t>
            </w:r>
          </w:p>
        </w:tc>
        <w:tc>
          <w:tcPr>
            <w:tcW w:w="1110"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191</w:t>
            </w:r>
          </w:p>
        </w:tc>
        <w:tc>
          <w:tcPr>
            <w:tcW w:w="1110"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235</w:t>
            </w:r>
          </w:p>
        </w:tc>
        <w:tc>
          <w:tcPr>
            <w:tcW w:w="1095"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277</w:t>
            </w:r>
          </w:p>
        </w:tc>
        <w:tc>
          <w:tcPr>
            <w:tcW w:w="1108" w:type="dxa"/>
            <w:tcBorders>
              <w:tl2br w:val="nil"/>
              <w:tr2bl w:val="nil"/>
            </w:tcBorders>
            <w:vAlign w:val="top"/>
          </w:tcPr>
          <w:p>
            <w:pPr>
              <w:rPr>
                <w:rFonts w:hint="default" w:ascii="宋体" w:hAnsi="宋体" w:eastAsia="宋体"/>
                <w:sz w:val="15"/>
                <w:szCs w:val="15"/>
                <w:highlight w:val="none"/>
                <w:vertAlign w:val="baseline"/>
                <w:lang w:val="en-US" w:eastAsia="zh-CN"/>
              </w:rPr>
            </w:pPr>
            <w:r>
              <w:rPr>
                <w:rFonts w:hint="eastAsia" w:ascii="宋体" w:hAnsi="宋体" w:eastAsia="宋体"/>
                <w:sz w:val="15"/>
                <w:szCs w:val="15"/>
                <w:highlight w:val="none"/>
                <w:vertAlign w:val="baseline"/>
                <w:lang w:val="en-US" w:eastAsia="zh-CN"/>
              </w:rPr>
              <w:t>222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35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固定资产投资（亿元）</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314</w:t>
            </w:r>
          </w:p>
        </w:tc>
        <w:tc>
          <w:tcPr>
            <w:tcW w:w="115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355</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444</w:t>
            </w:r>
          </w:p>
        </w:tc>
        <w:tc>
          <w:tcPr>
            <w:tcW w:w="11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534</w:t>
            </w:r>
          </w:p>
        </w:tc>
        <w:tc>
          <w:tcPr>
            <w:tcW w:w="109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626</w:t>
            </w:r>
          </w:p>
        </w:tc>
        <w:tc>
          <w:tcPr>
            <w:tcW w:w="110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801</w:t>
            </w:r>
          </w:p>
        </w:tc>
      </w:tr>
    </w:tbl>
    <w:p>
      <w:pPr>
        <w:jc w:val="both"/>
        <w:rPr>
          <w:rFonts w:hint="eastAsia" w:ascii="楷体" w:hAnsi="楷体" w:eastAsia="楷体" w:cs="楷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2.2城市交通现状</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highlight w:val="none"/>
          <w:lang w:eastAsia="zh-CN"/>
        </w:rPr>
        <w:t>东湖</w:t>
      </w:r>
      <w:r>
        <w:rPr>
          <w:rFonts w:hint="eastAsia" w:ascii="宋体" w:hAnsi="宋体" w:eastAsia="宋体"/>
          <w:sz w:val="21"/>
          <w:szCs w:val="21"/>
        </w:rPr>
        <w:t>老城区建设较为完善，</w:t>
      </w:r>
      <w:r>
        <w:rPr>
          <w:rFonts w:hint="eastAsia" w:ascii="宋体" w:hAnsi="宋体" w:eastAsia="宋体"/>
          <w:sz w:val="21"/>
          <w:szCs w:val="21"/>
          <w:highlight w:val="none"/>
          <w:lang w:eastAsia="zh-CN"/>
        </w:rPr>
        <w:t>但</w:t>
      </w:r>
      <w:r>
        <w:rPr>
          <w:rFonts w:hint="eastAsia" w:ascii="宋体" w:hAnsi="宋体" w:eastAsia="宋体"/>
          <w:sz w:val="21"/>
          <w:szCs w:val="21"/>
        </w:rPr>
        <w:t>存在部分老旧小区路网密度偏低，仅为3.8km</w:t>
      </w:r>
      <w:r>
        <w:rPr>
          <w:rFonts w:ascii="宋体" w:hAnsi="宋体" w:eastAsia="宋体"/>
          <w:sz w:val="21"/>
          <w:szCs w:val="21"/>
        </w:rPr>
        <w:t>/km</w:t>
      </w:r>
      <w:r>
        <w:rPr>
          <w:rFonts w:hint="eastAsia" w:ascii="宋体" w:hAnsi="宋体" w:eastAsia="宋体"/>
          <w:sz w:val="21"/>
          <w:szCs w:val="21"/>
          <w:vertAlign w:val="superscript"/>
        </w:rPr>
        <w:t>2</w:t>
      </w:r>
      <w:r>
        <w:rPr>
          <w:rFonts w:hint="eastAsia" w:ascii="宋体" w:hAnsi="宋体" w:eastAsia="宋体"/>
          <w:sz w:val="21"/>
          <w:szCs w:val="21"/>
        </w:rPr>
        <w:t>，交通流时空分布不均</w:t>
      </w:r>
      <w:r>
        <w:rPr>
          <w:rFonts w:hint="eastAsia" w:ascii="宋体" w:hAnsi="宋体" w:eastAsia="宋体"/>
          <w:sz w:val="21"/>
          <w:szCs w:val="21"/>
          <w:lang w:eastAsia="zh-CN"/>
        </w:rPr>
        <w:t>，</w:t>
      </w:r>
      <w:r>
        <w:rPr>
          <w:rFonts w:hint="eastAsia" w:ascii="宋体" w:hAnsi="宋体" w:eastAsia="宋体"/>
          <w:sz w:val="21"/>
          <w:szCs w:val="21"/>
        </w:rPr>
        <w:t>高峰时段拥堵严重</w:t>
      </w:r>
      <w:r>
        <w:rPr>
          <w:rFonts w:hint="eastAsia" w:ascii="宋体" w:hAnsi="宋体" w:eastAsia="宋体"/>
          <w:sz w:val="21"/>
          <w:szCs w:val="21"/>
          <w:lang w:eastAsia="zh-CN"/>
        </w:rPr>
        <w:t>，</w:t>
      </w:r>
      <w:r>
        <w:rPr>
          <w:rFonts w:hint="eastAsia" w:ascii="宋体" w:hAnsi="宋体" w:eastAsia="宋体"/>
          <w:sz w:val="21"/>
          <w:szCs w:val="21"/>
          <w:lang w:val="en-US" w:eastAsia="zh-CN"/>
        </w:rPr>
        <w:t>与</w:t>
      </w:r>
      <w:r>
        <w:rPr>
          <w:rFonts w:hint="eastAsia" w:ascii="宋体" w:hAnsi="宋体" w:eastAsia="宋体"/>
          <w:sz w:val="21"/>
          <w:szCs w:val="21"/>
        </w:rPr>
        <w:t>规范</w:t>
      </w:r>
      <w:r>
        <w:rPr>
          <w:rFonts w:hint="eastAsia" w:ascii="宋体" w:hAnsi="宋体" w:eastAsia="宋体"/>
          <w:sz w:val="21"/>
          <w:szCs w:val="21"/>
          <w:lang w:val="en-US" w:eastAsia="zh-CN"/>
        </w:rPr>
        <w:t>比</w:t>
      </w:r>
      <w:r>
        <w:rPr>
          <w:rFonts w:hint="eastAsia" w:ascii="宋体" w:hAnsi="宋体" w:eastAsia="宋体"/>
          <w:sz w:val="21"/>
          <w:szCs w:val="21"/>
        </w:rPr>
        <w:t>有较大差距；新建小区较多，用地开发性质单一。</w:t>
      </w:r>
      <w:r>
        <w:rPr>
          <w:rFonts w:hint="eastAsia" w:ascii="宋体" w:hAnsi="宋体" w:eastAsia="宋体"/>
          <w:sz w:val="21"/>
          <w:szCs w:val="21"/>
          <w:lang w:val="en-US" w:eastAsia="zh-CN"/>
        </w:rPr>
        <w:t>东湖高新区内现状共有四条高快速路、十二条城市主干道。其中三环线以西的区域道路形成状况较好，对外交通有沪蓉高速、城市外环线、三环线穿过，与国家高速骨架系统衔接紧密。</w:t>
      </w:r>
      <w:r>
        <w:rPr>
          <w:rFonts w:hint="eastAsia" w:ascii="宋体" w:hAnsi="宋体" w:eastAsia="宋体"/>
          <w:sz w:val="21"/>
          <w:szCs w:val="21"/>
          <w:highlight w:val="none"/>
          <w:lang w:val="en-US" w:eastAsia="zh-CN"/>
        </w:rPr>
        <w:t>公交线网密度低于规范要求，公交服</w:t>
      </w:r>
      <w:r>
        <w:rPr>
          <w:rFonts w:hint="eastAsia" w:ascii="宋体" w:hAnsi="宋体" w:eastAsia="宋体"/>
          <w:sz w:val="21"/>
          <w:szCs w:val="21"/>
          <w:lang w:val="en-US" w:eastAsia="zh-CN"/>
        </w:rPr>
        <w:t>务范围受限。</w:t>
      </w: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2.3城市停车现状</w:t>
      </w:r>
    </w:p>
    <w:p>
      <w:pPr>
        <w:ind w:firstLine="420" w:firstLineChars="200"/>
        <w:rPr>
          <w:rFonts w:hint="eastAsia" w:ascii="宋体" w:hAnsi="宋体" w:eastAsia="宋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r>
        <w:rPr>
          <w:rFonts w:hint="eastAsia" w:ascii="宋体" w:hAnsi="宋体" w:eastAsia="宋体"/>
          <w:sz w:val="21"/>
          <w:szCs w:val="21"/>
          <w:highlight w:val="none"/>
          <w:lang w:val="en-US" w:eastAsia="zh-CN"/>
        </w:rPr>
        <w:t>经调查，旧住宅区停车泊位配建不足，新建小区泊位配建充足，</w:t>
      </w:r>
      <w:r>
        <w:rPr>
          <w:rFonts w:hint="eastAsia" w:ascii="宋体" w:hAnsi="宋体" w:eastAsia="宋体"/>
          <w:color w:val="auto"/>
          <w:sz w:val="21"/>
          <w:szCs w:val="21"/>
          <w:lang w:val="en-US" w:eastAsia="zh-CN"/>
        </w:rPr>
        <w:t>办公</w:t>
      </w:r>
      <w:r>
        <w:rPr>
          <w:rFonts w:hint="eastAsia" w:ascii="宋体" w:hAnsi="宋体" w:eastAsia="宋体"/>
          <w:sz w:val="21"/>
          <w:szCs w:val="21"/>
          <w:highlight w:val="none"/>
          <w:u w:val="none"/>
          <w:lang w:val="en-US" w:eastAsia="zh-CN"/>
        </w:rPr>
        <w:t>、</w:t>
      </w:r>
      <w:r>
        <w:rPr>
          <w:rFonts w:hint="eastAsia" w:ascii="宋体" w:hAnsi="宋体" w:eastAsia="宋体"/>
          <w:sz w:val="21"/>
          <w:szCs w:val="21"/>
          <w:lang w:val="en-US" w:eastAsia="zh-CN"/>
        </w:rPr>
        <w:t>商业高峰停车时刻泊位比较紧张。东湖高新路内停车泊位总数为2810个，已建成三个公共停车场，共1931个停车泊位，在建三个公共停车场共1306个停车泊位。如表2所示。</w:t>
      </w:r>
    </w:p>
    <w:p>
      <w:pPr>
        <w:ind w:firstLine="420" w:firstLineChars="200"/>
        <w:rPr>
          <w:rFonts w:hint="eastAsia" w:ascii="宋体" w:hAnsi="宋体" w:eastAsia="宋体"/>
          <w:sz w:val="21"/>
          <w:szCs w:val="21"/>
          <w:lang w:val="en-US" w:eastAsia="zh-CN"/>
        </w:rPr>
      </w:pPr>
    </w:p>
    <w:p>
      <w:pPr>
        <w:ind w:firstLine="360" w:firstLineChars="20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表2东湖高新区公共停车统计表</w:t>
      </w:r>
    </w:p>
    <w:tbl>
      <w:tblPr>
        <w:tblStyle w:val="7"/>
        <w:tblW w:w="7240" w:type="dxa"/>
        <w:jc w:val="center"/>
        <w:tblInd w:w="-1084"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10"/>
        <w:gridCol w:w="33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lang w:val="en-US" w:eastAsia="zh-CN"/>
              </w:rPr>
              <w:t>泊位数（个）</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高新大道公共停车场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教育中路公共停车场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912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汤逊湖北路公共停车场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明玉路公共停车场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454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4"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湖口二路公共停车场</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325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120" w:hRule="atLeast"/>
          <w:jc w:val="center"/>
        </w:trPr>
        <w:tc>
          <w:tcPr>
            <w:tcW w:w="391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武汉市光谷奥林匹克公园公共停车场（一期）</w:t>
            </w:r>
          </w:p>
        </w:tc>
        <w:tc>
          <w:tcPr>
            <w:tcW w:w="333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527</w:t>
            </w:r>
          </w:p>
        </w:tc>
      </w:tr>
    </w:tbl>
    <w:p>
      <w:pPr>
        <w:rPr>
          <w:rFonts w:hint="eastAsia" w:ascii="黑体" w:hAnsi="黑体" w:eastAsia="黑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pPr>
    </w:p>
    <w:p>
      <w:pPr>
        <w:rPr>
          <w:rFonts w:ascii="黑体" w:hAnsi="黑体" w:eastAsia="黑体"/>
          <w:sz w:val="28"/>
          <w:szCs w:val="28"/>
          <w:highlight w:val="none"/>
        </w:rPr>
      </w:pPr>
      <w:r>
        <w:rPr>
          <w:rFonts w:hint="eastAsia" w:ascii="黑体" w:hAnsi="黑体" w:eastAsia="黑体"/>
          <w:sz w:val="21"/>
          <w:szCs w:val="21"/>
          <w:lang w:val="en-US" w:eastAsia="zh-CN"/>
        </w:rPr>
        <w:t>3</w:t>
      </w:r>
      <w:r>
        <w:rPr>
          <w:rFonts w:hint="eastAsia" w:ascii="黑体" w:hAnsi="黑体" w:eastAsia="黑体"/>
          <w:sz w:val="21"/>
          <w:szCs w:val="21"/>
          <w:highlight w:val="none"/>
          <w:lang w:val="en-US" w:eastAsia="zh-CN"/>
        </w:rPr>
        <w:t>东湖高新区</w:t>
      </w:r>
      <w:r>
        <w:rPr>
          <w:rFonts w:hint="eastAsia" w:ascii="黑体" w:hAnsi="黑体" w:eastAsia="黑体"/>
          <w:sz w:val="21"/>
          <w:szCs w:val="21"/>
          <w:highlight w:val="none"/>
        </w:rPr>
        <w:t>停车问题分析</w:t>
      </w:r>
      <w:r>
        <w:rPr>
          <w:rFonts w:hint="eastAsia" w:ascii="黑体" w:hAnsi="黑体" w:eastAsia="黑体"/>
          <w:sz w:val="28"/>
          <w:szCs w:val="28"/>
          <w:highlight w:val="none"/>
        </w:rPr>
        <w:t xml:space="preserve"> </w:t>
      </w:r>
    </w:p>
    <w:p>
      <w:pPr>
        <w:ind w:firstLine="420" w:firstLineChars="200"/>
        <w:rPr>
          <w:rFonts w:ascii="宋体" w:hAnsi="宋体" w:eastAsia="宋体"/>
          <w:sz w:val="21"/>
          <w:szCs w:val="21"/>
        </w:rPr>
      </w:pPr>
      <w:r>
        <w:rPr>
          <w:rFonts w:hint="eastAsia" w:ascii="宋体" w:hAnsi="宋体" w:eastAsia="宋体"/>
          <w:sz w:val="21"/>
          <w:szCs w:val="21"/>
        </w:rPr>
        <w:t>根据东湖高新区现状泊位数调查统计，东湖高新区</w:t>
      </w:r>
      <w:r>
        <w:rPr>
          <w:rFonts w:hint="eastAsia" w:ascii="宋体" w:hAnsi="宋体" w:eastAsia="宋体"/>
          <w:sz w:val="21"/>
          <w:szCs w:val="21"/>
          <w:lang w:val="en-US" w:eastAsia="zh-CN"/>
        </w:rPr>
        <w:t>的停车问题主要表现在以下四点：</w:t>
      </w:r>
      <w:r>
        <w:rPr>
          <w:rFonts w:hint="eastAsia" w:ascii="宋体" w:hAnsi="宋体" w:eastAsia="宋体"/>
          <w:sz w:val="21"/>
          <w:szCs w:val="21"/>
        </w:rPr>
        <w:t>（1）总体停车</w:t>
      </w:r>
      <w:r>
        <w:rPr>
          <w:rFonts w:hint="eastAsia" w:ascii="宋体" w:hAnsi="宋体" w:eastAsia="宋体"/>
          <w:sz w:val="21"/>
          <w:szCs w:val="21"/>
          <w:highlight w:val="none"/>
          <w:lang w:eastAsia="zh-CN"/>
        </w:rPr>
        <w:t>泊位</w:t>
      </w:r>
      <w:r>
        <w:rPr>
          <w:rFonts w:hint="eastAsia" w:ascii="宋体" w:hAnsi="宋体" w:eastAsia="宋体"/>
          <w:sz w:val="21"/>
          <w:szCs w:val="21"/>
        </w:rPr>
        <w:t>缺口较大，</w:t>
      </w:r>
      <w:r>
        <w:rPr>
          <w:rFonts w:hint="eastAsia" w:ascii="宋体" w:hAnsi="宋体" w:eastAsia="宋体"/>
          <w:sz w:val="21"/>
          <w:szCs w:val="21"/>
          <w:lang w:val="en-US" w:eastAsia="zh-CN"/>
        </w:rPr>
        <w:t>局部停车矛盾突出。</w:t>
      </w:r>
      <w:r>
        <w:rPr>
          <w:rFonts w:hint="eastAsia" w:ascii="宋体" w:hAnsi="宋体" w:eastAsia="宋体"/>
          <w:sz w:val="21"/>
          <w:szCs w:val="21"/>
          <w:highlight w:val="none"/>
        </w:rPr>
        <w:t>东湖高新区“停车难”区域主要分布在</w:t>
      </w:r>
      <w:r>
        <w:rPr>
          <w:rFonts w:hint="eastAsia" w:ascii="宋体" w:hAnsi="宋体" w:eastAsia="宋体"/>
          <w:sz w:val="21"/>
          <w:szCs w:val="21"/>
          <w:highlight w:val="none"/>
          <w:lang w:val="en-US" w:eastAsia="zh-CN"/>
        </w:rPr>
        <w:t>商业圈</w:t>
      </w:r>
      <w:r>
        <w:rPr>
          <w:rFonts w:hint="eastAsia" w:ascii="宋体" w:hAnsi="宋体" w:eastAsia="宋体"/>
          <w:sz w:val="21"/>
          <w:szCs w:val="21"/>
          <w:highlight w:val="none"/>
        </w:rPr>
        <w:t>、医院、旧</w:t>
      </w:r>
      <w:r>
        <w:rPr>
          <w:rFonts w:hint="eastAsia" w:ascii="宋体" w:hAnsi="宋体" w:eastAsia="宋体"/>
          <w:sz w:val="21"/>
          <w:szCs w:val="21"/>
          <w:highlight w:val="none"/>
          <w:lang w:val="en-US" w:eastAsia="zh-CN"/>
        </w:rPr>
        <w:t>社</w:t>
      </w:r>
      <w:r>
        <w:rPr>
          <w:rFonts w:hint="eastAsia" w:ascii="宋体" w:hAnsi="宋体" w:eastAsia="宋体"/>
          <w:sz w:val="21"/>
          <w:szCs w:val="21"/>
          <w:highlight w:val="none"/>
        </w:rPr>
        <w:t>区、学校和企业单位周边</w:t>
      </w:r>
      <w:r>
        <w:rPr>
          <w:rFonts w:hint="eastAsia" w:ascii="宋体" w:hAnsi="宋体" w:eastAsia="宋体"/>
          <w:sz w:val="21"/>
          <w:szCs w:val="21"/>
          <w:highlight w:val="none"/>
          <w:lang w:eastAsia="zh-CN"/>
        </w:rPr>
        <w:t>；</w:t>
      </w:r>
      <w:r>
        <w:rPr>
          <w:rFonts w:hint="eastAsia" w:ascii="宋体" w:hAnsi="宋体" w:eastAsia="宋体"/>
          <w:sz w:val="21"/>
          <w:szCs w:val="21"/>
        </w:rPr>
        <w:t>（2）东湖高新区存在住宅小区地下车位售价或租赁费用较高，小区内部地面停车和小区周边路内停车收费价格较低的现象，同时，相关部门管理</w:t>
      </w:r>
      <w:r>
        <w:rPr>
          <w:rFonts w:hint="eastAsia" w:ascii="宋体" w:hAnsi="宋体" w:eastAsia="宋体"/>
          <w:sz w:val="21"/>
          <w:szCs w:val="21"/>
          <w:lang w:val="en-US" w:eastAsia="zh-CN"/>
        </w:rPr>
        <w:t>问题</w:t>
      </w:r>
      <w:r>
        <w:rPr>
          <w:rFonts w:hint="eastAsia" w:ascii="宋体" w:hAnsi="宋体" w:eastAsia="宋体"/>
          <w:sz w:val="21"/>
          <w:szCs w:val="21"/>
        </w:rPr>
        <w:t>，导致住宅小区内外停车比较混乱，侵犯公众利益、违停现象比较突出</w:t>
      </w:r>
      <w:r>
        <w:rPr>
          <w:rFonts w:hint="eastAsia" w:ascii="宋体" w:hAnsi="宋体" w:eastAsia="宋体"/>
          <w:sz w:val="21"/>
          <w:szCs w:val="21"/>
          <w:lang w:eastAsia="zh-CN"/>
        </w:rPr>
        <w:t>；</w:t>
      </w:r>
      <w:r>
        <w:rPr>
          <w:rFonts w:hint="eastAsia" w:ascii="宋体" w:hAnsi="宋体" w:eastAsia="宋体"/>
          <w:sz w:val="21"/>
          <w:szCs w:val="21"/>
        </w:rPr>
        <w:t>（</w:t>
      </w:r>
      <w:r>
        <w:rPr>
          <w:rFonts w:hint="eastAsia" w:ascii="宋体" w:hAnsi="宋体" w:eastAsia="宋体"/>
          <w:sz w:val="21"/>
          <w:szCs w:val="21"/>
          <w:lang w:val="en-US" w:eastAsia="zh-CN"/>
        </w:rPr>
        <w:t>3</w:t>
      </w:r>
      <w:r>
        <w:rPr>
          <w:rFonts w:hint="eastAsia" w:ascii="宋体" w:hAnsi="宋体" w:eastAsia="宋体"/>
          <w:sz w:val="21"/>
          <w:szCs w:val="21"/>
        </w:rPr>
        <w:t>）公共停车场选址不科学，难以保证公共停车场需求量</w:t>
      </w:r>
      <w:r>
        <w:rPr>
          <w:rFonts w:hint="eastAsia" w:ascii="宋体" w:hAnsi="宋体" w:eastAsia="宋体"/>
          <w:sz w:val="21"/>
          <w:szCs w:val="21"/>
          <w:lang w:eastAsia="zh-CN"/>
        </w:rPr>
        <w:t>。</w:t>
      </w:r>
      <w:r>
        <w:rPr>
          <w:rFonts w:hint="eastAsia" w:ascii="宋体" w:hAnsi="宋体" w:eastAsia="宋体"/>
          <w:sz w:val="21"/>
          <w:szCs w:val="21"/>
          <w:highlight w:val="none"/>
          <w:lang w:eastAsia="zh-CN"/>
        </w:rPr>
        <w:t>有的</w:t>
      </w:r>
      <w:r>
        <w:rPr>
          <w:rFonts w:hint="eastAsia" w:ascii="宋体" w:hAnsi="宋体" w:eastAsia="宋体"/>
          <w:sz w:val="21"/>
          <w:szCs w:val="21"/>
        </w:rPr>
        <w:t>公共停车场距离太远，</w:t>
      </w:r>
      <w:r>
        <w:rPr>
          <w:rFonts w:hint="eastAsia" w:ascii="宋体" w:hAnsi="宋体" w:eastAsia="宋体"/>
          <w:sz w:val="21"/>
          <w:szCs w:val="21"/>
          <w:lang w:val="en-US" w:eastAsia="zh-CN"/>
        </w:rPr>
        <w:t>导致</w:t>
      </w:r>
      <w:r>
        <w:rPr>
          <w:rFonts w:hint="eastAsia" w:ascii="宋体" w:hAnsi="宋体" w:eastAsia="宋体"/>
          <w:sz w:val="21"/>
          <w:szCs w:val="21"/>
        </w:rPr>
        <w:t>公共停车场利用率不够，难以达到预期的效果</w:t>
      </w:r>
      <w:r>
        <w:rPr>
          <w:rFonts w:hint="eastAsia" w:ascii="宋体" w:hAnsi="宋体" w:eastAsia="宋体"/>
          <w:sz w:val="21"/>
          <w:szCs w:val="21"/>
          <w:lang w:eastAsia="zh-CN"/>
        </w:rPr>
        <w:t>；</w:t>
      </w:r>
      <w:r>
        <w:rPr>
          <w:rFonts w:hint="eastAsia" w:ascii="宋体" w:hAnsi="宋体" w:eastAsia="宋体"/>
          <w:sz w:val="21"/>
          <w:szCs w:val="21"/>
        </w:rPr>
        <w:t>（</w:t>
      </w:r>
      <w:r>
        <w:rPr>
          <w:rFonts w:hint="eastAsia" w:ascii="宋体" w:hAnsi="宋体" w:eastAsia="宋体"/>
          <w:sz w:val="21"/>
          <w:szCs w:val="21"/>
          <w:lang w:val="en-US" w:eastAsia="zh-CN"/>
        </w:rPr>
        <w:t>4</w:t>
      </w:r>
      <w:r>
        <w:rPr>
          <w:rFonts w:hint="eastAsia" w:ascii="宋体" w:hAnsi="宋体" w:eastAsia="宋体"/>
          <w:sz w:val="21"/>
          <w:szCs w:val="21"/>
        </w:rPr>
        <w:t>）当前东湖高新区公共停车场建设主要依赖于政府投资，</w:t>
      </w:r>
      <w:r>
        <w:rPr>
          <w:rFonts w:hint="eastAsia" w:ascii="宋体" w:hAnsi="宋体" w:eastAsia="宋体"/>
          <w:sz w:val="21"/>
          <w:szCs w:val="21"/>
          <w:u w:val="none"/>
        </w:rPr>
        <w:t>对社会资金</w:t>
      </w:r>
      <w:r>
        <w:rPr>
          <w:rFonts w:hint="eastAsia" w:ascii="宋体" w:hAnsi="宋体" w:eastAsia="宋体"/>
          <w:sz w:val="21"/>
          <w:szCs w:val="21"/>
        </w:rPr>
        <w:t>吸引力不足。</w:t>
      </w:r>
    </w:p>
    <w:p>
      <w:pPr>
        <w:rPr>
          <w:rFonts w:ascii="宋体" w:hAnsi="宋体" w:eastAsia="宋体"/>
          <w:sz w:val="21"/>
          <w:szCs w:val="21"/>
        </w:rPr>
      </w:pPr>
      <w:r>
        <w:rPr>
          <w:rFonts w:hint="eastAsia" w:ascii="黑体" w:hAnsi="黑体" w:eastAsia="黑体"/>
          <w:sz w:val="21"/>
          <w:szCs w:val="21"/>
          <w:lang w:val="en-US" w:eastAsia="zh-CN"/>
        </w:rPr>
        <w:t>4东湖高新</w:t>
      </w:r>
      <w:r>
        <w:rPr>
          <w:rFonts w:hint="eastAsia" w:ascii="黑体" w:hAnsi="黑体" w:eastAsia="黑体"/>
          <w:sz w:val="21"/>
          <w:szCs w:val="21"/>
        </w:rPr>
        <w:t>区</w:t>
      </w:r>
      <w:r>
        <w:rPr>
          <w:rFonts w:hint="eastAsia" w:ascii="黑体" w:hAnsi="黑体" w:eastAsia="黑体"/>
          <w:sz w:val="21"/>
          <w:szCs w:val="21"/>
          <w:lang w:val="en-US" w:eastAsia="zh-CN"/>
        </w:rPr>
        <w:t>公共</w:t>
      </w:r>
      <w:r>
        <w:rPr>
          <w:rFonts w:hint="eastAsia" w:ascii="黑体" w:hAnsi="黑体" w:eastAsia="黑体"/>
          <w:sz w:val="21"/>
          <w:szCs w:val="21"/>
        </w:rPr>
        <w:t>停车</w:t>
      </w:r>
      <w:r>
        <w:rPr>
          <w:rFonts w:hint="eastAsia" w:ascii="黑体" w:hAnsi="黑体" w:eastAsia="黑体"/>
          <w:sz w:val="21"/>
          <w:szCs w:val="21"/>
          <w:lang w:val="en-US" w:eastAsia="zh-CN"/>
        </w:rPr>
        <w:t>场</w:t>
      </w:r>
      <w:r>
        <w:rPr>
          <w:rFonts w:hint="eastAsia" w:ascii="黑体" w:hAnsi="黑体" w:eastAsia="黑体"/>
          <w:sz w:val="21"/>
          <w:szCs w:val="21"/>
        </w:rPr>
        <w:t>需求分析</w:t>
      </w:r>
    </w:p>
    <w:p>
      <w:pPr>
        <w:ind w:firstLine="420" w:firstLineChars="200"/>
        <w:rPr>
          <w:rFonts w:hint="eastAsia" w:ascii="宋体" w:hAnsi="宋体" w:eastAsia="宋体"/>
          <w:sz w:val="21"/>
          <w:szCs w:val="21"/>
        </w:rPr>
      </w:pPr>
      <w:r>
        <w:rPr>
          <w:rFonts w:hint="eastAsia" w:ascii="宋体" w:hAnsi="宋体" w:eastAsia="宋体"/>
          <w:sz w:val="21"/>
          <w:szCs w:val="21"/>
          <w:lang w:val="en-US" w:eastAsia="zh-CN"/>
        </w:rPr>
        <w:t>纵观国内外大城市停车行业基本呈现三个发展阶段：初期重视建设项目的停车配件甚至无配建，伴随机动化快速增长停车泊位供需失衡，甚至影响城市正常交通运行；中期新建项目大力提高配建指标，采取下限控制，老城区大量建设公共停车场，增加泊位供给，弥补历史欠账；后期随着城市机动化发展到临界值，采取</w:t>
      </w:r>
      <w:r>
        <w:rPr>
          <w:rFonts w:hint="eastAsia" w:ascii="宋体" w:hAnsi="宋体" w:eastAsia="宋体"/>
          <w:sz w:val="21"/>
          <w:szCs w:val="21"/>
          <w:highlight w:val="none"/>
          <w:lang w:val="en-US" w:eastAsia="zh-CN"/>
        </w:rPr>
        <w:t>控制交通需求手段，停车泊位开始限制供给，停止建设公共停车场，新建项目停车配建指标采取上限控制。</w:t>
      </w:r>
      <w:r>
        <w:rPr>
          <w:rFonts w:hint="eastAsia" w:ascii="宋体" w:hAnsi="宋体" w:eastAsia="宋体"/>
          <w:sz w:val="21"/>
          <w:szCs w:val="21"/>
          <w:highlight w:val="none"/>
        </w:rPr>
        <w:t>目前东湖</w:t>
      </w:r>
      <w:r>
        <w:rPr>
          <w:rFonts w:hint="eastAsia" w:ascii="宋体" w:hAnsi="宋体" w:eastAsia="宋体"/>
          <w:sz w:val="21"/>
          <w:szCs w:val="21"/>
          <w:highlight w:val="none"/>
          <w:lang w:val="en-US" w:eastAsia="zh-CN"/>
        </w:rPr>
        <w:t>高新</w:t>
      </w:r>
      <w:r>
        <w:rPr>
          <w:rFonts w:hint="eastAsia" w:ascii="宋体" w:hAnsi="宋体" w:eastAsia="宋体"/>
          <w:sz w:val="21"/>
          <w:szCs w:val="21"/>
          <w:highlight w:val="none"/>
        </w:rPr>
        <w:t>区停车</w:t>
      </w:r>
      <w:r>
        <w:rPr>
          <w:rFonts w:hint="eastAsia" w:ascii="宋体" w:hAnsi="宋体" w:eastAsia="宋体"/>
          <w:sz w:val="21"/>
          <w:szCs w:val="21"/>
          <w:highlight w:val="none"/>
          <w:lang w:eastAsia="zh-CN"/>
        </w:rPr>
        <w:t>需求</w:t>
      </w:r>
      <w:r>
        <w:rPr>
          <w:rFonts w:hint="eastAsia" w:ascii="宋体" w:hAnsi="宋体" w:eastAsia="宋体"/>
          <w:sz w:val="21"/>
          <w:szCs w:val="21"/>
        </w:rPr>
        <w:t>发展已经到了第三阶段，应当充分重视停车问题，</w:t>
      </w:r>
      <w:r>
        <w:rPr>
          <w:rFonts w:hint="eastAsia" w:ascii="宋体" w:hAnsi="宋体" w:eastAsia="宋体"/>
          <w:sz w:val="21"/>
          <w:szCs w:val="21"/>
          <w:lang w:val="en-US" w:eastAsia="zh-CN"/>
        </w:rPr>
        <w:t>在</w:t>
      </w:r>
      <w:r>
        <w:rPr>
          <w:rFonts w:hint="eastAsia" w:ascii="宋体" w:hAnsi="宋体" w:eastAsia="宋体"/>
          <w:sz w:val="21"/>
          <w:szCs w:val="21"/>
        </w:rPr>
        <w:t>解决停车问题的同时，</w:t>
      </w:r>
      <w:r>
        <w:rPr>
          <w:rFonts w:hint="eastAsia" w:ascii="宋体" w:hAnsi="宋体" w:eastAsia="宋体"/>
          <w:sz w:val="21"/>
          <w:szCs w:val="21"/>
          <w:lang w:val="en-US" w:eastAsia="zh-CN"/>
        </w:rPr>
        <w:t>鼓励市民乘坐</w:t>
      </w:r>
      <w:r>
        <w:rPr>
          <w:rFonts w:hint="eastAsia" w:ascii="宋体" w:hAnsi="宋体" w:eastAsia="宋体"/>
          <w:sz w:val="21"/>
          <w:szCs w:val="21"/>
        </w:rPr>
        <w:t>公共交通</w:t>
      </w:r>
      <w:r>
        <w:rPr>
          <w:rFonts w:hint="eastAsia" w:ascii="宋体" w:hAnsi="宋体" w:eastAsia="宋体"/>
          <w:sz w:val="21"/>
          <w:szCs w:val="21"/>
          <w:highlight w:val="none"/>
        </w:rPr>
        <w:t>，</w:t>
      </w:r>
      <w:r>
        <w:rPr>
          <w:rFonts w:hint="eastAsia" w:ascii="宋体" w:hAnsi="宋体" w:eastAsia="宋体"/>
          <w:sz w:val="21"/>
          <w:szCs w:val="21"/>
          <w:highlight w:val="none"/>
          <w:u w:val="none"/>
          <w:lang w:eastAsia="zh-CN"/>
        </w:rPr>
        <w:t>从</w:t>
      </w:r>
      <w:r>
        <w:rPr>
          <w:rFonts w:hint="eastAsia" w:ascii="宋体" w:hAnsi="宋体" w:eastAsia="宋体"/>
          <w:sz w:val="21"/>
          <w:szCs w:val="21"/>
          <w:highlight w:val="none"/>
        </w:rPr>
        <w:t>长远</w:t>
      </w:r>
      <w:r>
        <w:rPr>
          <w:rFonts w:hint="eastAsia" w:ascii="宋体" w:hAnsi="宋体" w:eastAsia="宋体"/>
          <w:sz w:val="21"/>
          <w:szCs w:val="21"/>
          <w:highlight w:val="none"/>
          <w:lang w:eastAsia="zh-CN"/>
        </w:rPr>
        <w:t>看</w:t>
      </w:r>
      <w:r>
        <w:rPr>
          <w:rFonts w:hint="eastAsia" w:ascii="宋体" w:hAnsi="宋体" w:eastAsia="宋体"/>
          <w:sz w:val="21"/>
          <w:szCs w:val="21"/>
          <w:highlight w:val="none"/>
        </w:rPr>
        <w:t>要</w:t>
      </w:r>
      <w:r>
        <w:rPr>
          <w:rFonts w:hint="eastAsia" w:ascii="宋体" w:hAnsi="宋体" w:eastAsia="宋体"/>
          <w:sz w:val="21"/>
          <w:szCs w:val="21"/>
          <w:highlight w:val="none"/>
          <w:u w:val="none"/>
          <w:lang w:eastAsia="zh-CN"/>
        </w:rPr>
        <w:t>转变</w:t>
      </w:r>
      <w:r>
        <w:rPr>
          <w:rFonts w:hint="eastAsia" w:ascii="宋体" w:hAnsi="宋体" w:eastAsia="宋体"/>
          <w:sz w:val="21"/>
          <w:szCs w:val="21"/>
          <w:highlight w:val="none"/>
        </w:rPr>
        <w:t>“充分满足需求”到“停车需求管理”</w:t>
      </w:r>
      <w:r>
        <w:rPr>
          <w:rFonts w:hint="eastAsia" w:ascii="宋体" w:hAnsi="宋体" w:eastAsia="宋体"/>
          <w:sz w:val="21"/>
          <w:szCs w:val="21"/>
          <w:highlight w:val="none"/>
          <w:lang w:eastAsia="zh-CN"/>
        </w:rPr>
        <w:t>观念</w:t>
      </w:r>
      <w:r>
        <w:rPr>
          <w:rFonts w:hint="eastAsia" w:ascii="宋体" w:hAnsi="宋体" w:eastAsia="宋体"/>
          <w:sz w:val="21"/>
          <w:szCs w:val="21"/>
        </w:rPr>
        <w:t>。</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公共停车场的建设主要是为了弥补配建停车</w:t>
      </w:r>
      <w:r>
        <w:rPr>
          <w:rFonts w:hint="eastAsia" w:ascii="宋体" w:hAnsi="宋体" w:eastAsia="宋体"/>
          <w:sz w:val="21"/>
          <w:szCs w:val="21"/>
          <w:highlight w:val="none"/>
          <w:u w:val="none"/>
          <w:lang w:val="en-US" w:eastAsia="zh-CN"/>
        </w:rPr>
        <w:t>泊位</w:t>
      </w:r>
      <w:r>
        <w:rPr>
          <w:rFonts w:hint="eastAsia" w:ascii="宋体" w:hAnsi="宋体" w:eastAsia="宋体"/>
          <w:sz w:val="21"/>
          <w:szCs w:val="21"/>
          <w:lang w:val="en-US" w:eastAsia="zh-CN"/>
        </w:rPr>
        <w:t>不足，停车</w:t>
      </w:r>
      <w:r>
        <w:rPr>
          <w:rFonts w:hint="eastAsia" w:ascii="宋体" w:hAnsi="宋体" w:eastAsia="宋体"/>
          <w:sz w:val="21"/>
          <w:szCs w:val="21"/>
          <w:highlight w:val="none"/>
          <w:u w:val="none"/>
          <w:lang w:val="en-US" w:eastAsia="zh-CN"/>
        </w:rPr>
        <w:t>泊位</w:t>
      </w:r>
      <w:r>
        <w:rPr>
          <w:rFonts w:hint="eastAsia" w:ascii="宋体" w:hAnsi="宋体" w:eastAsia="宋体"/>
          <w:sz w:val="21"/>
          <w:szCs w:val="21"/>
          <w:lang w:val="en-US" w:eastAsia="zh-CN"/>
        </w:rPr>
        <w:t>缺口分为建成区存在的缺口和非建成区未来可能产生的缺口</w:t>
      </w:r>
      <w:r>
        <w:rPr>
          <w:rFonts w:hint="eastAsia" w:ascii="宋体" w:hAnsi="宋体" w:eastAsia="宋体"/>
          <w:sz w:val="21"/>
          <w:szCs w:val="21"/>
          <w:highlight w:val="none"/>
          <w:u w:val="none"/>
          <w:lang w:val="en-US" w:eastAsia="zh-CN"/>
        </w:rPr>
        <w:t>。</w:t>
      </w:r>
      <w:r>
        <w:rPr>
          <w:rFonts w:hint="eastAsia" w:ascii="宋体" w:hAnsi="宋体" w:eastAsia="宋体"/>
          <w:sz w:val="21"/>
          <w:szCs w:val="21"/>
          <w:lang w:val="en-US" w:eastAsia="zh-CN"/>
        </w:rPr>
        <w:t>根据</w:t>
      </w:r>
      <w:r>
        <w:rPr>
          <w:rFonts w:hint="eastAsia" w:ascii="宋体" w:hAnsi="宋体" w:eastAsia="宋体"/>
          <w:sz w:val="21"/>
          <w:szCs w:val="21"/>
          <w:highlight w:val="none"/>
          <w:u w:val="none"/>
          <w:lang w:val="en-US" w:eastAsia="zh-CN"/>
        </w:rPr>
        <w:t>这</w:t>
      </w:r>
      <w:r>
        <w:rPr>
          <w:rFonts w:hint="eastAsia" w:ascii="宋体" w:hAnsi="宋体" w:eastAsia="宋体"/>
          <w:sz w:val="21"/>
          <w:szCs w:val="21"/>
          <w:lang w:val="en-US" w:eastAsia="zh-CN"/>
        </w:rPr>
        <w:t>两种缺口定量分析，具体数量</w:t>
      </w:r>
      <w:r>
        <w:rPr>
          <w:rFonts w:hint="eastAsia" w:ascii="宋体" w:hAnsi="宋体" w:eastAsia="宋体"/>
          <w:sz w:val="21"/>
          <w:szCs w:val="21"/>
          <w:highlight w:val="none"/>
          <w:lang w:val="en-US" w:eastAsia="zh-CN"/>
        </w:rPr>
        <w:t>上</w:t>
      </w:r>
      <w:r>
        <w:rPr>
          <w:rFonts w:hint="eastAsia" w:ascii="宋体" w:hAnsi="宋体" w:eastAsia="宋体"/>
          <w:sz w:val="21"/>
          <w:szCs w:val="21"/>
          <w:lang w:val="en-US" w:eastAsia="zh-CN"/>
        </w:rPr>
        <w:t>分别进行研究。</w:t>
      </w:r>
    </w:p>
    <w:p>
      <w:pPr>
        <w:numPr>
          <w:ilvl w:val="0"/>
          <w:numId w:val="1"/>
        </w:num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建成区公共停车场停车缺口已经形成，且基本稳定或者发展可预见性较强</w:t>
      </w:r>
      <w:r>
        <w:rPr>
          <w:rFonts w:hint="eastAsia" w:ascii="宋体" w:hAnsi="宋体" w:eastAsia="宋体"/>
          <w:sz w:val="21"/>
          <w:szCs w:val="21"/>
          <w:highlight w:val="none"/>
          <w:u w:val="none"/>
          <w:lang w:val="en-US" w:eastAsia="zh-CN"/>
        </w:rPr>
        <w:t>。</w:t>
      </w:r>
      <w:r>
        <w:rPr>
          <w:rFonts w:hint="eastAsia" w:ascii="宋体" w:hAnsi="宋体" w:eastAsia="宋体"/>
          <w:sz w:val="21"/>
          <w:szCs w:val="21"/>
          <w:lang w:val="en-US" w:eastAsia="zh-CN"/>
        </w:rPr>
        <w:t>通过实地调查住宅及其他建筑或设施停车缺口，主要通过公共停车场补足，现状泊位共计约为15.6万个，停车缺口约1.78万个。</w:t>
      </w:r>
    </w:p>
    <w:p>
      <w:pPr>
        <w:numPr>
          <w:ilvl w:val="0"/>
          <w:numId w:val="1"/>
        </w:numPr>
        <w:ind w:firstLine="420" w:firstLineChars="200"/>
        <w:rPr>
          <w:rFonts w:hint="default" w:ascii="宋体" w:hAnsi="宋体" w:eastAsia="宋体"/>
          <w:sz w:val="21"/>
          <w:szCs w:val="21"/>
          <w:vertAlign w:val="baseline"/>
          <w:lang w:val="en-US" w:eastAsia="zh-CN"/>
        </w:rPr>
      </w:pPr>
      <w:r>
        <w:rPr>
          <w:rFonts w:hint="eastAsia" w:ascii="宋体" w:hAnsi="宋体" w:eastAsia="宋体"/>
          <w:sz w:val="21"/>
          <w:szCs w:val="21"/>
          <w:highlight w:val="none"/>
          <w:lang w:val="en-US" w:eastAsia="zh-CN"/>
        </w:rPr>
        <w:t>对于非建成区内不同建筑进行分析，预测未来停车需求并计算配建停车泊位数量</w:t>
      </w:r>
      <w:r>
        <w:rPr>
          <w:rFonts w:hint="eastAsia" w:ascii="宋体" w:hAnsi="宋体" w:eastAsia="宋体"/>
          <w:sz w:val="21"/>
          <w:szCs w:val="21"/>
          <w:highlight w:val="none"/>
          <w:u w:val="none"/>
          <w:lang w:val="en-US" w:eastAsia="zh-CN"/>
        </w:rPr>
        <w:t>。</w:t>
      </w:r>
      <w:r>
        <w:rPr>
          <w:rFonts w:hint="eastAsia" w:ascii="宋体" w:hAnsi="宋体" w:eastAsia="宋体"/>
          <w:sz w:val="21"/>
          <w:szCs w:val="21"/>
          <w:highlight w:val="none"/>
          <w:lang w:val="en-US" w:eastAsia="zh-CN"/>
        </w:rPr>
        <w:t>本次规划选取住宅、商业和办公三种情形进行分析。在工作日，停车高峰时段集中在住宅、商业，非工作日购物休闲活动为主，停车时间较长，停车周转率低，一般为一车一位。2020年武汉市机动车保有量将达到208辆/千人，而新城区为310辆/千人，计算出其10000m</w:t>
      </w:r>
      <w:r>
        <w:rPr>
          <w:rFonts w:hint="eastAsia" w:ascii="宋体" w:hAnsi="宋体" w:eastAsia="宋体"/>
          <w:sz w:val="21"/>
          <w:szCs w:val="21"/>
          <w:highlight w:val="none"/>
          <w:vertAlign w:val="superscript"/>
          <w:lang w:val="en-US" w:eastAsia="zh-CN"/>
        </w:rPr>
        <w:t>2</w:t>
      </w:r>
      <w:r>
        <w:rPr>
          <w:rFonts w:hint="eastAsia" w:ascii="宋体" w:hAnsi="宋体" w:eastAsia="宋体"/>
          <w:sz w:val="21"/>
          <w:szCs w:val="21"/>
          <w:highlight w:val="none"/>
          <w:vertAlign w:val="baseline"/>
          <w:lang w:val="en-US" w:eastAsia="zh-CN"/>
        </w:rPr>
        <w:t>的建筑面积内的中心城区配建停车泊位数量为90-100个泊位</w:t>
      </w:r>
      <w:r>
        <w:rPr>
          <w:rFonts w:hint="eastAsia" w:ascii="宋体" w:hAnsi="宋体" w:eastAsia="宋体"/>
          <w:sz w:val="21"/>
          <w:szCs w:val="21"/>
          <w:highlight w:val="none"/>
          <w:u w:val="none"/>
          <w:vertAlign w:val="baseline"/>
          <w:lang w:val="en-US" w:eastAsia="zh-CN"/>
        </w:rPr>
        <w:t>最多</w:t>
      </w:r>
      <w:r>
        <w:rPr>
          <w:rFonts w:hint="eastAsia" w:ascii="宋体" w:hAnsi="宋体" w:eastAsia="宋体"/>
          <w:sz w:val="21"/>
          <w:szCs w:val="21"/>
          <w:highlight w:val="none"/>
          <w:vertAlign w:val="baseline"/>
          <w:lang w:val="en-US" w:eastAsia="zh-CN"/>
        </w:rPr>
        <w:t>120个泊位。在新城区选取不同类型的商业，对其进行停车需求分析，得出各类商业10000m</w:t>
      </w:r>
      <w:r>
        <w:rPr>
          <w:rFonts w:hint="eastAsia" w:ascii="宋体" w:hAnsi="宋体" w:eastAsia="宋体"/>
          <w:sz w:val="21"/>
          <w:szCs w:val="21"/>
          <w:highlight w:val="none"/>
          <w:vertAlign w:val="superscript"/>
          <w:lang w:val="en-US" w:eastAsia="zh-CN"/>
        </w:rPr>
        <w:t>2</w:t>
      </w:r>
      <w:r>
        <w:rPr>
          <w:rFonts w:hint="eastAsia" w:ascii="宋体" w:hAnsi="宋体" w:eastAsia="宋体"/>
          <w:sz w:val="21"/>
          <w:szCs w:val="21"/>
          <w:highlight w:val="none"/>
          <w:vertAlign w:val="baseline"/>
          <w:lang w:val="en-US" w:eastAsia="zh-CN"/>
        </w:rPr>
        <w:t>的建筑面积的停车泊位需求。如表3所示。</w:t>
      </w:r>
    </w:p>
    <w:p>
      <w:pPr>
        <w:numPr>
          <w:ilvl w:val="0"/>
          <w:numId w:val="0"/>
        </w:numPr>
        <w:jc w:val="center"/>
        <w:rPr>
          <w:rFonts w:hint="eastAsia" w:ascii="黑体" w:hAnsi="黑体" w:eastAsia="黑体" w:cs="黑体"/>
          <w:sz w:val="18"/>
          <w:szCs w:val="18"/>
          <w:highlight w:val="none"/>
          <w:vertAlign w:val="baseline"/>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p>
    <w:p>
      <w:pPr>
        <w:numPr>
          <w:ilvl w:val="0"/>
          <w:numId w:val="0"/>
        </w:numPr>
        <w:jc w:val="center"/>
        <w:rPr>
          <w:rFonts w:hint="default" w:ascii="黑体" w:hAnsi="黑体" w:eastAsia="黑体" w:cs="黑体"/>
          <w:sz w:val="18"/>
          <w:szCs w:val="18"/>
          <w:vertAlign w:val="baseline"/>
          <w:lang w:val="en-US" w:eastAsia="zh-CN"/>
        </w:rPr>
      </w:pPr>
      <w:r>
        <w:rPr>
          <w:rFonts w:hint="eastAsia" w:ascii="黑体" w:hAnsi="黑体" w:eastAsia="黑体" w:cs="黑体"/>
          <w:sz w:val="18"/>
          <w:szCs w:val="18"/>
          <w:highlight w:val="none"/>
          <w:vertAlign w:val="baseline"/>
          <w:lang w:val="en-US" w:eastAsia="zh-CN"/>
        </w:rPr>
        <w:t>表3 各类商业高峰时段出行需求</w:t>
      </w:r>
    </w:p>
    <w:tbl>
      <w:tblPr>
        <w:tblStyle w:val="7"/>
        <w:tblW w:w="8388"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946"/>
        <w:gridCol w:w="1304"/>
        <w:gridCol w:w="1223"/>
        <w:gridCol w:w="1119"/>
        <w:gridCol w:w="1200"/>
        <w:gridCol w:w="1258"/>
        <w:gridCol w:w="13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946" w:type="dxa"/>
            <w:tcBorders>
              <w:tl2br w:val="nil"/>
              <w:tr2bl w:val="nil"/>
            </w:tcBorders>
            <w:vAlign w:val="top"/>
          </w:tcPr>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商业类型</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客流发生率（人次/100m</w:t>
            </w:r>
            <w:r>
              <w:rPr>
                <w:rFonts w:hint="eastAsia" w:ascii="宋体" w:hAnsi="宋体" w:eastAsia="宋体"/>
                <w:sz w:val="15"/>
                <w:szCs w:val="15"/>
                <w:vertAlign w:val="superscript"/>
                <w:lang w:val="en-US" w:eastAsia="zh-CN"/>
              </w:rPr>
              <w:t>2</w:t>
            </w:r>
            <w:r>
              <w:rPr>
                <w:rFonts w:hint="eastAsia" w:ascii="宋体" w:hAnsi="宋体" w:eastAsia="宋体"/>
                <w:sz w:val="15"/>
                <w:szCs w:val="15"/>
                <w:vertAlign w:val="baseline"/>
                <w:lang w:val="en-US" w:eastAsia="zh-CN"/>
              </w:rPr>
              <w:t>)</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客流吸引率（人次/100m</w:t>
            </w:r>
            <w:r>
              <w:rPr>
                <w:rFonts w:hint="eastAsia" w:ascii="宋体" w:hAnsi="宋体" w:eastAsia="宋体"/>
                <w:sz w:val="15"/>
                <w:szCs w:val="15"/>
                <w:vertAlign w:val="superscript"/>
                <w:lang w:val="en-US" w:eastAsia="zh-CN"/>
              </w:rPr>
              <w:t>2</w:t>
            </w:r>
            <w:r>
              <w:rPr>
                <w:rFonts w:hint="eastAsia" w:ascii="宋体" w:hAnsi="宋体" w:eastAsia="宋体"/>
                <w:sz w:val="15"/>
                <w:szCs w:val="15"/>
                <w:vertAlign w:val="baseline"/>
                <w:lang w:val="en-US" w:eastAsia="zh-CN"/>
              </w:rPr>
              <w:t>)</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小汽车出行比例</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小汽车发生量(pcu)</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小汽车吸引量(pcu)</w:t>
            </w:r>
          </w:p>
        </w:tc>
        <w:tc>
          <w:tcPr>
            <w:tcW w:w="1338" w:type="dxa"/>
            <w:tcBorders>
              <w:tl2br w:val="nil"/>
              <w:tr2bl w:val="nil"/>
            </w:tcBorders>
            <w:vAlign w:val="top"/>
          </w:tcPr>
          <w:p>
            <w:pPr>
              <w:rPr>
                <w:rFonts w:hint="default" w:ascii="宋体" w:hAnsi="宋体" w:eastAsia="宋体"/>
                <w:sz w:val="15"/>
                <w:szCs w:val="15"/>
                <w:vertAlign w:val="baseline"/>
                <w:lang w:val="en-US"/>
              </w:rPr>
            </w:pPr>
            <w:r>
              <w:rPr>
                <w:rFonts w:hint="eastAsia" w:ascii="宋体" w:hAnsi="宋体" w:eastAsia="宋体"/>
                <w:sz w:val="15"/>
                <w:szCs w:val="15"/>
                <w:vertAlign w:val="baseline"/>
                <w:lang w:val="en-US" w:eastAsia="zh-CN"/>
              </w:rPr>
              <w:t>停车需求(泊位）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946" w:type="dxa"/>
            <w:tcBorders>
              <w:tl2br w:val="nil"/>
              <w:tr2bl w:val="nil"/>
            </w:tcBorders>
            <w:vAlign w:val="top"/>
          </w:tcPr>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大型商场</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15-25</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35-55</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123-205</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286-450</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328-490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308" w:hRule="atLeast"/>
          <w:jc w:val="center"/>
        </w:trPr>
        <w:tc>
          <w:tcPr>
            <w:tcW w:w="946" w:type="dxa"/>
            <w:tcBorders>
              <w:tl2br w:val="nil"/>
              <w:tr2bl w:val="nil"/>
            </w:tcBorders>
            <w:vAlign w:val="top"/>
          </w:tcPr>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高档</w:t>
            </w:r>
          </w:p>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商场</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2.2-3</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4.3-6</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20-27</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39-55</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38-54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138" w:hRule="atLeast"/>
          <w:jc w:val="center"/>
        </w:trPr>
        <w:tc>
          <w:tcPr>
            <w:tcW w:w="946" w:type="dxa"/>
            <w:tcBorders>
              <w:tl2br w:val="nil"/>
              <w:tr2bl w:val="nil"/>
            </w:tcBorders>
            <w:vAlign w:val="top"/>
          </w:tcPr>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普通</w:t>
            </w:r>
          </w:p>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商场</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6.3-11</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11.7-25</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52-90</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96-205</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88-230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94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商业综合</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21-35</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39-65</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172-286</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319-532</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294-490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946"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家电市场</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6-12</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14-21</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49-98</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115-172</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130-148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946" w:type="dxa"/>
            <w:tcBorders>
              <w:tl2br w:val="nil"/>
              <w:tr2bl w:val="nil"/>
            </w:tcBorders>
            <w:vAlign w:val="top"/>
          </w:tcPr>
          <w:p>
            <w:pPr>
              <w:rPr>
                <w:rFonts w:hint="eastAsia"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家具市场</w:t>
            </w:r>
          </w:p>
        </w:tc>
        <w:tc>
          <w:tcPr>
            <w:tcW w:w="13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0.4-0.7</w:t>
            </w:r>
          </w:p>
        </w:tc>
        <w:tc>
          <w:tcPr>
            <w:tcW w:w="1223"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1.1-1.3</w:t>
            </w:r>
          </w:p>
        </w:tc>
        <w:tc>
          <w:tcPr>
            <w:tcW w:w="1119"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18%</w:t>
            </w:r>
          </w:p>
        </w:tc>
        <w:tc>
          <w:tcPr>
            <w:tcW w:w="1200"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3-6</w:t>
            </w:r>
          </w:p>
        </w:tc>
        <w:tc>
          <w:tcPr>
            <w:tcW w:w="125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9-11</w:t>
            </w:r>
          </w:p>
        </w:tc>
        <w:tc>
          <w:tcPr>
            <w:tcW w:w="1338"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12-10</w:t>
            </w:r>
          </w:p>
        </w:tc>
      </w:tr>
    </w:tbl>
    <w:p>
      <w:pPr>
        <w:ind w:firstLine="420" w:firstLineChars="200"/>
        <w:rPr>
          <w:rFonts w:hint="eastAsia" w:ascii="宋体" w:hAnsi="宋体" w:eastAsia="宋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pPr>
    </w:p>
    <w:p>
      <w:pPr>
        <w:ind w:firstLine="420" w:firstLineChars="200"/>
        <w:rPr>
          <w:rFonts w:hint="eastAsia" w:ascii="宋体" w:hAnsi="宋体" w:eastAsia="宋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r>
        <w:rPr>
          <w:rFonts w:hint="eastAsia" w:ascii="宋体" w:hAnsi="宋体" w:eastAsia="宋体"/>
          <w:sz w:val="21"/>
          <w:szCs w:val="21"/>
          <w:lang w:val="en-US" w:eastAsia="zh-CN"/>
        </w:rPr>
        <w:t>工作日是办公区的停车高峰期，包括通勤和商务访客停车，其中日常通勤停车时间较长，停车周转率低；而商务访客停车时间较短，停车周转率高。在新城区对不同类型的办公建筑进行停车需求分析，得出各类办公10000m</w:t>
      </w:r>
      <w:r>
        <w:rPr>
          <w:rFonts w:hint="eastAsia" w:ascii="宋体" w:hAnsi="宋体" w:eastAsia="宋体"/>
          <w:sz w:val="21"/>
          <w:szCs w:val="21"/>
          <w:vertAlign w:val="superscript"/>
          <w:lang w:val="en-US" w:eastAsia="zh-CN"/>
        </w:rPr>
        <w:t>2</w:t>
      </w:r>
      <w:r>
        <w:rPr>
          <w:rFonts w:hint="eastAsia" w:ascii="宋体" w:hAnsi="宋体" w:eastAsia="宋体"/>
          <w:sz w:val="21"/>
          <w:szCs w:val="21"/>
          <w:lang w:val="en-US" w:eastAsia="zh-CN"/>
        </w:rPr>
        <w:t>的建筑面积通勤停车需求以及商务访客停车需求。如表4和表5所示。</w:t>
      </w:r>
    </w:p>
    <w:p>
      <w:pPr>
        <w:ind w:firstLine="420" w:firstLineChars="200"/>
        <w:rPr>
          <w:rFonts w:hint="eastAsia" w:ascii="宋体" w:hAnsi="宋体" w:eastAsia="宋体"/>
          <w:sz w:val="21"/>
          <w:szCs w:val="21"/>
          <w:lang w:val="en-US" w:eastAsia="zh-CN"/>
        </w:rPr>
      </w:pPr>
    </w:p>
    <w:p>
      <w:pPr>
        <w:ind w:firstLine="360" w:firstLineChars="20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表4 通勤停车需求</w:t>
      </w:r>
    </w:p>
    <w:tbl>
      <w:tblPr>
        <w:tblStyle w:val="7"/>
        <w:tblW w:w="6818"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5"/>
        <w:gridCol w:w="170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办公类型</w:t>
            </w:r>
          </w:p>
        </w:tc>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岗位面积（</w:t>
            </w:r>
            <w:r>
              <w:rPr>
                <w:rFonts w:hint="eastAsia" w:ascii="宋体" w:hAnsi="宋体" w:eastAsia="宋体"/>
                <w:sz w:val="15"/>
                <w:szCs w:val="15"/>
                <w:lang w:val="en-US" w:eastAsia="zh-CN"/>
              </w:rPr>
              <w:t>m</w:t>
            </w:r>
            <w:r>
              <w:rPr>
                <w:rFonts w:hint="eastAsia" w:ascii="宋体" w:hAnsi="宋体" w:eastAsia="宋体"/>
                <w:sz w:val="15"/>
                <w:szCs w:val="15"/>
                <w:vertAlign w:val="superscript"/>
                <w:lang w:val="en-US" w:eastAsia="zh-CN"/>
              </w:rPr>
              <w:t>2</w:t>
            </w:r>
            <w:r>
              <w:rPr>
                <w:rFonts w:hint="eastAsia" w:ascii="宋体" w:hAnsi="宋体" w:eastAsia="宋体"/>
                <w:sz w:val="15"/>
                <w:szCs w:val="15"/>
                <w:vertAlign w:val="baseline"/>
                <w:lang w:val="en-US" w:eastAsia="zh-CN"/>
              </w:rPr>
              <w:t>）</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小汽车出行率</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通勤停车需求（泊位）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行政办公</w:t>
            </w:r>
          </w:p>
        </w:tc>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30</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22%</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其他办公</w:t>
            </w:r>
          </w:p>
        </w:tc>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30</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22%</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会议中心</w:t>
            </w:r>
          </w:p>
        </w:tc>
        <w:tc>
          <w:tcPr>
            <w:tcW w:w="1704"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30</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22%</w:t>
            </w:r>
          </w:p>
        </w:tc>
        <w:tc>
          <w:tcPr>
            <w:tcW w:w="1705" w:type="dxa"/>
            <w:tcBorders>
              <w:tl2br w:val="nil"/>
              <w:tr2bl w:val="nil"/>
            </w:tcBorders>
            <w:vAlign w:val="top"/>
          </w:tcPr>
          <w:p>
            <w:pP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w:t>
            </w:r>
          </w:p>
        </w:tc>
      </w:tr>
    </w:tbl>
    <w:p>
      <w:pPr>
        <w:jc w:val="both"/>
        <w:rPr>
          <w:rFonts w:hint="eastAsia" w:ascii="黑体" w:hAnsi="黑体" w:eastAsia="黑体" w:cs="黑体"/>
          <w:sz w:val="18"/>
          <w:szCs w:val="18"/>
          <w:lang w:val="en-US" w:eastAsia="zh-CN"/>
        </w:rPr>
      </w:pPr>
    </w:p>
    <w:p>
      <w:pPr>
        <w:ind w:firstLine="360" w:firstLineChars="20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表5 商务访客停车需求</w:t>
      </w:r>
    </w:p>
    <w:tbl>
      <w:tblPr>
        <w:tblStyle w:val="7"/>
        <w:tblW w:w="9139"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60"/>
        <w:gridCol w:w="1486"/>
        <w:gridCol w:w="1575"/>
        <w:gridCol w:w="911"/>
        <w:gridCol w:w="1061"/>
        <w:gridCol w:w="1275"/>
        <w:gridCol w:w="137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460"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办公类型</w:t>
            </w:r>
          </w:p>
        </w:tc>
        <w:tc>
          <w:tcPr>
            <w:tcW w:w="1486"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客流发生率（人次/100m</w:t>
            </w:r>
            <w:r>
              <w:rPr>
                <w:rFonts w:hint="eastAsia" w:ascii="宋体" w:hAnsi="宋体" w:eastAsia="宋体"/>
                <w:sz w:val="15"/>
                <w:szCs w:val="15"/>
                <w:vertAlign w:val="superscript"/>
                <w:lang w:val="en-US" w:eastAsia="zh-CN"/>
              </w:rPr>
              <w:t>2</w:t>
            </w:r>
            <w:r>
              <w:rPr>
                <w:rFonts w:hint="eastAsia" w:ascii="宋体" w:hAnsi="宋体" w:eastAsia="宋体"/>
                <w:sz w:val="15"/>
                <w:szCs w:val="15"/>
                <w:vertAlign w:val="baseline"/>
                <w:lang w:val="en-US" w:eastAsia="zh-CN"/>
              </w:rPr>
              <w:t>)</w:t>
            </w:r>
          </w:p>
        </w:tc>
        <w:tc>
          <w:tcPr>
            <w:tcW w:w="15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客流吸引率（人次/100m</w:t>
            </w:r>
            <w:r>
              <w:rPr>
                <w:rFonts w:hint="eastAsia" w:ascii="宋体" w:hAnsi="宋体" w:eastAsia="宋体"/>
                <w:sz w:val="15"/>
                <w:szCs w:val="15"/>
                <w:vertAlign w:val="superscript"/>
                <w:lang w:val="en-US" w:eastAsia="zh-CN"/>
              </w:rPr>
              <w:t>2</w:t>
            </w:r>
            <w:r>
              <w:rPr>
                <w:rFonts w:hint="eastAsia" w:ascii="宋体" w:hAnsi="宋体" w:eastAsia="宋体"/>
                <w:sz w:val="15"/>
                <w:szCs w:val="15"/>
                <w:vertAlign w:val="baseline"/>
                <w:lang w:val="en-US" w:eastAsia="zh-CN"/>
              </w:rPr>
              <w:t>)</w:t>
            </w:r>
          </w:p>
        </w:tc>
        <w:tc>
          <w:tcPr>
            <w:tcW w:w="91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小汽车出行比例</w:t>
            </w:r>
          </w:p>
        </w:tc>
        <w:tc>
          <w:tcPr>
            <w:tcW w:w="106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小汽车发生量(pcu)</w:t>
            </w:r>
          </w:p>
        </w:tc>
        <w:tc>
          <w:tcPr>
            <w:tcW w:w="12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小汽车吸引量(pcu)</w:t>
            </w:r>
          </w:p>
        </w:tc>
        <w:tc>
          <w:tcPr>
            <w:tcW w:w="137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停车需求（泊位）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460"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行政办公</w:t>
            </w:r>
          </w:p>
        </w:tc>
        <w:tc>
          <w:tcPr>
            <w:tcW w:w="1486"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0.35-0.65</w:t>
            </w:r>
          </w:p>
        </w:tc>
        <w:tc>
          <w:tcPr>
            <w:tcW w:w="15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0.65-1.35</w:t>
            </w:r>
          </w:p>
        </w:tc>
        <w:tc>
          <w:tcPr>
            <w:tcW w:w="91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15%</w:t>
            </w:r>
          </w:p>
        </w:tc>
        <w:tc>
          <w:tcPr>
            <w:tcW w:w="106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4-7</w:t>
            </w:r>
          </w:p>
        </w:tc>
        <w:tc>
          <w:tcPr>
            <w:tcW w:w="12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7-14</w:t>
            </w:r>
          </w:p>
        </w:tc>
        <w:tc>
          <w:tcPr>
            <w:tcW w:w="137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460"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其他办公</w:t>
            </w:r>
          </w:p>
        </w:tc>
        <w:tc>
          <w:tcPr>
            <w:tcW w:w="1486"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0.4-0.7</w:t>
            </w:r>
          </w:p>
        </w:tc>
        <w:tc>
          <w:tcPr>
            <w:tcW w:w="15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1.1-1.8</w:t>
            </w:r>
          </w:p>
        </w:tc>
        <w:tc>
          <w:tcPr>
            <w:tcW w:w="91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15%</w:t>
            </w:r>
          </w:p>
        </w:tc>
        <w:tc>
          <w:tcPr>
            <w:tcW w:w="106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4-7</w:t>
            </w:r>
          </w:p>
        </w:tc>
        <w:tc>
          <w:tcPr>
            <w:tcW w:w="12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11-18</w:t>
            </w:r>
          </w:p>
        </w:tc>
        <w:tc>
          <w:tcPr>
            <w:tcW w:w="137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14-22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1460"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会议中心</w:t>
            </w:r>
          </w:p>
        </w:tc>
        <w:tc>
          <w:tcPr>
            <w:tcW w:w="1486"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0.25-0.4</w:t>
            </w:r>
          </w:p>
        </w:tc>
        <w:tc>
          <w:tcPr>
            <w:tcW w:w="15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0.55-1.1</w:t>
            </w:r>
          </w:p>
        </w:tc>
        <w:tc>
          <w:tcPr>
            <w:tcW w:w="91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15%</w:t>
            </w:r>
          </w:p>
        </w:tc>
        <w:tc>
          <w:tcPr>
            <w:tcW w:w="106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3-4</w:t>
            </w:r>
          </w:p>
        </w:tc>
        <w:tc>
          <w:tcPr>
            <w:tcW w:w="1275"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6-11</w:t>
            </w:r>
          </w:p>
        </w:tc>
        <w:tc>
          <w:tcPr>
            <w:tcW w:w="1371" w:type="dxa"/>
            <w:tcBorders>
              <w:tl2br w:val="nil"/>
              <w:tr2bl w:val="nil"/>
            </w:tcBorders>
            <w:vAlign w:val="top"/>
          </w:tcPr>
          <w:p>
            <w:pPr>
              <w:jc w:val="center"/>
              <w:rPr>
                <w:rFonts w:hint="default" w:ascii="宋体" w:hAnsi="宋体" w:eastAsia="宋体"/>
                <w:sz w:val="15"/>
                <w:szCs w:val="15"/>
                <w:vertAlign w:val="baseline"/>
                <w:lang w:val="en-US" w:eastAsia="zh-CN"/>
              </w:rPr>
            </w:pPr>
            <w:r>
              <w:rPr>
                <w:rFonts w:hint="eastAsia" w:ascii="宋体" w:hAnsi="宋体" w:eastAsia="宋体"/>
                <w:sz w:val="15"/>
                <w:szCs w:val="15"/>
                <w:vertAlign w:val="baseline"/>
                <w:lang w:val="en-US" w:eastAsia="zh-CN"/>
              </w:rPr>
              <w:t>6-14</w:t>
            </w:r>
          </w:p>
        </w:tc>
      </w:tr>
    </w:tbl>
    <w:p>
      <w:pPr>
        <w:ind w:firstLine="420" w:firstLineChars="200"/>
        <w:rPr>
          <w:rFonts w:hint="eastAsia" w:ascii="宋体" w:hAnsi="宋体" w:eastAsia="宋体"/>
          <w:sz w:val="21"/>
          <w:szCs w:val="21"/>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pP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根据计算，从需求上看，尚未建设的新城区在未来建成后配建停车场基本可以满足其停车需求，对公共停车场需求不大，同时随着发展未来配建公共停车场完全能实现公共停车场</w:t>
      </w:r>
    </w:p>
    <w:p>
      <w:pPr>
        <w:rPr>
          <w:rFonts w:hint="eastAsia" w:ascii="黑体" w:hAnsi="黑体" w:eastAsia="黑体"/>
          <w:color w:val="FF0000"/>
          <w:sz w:val="28"/>
          <w:szCs w:val="28"/>
          <w:lang w:val="en-US" w:eastAsia="zh-CN"/>
        </w:rPr>
      </w:pPr>
      <w:r>
        <w:rPr>
          <w:rFonts w:hint="eastAsia" w:ascii="宋体" w:hAnsi="宋体" w:eastAsia="宋体"/>
          <w:sz w:val="21"/>
          <w:szCs w:val="21"/>
          <w:lang w:val="en-US" w:eastAsia="zh-CN"/>
        </w:rPr>
        <w:t>的所有功能，另外，采用公共停车场补充配建停车不足的问题，在可行性和有效性上均存在一定问题。因此，尚未建设的新城区应当减少公共停车场的泊位供应（特殊功能公共停车场除外），尤其是居住区内，独立用地的公共停车场应慎重布设。建议在新建建筑特别是商业建筑、工业用地建设时</w:t>
      </w:r>
      <w:r>
        <w:rPr>
          <w:rFonts w:hint="eastAsia" w:ascii="宋体" w:hAnsi="宋体" w:eastAsia="宋体"/>
          <w:sz w:val="21"/>
          <w:szCs w:val="21"/>
          <w:highlight w:val="none"/>
          <w:lang w:val="en-US" w:eastAsia="zh-CN"/>
        </w:rPr>
        <w:t>，</w:t>
      </w:r>
      <w:r>
        <w:rPr>
          <w:rFonts w:hint="eastAsia" w:ascii="宋体" w:hAnsi="宋体" w:eastAsia="宋体"/>
          <w:sz w:val="21"/>
          <w:szCs w:val="21"/>
          <w:lang w:val="en-US" w:eastAsia="zh-CN"/>
        </w:rPr>
        <w:t>结合具体建设方案进行停车需求预测，根据实际需求配建停车泊位。</w:t>
      </w:r>
    </w:p>
    <w:p>
      <w:pPr>
        <w:rPr>
          <w:rFonts w:ascii="宋体" w:hAnsi="宋体" w:eastAsia="宋体"/>
          <w:sz w:val="28"/>
          <w:szCs w:val="28"/>
        </w:rPr>
      </w:pPr>
      <w:r>
        <w:rPr>
          <w:rFonts w:hint="eastAsia" w:ascii="黑体" w:hAnsi="黑体" w:eastAsia="黑体"/>
          <w:sz w:val="21"/>
          <w:szCs w:val="21"/>
          <w:lang w:val="en-US" w:eastAsia="zh-CN"/>
        </w:rPr>
        <w:t>5停车问题解决策略</w:t>
      </w:r>
    </w:p>
    <w:p>
      <w:pPr>
        <w:ind w:firstLine="420" w:firstLineChars="200"/>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一</w:t>
      </w:r>
      <w:r>
        <w:rPr>
          <w:rFonts w:hint="eastAsia" w:ascii="宋体" w:hAnsi="宋体" w:eastAsia="宋体"/>
          <w:sz w:val="21"/>
          <w:szCs w:val="21"/>
        </w:rPr>
        <w:t>:控制需求，引导绿色出行。</w:t>
      </w:r>
      <w:r>
        <w:rPr>
          <w:rFonts w:hint="eastAsia" w:ascii="宋体" w:hAnsi="宋体" w:eastAsia="宋体"/>
          <w:sz w:val="21"/>
          <w:szCs w:val="21"/>
          <w:lang w:val="en-US" w:eastAsia="zh-CN"/>
        </w:rPr>
        <w:t>坚持绿色交通为导向，重点关注新城</w:t>
      </w:r>
      <w:r>
        <w:rPr>
          <w:rFonts w:hint="eastAsia" w:ascii="宋体" w:hAnsi="宋体" w:eastAsia="宋体"/>
          <w:sz w:val="21"/>
          <w:szCs w:val="21"/>
          <w:highlight w:val="none"/>
          <w:lang w:val="en-US" w:eastAsia="zh-CN"/>
        </w:rPr>
        <w:t>区</w:t>
      </w:r>
      <w:r>
        <w:rPr>
          <w:rFonts w:hint="eastAsia" w:ascii="宋体" w:hAnsi="宋体" w:eastAsia="宋体"/>
          <w:sz w:val="21"/>
          <w:szCs w:val="21"/>
          <w:lang w:val="en-US" w:eastAsia="zh-CN"/>
        </w:rPr>
        <w:t>与中心城</w:t>
      </w:r>
      <w:r>
        <w:rPr>
          <w:rFonts w:hint="eastAsia" w:ascii="宋体" w:hAnsi="宋体" w:eastAsia="宋体"/>
          <w:sz w:val="21"/>
          <w:szCs w:val="21"/>
          <w:highlight w:val="none"/>
          <w:lang w:val="en-US" w:eastAsia="zh-CN"/>
        </w:rPr>
        <w:t>市</w:t>
      </w:r>
      <w:r>
        <w:rPr>
          <w:rFonts w:hint="eastAsia" w:ascii="宋体" w:hAnsi="宋体" w:eastAsia="宋体"/>
          <w:sz w:val="21"/>
          <w:szCs w:val="21"/>
          <w:lang w:val="en-US" w:eastAsia="zh-CN"/>
        </w:rPr>
        <w:t>、新城</w:t>
      </w:r>
      <w:r>
        <w:rPr>
          <w:rFonts w:hint="eastAsia" w:ascii="宋体" w:hAnsi="宋体" w:eastAsia="宋体"/>
          <w:sz w:val="21"/>
          <w:szCs w:val="21"/>
          <w:highlight w:val="none"/>
          <w:lang w:val="en-US" w:eastAsia="zh-CN"/>
        </w:rPr>
        <w:t>区</w:t>
      </w:r>
      <w:r>
        <w:rPr>
          <w:rFonts w:hint="eastAsia" w:ascii="宋体" w:hAnsi="宋体" w:eastAsia="宋体"/>
          <w:sz w:val="21"/>
          <w:szCs w:val="21"/>
          <w:lang w:val="en-US" w:eastAsia="zh-CN"/>
        </w:rPr>
        <w:t>与新城</w:t>
      </w:r>
      <w:r>
        <w:rPr>
          <w:rFonts w:hint="eastAsia" w:ascii="宋体" w:hAnsi="宋体" w:eastAsia="宋体"/>
          <w:sz w:val="21"/>
          <w:szCs w:val="21"/>
          <w:highlight w:val="none"/>
          <w:lang w:val="en-US" w:eastAsia="zh-CN"/>
        </w:rPr>
        <w:t>区</w:t>
      </w:r>
      <w:r>
        <w:rPr>
          <w:rFonts w:hint="eastAsia" w:ascii="宋体" w:hAnsi="宋体" w:eastAsia="宋体"/>
          <w:sz w:val="21"/>
          <w:szCs w:val="21"/>
          <w:lang w:val="en-US" w:eastAsia="zh-CN"/>
        </w:rPr>
        <w:t>之间的快速交通系统以及新城内部便捷的交通网络</w:t>
      </w:r>
      <w:r>
        <w:rPr>
          <w:rFonts w:hint="eastAsia" w:ascii="宋体" w:hAnsi="宋体" w:eastAsia="宋体"/>
          <w:sz w:val="21"/>
          <w:szCs w:val="21"/>
          <w:vertAlign w:val="superscript"/>
          <w:lang w:val="en-US" w:eastAsia="zh-CN"/>
        </w:rPr>
        <w:t>[5]</w:t>
      </w:r>
      <w:r>
        <w:rPr>
          <w:rFonts w:hint="eastAsia" w:ascii="宋体" w:hAnsi="宋体" w:eastAsia="宋体"/>
          <w:sz w:val="21"/>
          <w:szCs w:val="21"/>
          <w:lang w:val="en-US" w:eastAsia="zh-CN"/>
        </w:rPr>
        <w:t>。</w:t>
      </w:r>
      <w:r>
        <w:rPr>
          <w:rFonts w:hint="eastAsia" w:ascii="宋体" w:hAnsi="宋体" w:eastAsia="宋体"/>
          <w:sz w:val="21"/>
          <w:szCs w:val="21"/>
        </w:rPr>
        <w:t>鼓励市民</w:t>
      </w:r>
      <w:r>
        <w:rPr>
          <w:rFonts w:hint="eastAsia" w:ascii="宋体" w:hAnsi="宋体" w:eastAsia="宋体"/>
          <w:sz w:val="21"/>
          <w:szCs w:val="21"/>
          <w:lang w:val="en-US" w:eastAsia="zh-CN"/>
        </w:rPr>
        <w:t>以乘坐</w:t>
      </w:r>
      <w:r>
        <w:rPr>
          <w:rFonts w:hint="eastAsia" w:ascii="宋体" w:hAnsi="宋体" w:eastAsia="宋体"/>
          <w:sz w:val="21"/>
          <w:szCs w:val="21"/>
        </w:rPr>
        <w:t>公共交通</w:t>
      </w:r>
      <w:r>
        <w:rPr>
          <w:rFonts w:hint="eastAsia" w:ascii="宋体" w:hAnsi="宋体" w:eastAsia="宋体"/>
          <w:sz w:val="21"/>
          <w:szCs w:val="21"/>
          <w:lang w:val="en-US" w:eastAsia="zh-CN"/>
        </w:rPr>
        <w:t>的方式</w:t>
      </w:r>
      <w:r>
        <w:rPr>
          <w:rFonts w:hint="eastAsia" w:ascii="宋体" w:hAnsi="宋体" w:eastAsia="宋体"/>
          <w:sz w:val="21"/>
          <w:szCs w:val="21"/>
          <w:highlight w:val="none"/>
          <w:lang w:eastAsia="zh-CN"/>
        </w:rPr>
        <w:t>绿色</w:t>
      </w:r>
      <w:r>
        <w:rPr>
          <w:rFonts w:hint="eastAsia" w:ascii="宋体" w:hAnsi="宋体" w:eastAsia="宋体"/>
          <w:sz w:val="21"/>
          <w:szCs w:val="21"/>
        </w:rPr>
        <w:t>出行，减少核心区</w:t>
      </w:r>
      <w:r>
        <w:rPr>
          <w:rFonts w:hint="eastAsia" w:ascii="宋体" w:hAnsi="宋体" w:eastAsia="宋体"/>
          <w:sz w:val="21"/>
          <w:szCs w:val="21"/>
          <w:lang w:val="en-US" w:eastAsia="zh-CN"/>
        </w:rPr>
        <w:t>的</w:t>
      </w:r>
      <w:r>
        <w:rPr>
          <w:rFonts w:hint="eastAsia" w:ascii="宋体" w:hAnsi="宋体" w:eastAsia="宋体"/>
          <w:sz w:val="21"/>
          <w:szCs w:val="21"/>
        </w:rPr>
        <w:t>停车需求，从而缓解停车</w:t>
      </w:r>
      <w:r>
        <w:rPr>
          <w:rFonts w:hint="eastAsia" w:ascii="宋体" w:hAnsi="宋体" w:eastAsia="宋体"/>
          <w:sz w:val="21"/>
          <w:szCs w:val="21"/>
          <w:highlight w:val="none"/>
          <w:lang w:eastAsia="zh-CN"/>
        </w:rPr>
        <w:t>难</w:t>
      </w:r>
      <w:r>
        <w:rPr>
          <w:rFonts w:hint="eastAsia" w:ascii="宋体" w:hAnsi="宋体" w:eastAsia="宋体"/>
          <w:sz w:val="21"/>
          <w:szCs w:val="21"/>
        </w:rPr>
        <w:t>问题。</w:t>
      </w:r>
    </w:p>
    <w:p>
      <w:pPr>
        <w:ind w:firstLine="420" w:firstLineChars="200"/>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二</w:t>
      </w:r>
      <w:r>
        <w:rPr>
          <w:rFonts w:hint="eastAsia" w:ascii="宋体" w:hAnsi="宋体" w:eastAsia="宋体"/>
          <w:sz w:val="21"/>
          <w:szCs w:val="21"/>
        </w:rPr>
        <w:t>：因地制宜，选择适合模式。对于独立</w:t>
      </w:r>
      <w:r>
        <w:rPr>
          <w:rFonts w:hint="eastAsia" w:ascii="宋体" w:hAnsi="宋体" w:eastAsia="宋体"/>
          <w:sz w:val="21"/>
          <w:szCs w:val="21"/>
          <w:lang w:val="en-US" w:eastAsia="zh-CN"/>
        </w:rPr>
        <w:t>的土</w:t>
      </w:r>
      <w:r>
        <w:rPr>
          <w:rFonts w:hint="eastAsia" w:ascii="宋体" w:hAnsi="宋体" w:eastAsia="宋体"/>
          <w:sz w:val="21"/>
          <w:szCs w:val="21"/>
        </w:rPr>
        <w:t>地</w:t>
      </w:r>
      <w:r>
        <w:rPr>
          <w:rFonts w:hint="eastAsia" w:ascii="宋体" w:hAnsi="宋体" w:eastAsia="宋体"/>
          <w:sz w:val="21"/>
          <w:szCs w:val="21"/>
          <w:lang w:val="en-US" w:eastAsia="zh-CN"/>
        </w:rPr>
        <w:t>使用</w:t>
      </w:r>
      <w:r>
        <w:rPr>
          <w:rFonts w:hint="eastAsia" w:ascii="宋体" w:hAnsi="宋体" w:eastAsia="宋体"/>
          <w:sz w:val="21"/>
          <w:szCs w:val="21"/>
        </w:rPr>
        <w:t>，独</w:t>
      </w:r>
      <w:r>
        <w:rPr>
          <w:rFonts w:hint="eastAsia" w:ascii="宋体" w:hAnsi="宋体" w:eastAsia="宋体"/>
          <w:sz w:val="21"/>
          <w:szCs w:val="21"/>
          <w:lang w:val="en-US" w:eastAsia="zh-CN"/>
        </w:rPr>
        <w:t>优先选择</w:t>
      </w:r>
      <w:r>
        <w:rPr>
          <w:rFonts w:hint="eastAsia" w:ascii="宋体" w:hAnsi="宋体" w:eastAsia="宋体"/>
          <w:sz w:val="21"/>
          <w:szCs w:val="21"/>
        </w:rPr>
        <w:t>建设公共停车场，</w:t>
      </w:r>
      <w:r>
        <w:rPr>
          <w:rFonts w:hint="eastAsia" w:ascii="宋体" w:hAnsi="宋体" w:eastAsia="宋体"/>
          <w:sz w:val="21"/>
          <w:szCs w:val="21"/>
          <w:lang w:val="en-US" w:eastAsia="zh-CN"/>
        </w:rPr>
        <w:t>将公共交通与</w:t>
      </w:r>
      <w:r>
        <w:rPr>
          <w:rFonts w:hint="eastAsia" w:ascii="宋体" w:hAnsi="宋体" w:eastAsia="宋体"/>
          <w:sz w:val="21"/>
          <w:szCs w:val="21"/>
        </w:rPr>
        <w:t>轨道交通及重大项目</w:t>
      </w:r>
      <w:r>
        <w:rPr>
          <w:rFonts w:hint="eastAsia" w:ascii="宋体" w:hAnsi="宋体" w:eastAsia="宋体"/>
          <w:sz w:val="21"/>
          <w:szCs w:val="21"/>
          <w:lang w:val="en-US" w:eastAsia="zh-CN"/>
        </w:rPr>
        <w:t>相结合</w:t>
      </w:r>
      <w:r>
        <w:rPr>
          <w:rFonts w:hint="eastAsia" w:ascii="宋体" w:hAnsi="宋体" w:eastAsia="宋体"/>
          <w:sz w:val="21"/>
          <w:szCs w:val="21"/>
        </w:rPr>
        <w:t>，开发公共停车泊位；对于零碎用地，</w:t>
      </w:r>
      <w:r>
        <w:rPr>
          <w:rFonts w:hint="eastAsia" w:ascii="宋体" w:hAnsi="宋体" w:eastAsia="宋体"/>
          <w:sz w:val="21"/>
          <w:szCs w:val="21"/>
          <w:lang w:val="en-US" w:eastAsia="zh-CN"/>
        </w:rPr>
        <w:t>可以在</w:t>
      </w:r>
      <w:r>
        <w:rPr>
          <w:rFonts w:hint="eastAsia" w:ascii="宋体" w:hAnsi="宋体" w:eastAsia="宋体"/>
          <w:sz w:val="21"/>
          <w:szCs w:val="21"/>
        </w:rPr>
        <w:t>立交桥下建设公共停车设施，</w:t>
      </w:r>
      <w:r>
        <w:rPr>
          <w:rFonts w:hint="eastAsia" w:ascii="宋体" w:hAnsi="宋体" w:eastAsia="宋体"/>
          <w:sz w:val="21"/>
          <w:szCs w:val="21"/>
          <w:lang w:val="en-US" w:eastAsia="zh-CN"/>
        </w:rPr>
        <w:t>并</w:t>
      </w:r>
      <w:r>
        <w:rPr>
          <w:rFonts w:hint="eastAsia" w:ascii="宋体" w:hAnsi="宋体" w:eastAsia="宋体"/>
          <w:sz w:val="21"/>
          <w:szCs w:val="21"/>
        </w:rPr>
        <w:t>鼓励旧</w:t>
      </w:r>
      <w:r>
        <w:rPr>
          <w:rFonts w:hint="eastAsia" w:ascii="宋体" w:hAnsi="宋体" w:eastAsia="宋体"/>
          <w:sz w:val="21"/>
          <w:szCs w:val="21"/>
          <w:lang w:val="en-US" w:eastAsia="zh-CN"/>
        </w:rPr>
        <w:t>社区、</w:t>
      </w:r>
      <w:r>
        <w:rPr>
          <w:rFonts w:hint="eastAsia" w:ascii="宋体" w:hAnsi="宋体" w:eastAsia="宋体"/>
          <w:sz w:val="21"/>
          <w:szCs w:val="21"/>
        </w:rPr>
        <w:t>机关企事业单位利用自有用地建设立体停车设施。</w:t>
      </w:r>
    </w:p>
    <w:p>
      <w:pPr>
        <w:ind w:firstLine="420" w:firstLineChars="200"/>
        <w:rPr>
          <w:rFonts w:ascii="宋体" w:hAnsi="宋体" w:eastAsia="宋体"/>
          <w:sz w:val="21"/>
          <w:szCs w:val="21"/>
        </w:rPr>
      </w:pPr>
      <w:r>
        <w:rPr>
          <w:rFonts w:hint="eastAsia" w:ascii="宋体" w:hAnsi="宋体" w:eastAsia="宋体"/>
          <w:sz w:val="21"/>
          <w:szCs w:val="21"/>
          <w:highlight w:val="none"/>
        </w:rPr>
        <w:t>策略</w:t>
      </w:r>
      <w:r>
        <w:rPr>
          <w:rFonts w:hint="eastAsia" w:ascii="宋体" w:hAnsi="宋体" w:eastAsia="宋体"/>
          <w:sz w:val="21"/>
          <w:szCs w:val="21"/>
          <w:highlight w:val="none"/>
          <w:lang w:val="en-US" w:eastAsia="zh-CN"/>
        </w:rPr>
        <w:t>三</w:t>
      </w:r>
      <w:r>
        <w:rPr>
          <w:rFonts w:hint="eastAsia" w:ascii="宋体" w:hAnsi="宋体" w:eastAsia="宋体"/>
          <w:sz w:val="21"/>
          <w:szCs w:val="21"/>
          <w:highlight w:val="none"/>
        </w:rPr>
        <w:t>：复合利用，集约利用土地。打造集约型的土地利用模式，</w:t>
      </w:r>
      <w:r>
        <w:rPr>
          <w:rFonts w:hint="eastAsia" w:ascii="宋体" w:hAnsi="宋体" w:eastAsia="宋体"/>
          <w:sz w:val="21"/>
          <w:szCs w:val="21"/>
          <w:highlight w:val="none"/>
          <w:lang w:val="en-US" w:eastAsia="zh-CN"/>
        </w:rPr>
        <w:t>将</w:t>
      </w:r>
      <w:r>
        <w:rPr>
          <w:rFonts w:hint="eastAsia" w:ascii="宋体" w:hAnsi="宋体" w:eastAsia="宋体"/>
          <w:sz w:val="21"/>
          <w:szCs w:val="21"/>
          <w:highlight w:val="none"/>
        </w:rPr>
        <w:t>公共停车场用地与城市绿化、市政设施、轨道交通、中小学等</w:t>
      </w:r>
      <w:r>
        <w:rPr>
          <w:rFonts w:hint="eastAsia" w:ascii="宋体" w:hAnsi="宋体" w:eastAsia="宋体"/>
          <w:sz w:val="21"/>
          <w:szCs w:val="21"/>
          <w:highlight w:val="none"/>
          <w:lang w:eastAsia="zh-CN"/>
        </w:rPr>
        <w:t>用地</w:t>
      </w:r>
      <w:r>
        <w:rPr>
          <w:rFonts w:hint="eastAsia" w:ascii="宋体" w:hAnsi="宋体" w:eastAsia="宋体"/>
          <w:sz w:val="21"/>
          <w:szCs w:val="21"/>
          <w:highlight w:val="none"/>
        </w:rPr>
        <w:t>整合</w:t>
      </w:r>
      <w:r>
        <w:rPr>
          <w:rFonts w:hint="eastAsia" w:ascii="宋体" w:hAnsi="宋体" w:eastAsia="宋体"/>
          <w:sz w:val="21"/>
          <w:szCs w:val="21"/>
          <w:highlight w:val="none"/>
          <w:lang w:val="en-US" w:eastAsia="zh-CN"/>
        </w:rPr>
        <w:t>在一起</w:t>
      </w:r>
      <w:r>
        <w:rPr>
          <w:rFonts w:hint="eastAsia" w:ascii="宋体" w:hAnsi="宋体" w:eastAsia="宋体"/>
          <w:sz w:val="21"/>
          <w:szCs w:val="21"/>
          <w:highlight w:val="none"/>
        </w:rPr>
        <w:t>，</w:t>
      </w:r>
      <w:r>
        <w:rPr>
          <w:rFonts w:hint="eastAsia" w:ascii="宋体" w:hAnsi="宋体" w:eastAsia="宋体"/>
          <w:sz w:val="21"/>
          <w:szCs w:val="21"/>
          <w:highlight w:val="none"/>
          <w:u w:val="none"/>
          <w:lang w:eastAsia="zh-CN"/>
        </w:rPr>
        <w:t>综合利用</w:t>
      </w:r>
      <w:r>
        <w:rPr>
          <w:rFonts w:hint="eastAsia" w:ascii="宋体" w:hAnsi="宋体" w:eastAsia="宋体"/>
          <w:sz w:val="21"/>
          <w:szCs w:val="21"/>
          <w:highlight w:val="none"/>
        </w:rPr>
        <w:t>，减少公共停车场及其他设施建设难度。</w:t>
      </w:r>
    </w:p>
    <w:p>
      <w:pPr>
        <w:ind w:firstLine="420" w:firstLineChars="200"/>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四</w:t>
      </w:r>
      <w:r>
        <w:rPr>
          <w:rFonts w:hint="eastAsia" w:ascii="宋体" w:hAnsi="宋体" w:eastAsia="宋体"/>
          <w:sz w:val="21"/>
          <w:szCs w:val="21"/>
        </w:rPr>
        <w:t>：差别收费，合理配置资源。差别化收费体现在</w:t>
      </w:r>
      <w:r>
        <w:rPr>
          <w:rFonts w:hint="eastAsia" w:ascii="宋体" w:hAnsi="宋体" w:eastAsia="宋体"/>
          <w:sz w:val="21"/>
          <w:szCs w:val="21"/>
          <w:lang w:eastAsia="zh-CN"/>
        </w:rPr>
        <w:t>：</w:t>
      </w:r>
      <w:r>
        <w:rPr>
          <w:rFonts w:hint="eastAsia" w:ascii="宋体" w:hAnsi="宋体" w:eastAsia="宋体"/>
          <w:sz w:val="21"/>
          <w:szCs w:val="21"/>
        </w:rPr>
        <w:t>①停车区域差别化②停放时间差别化③停车设施类型差别化④停放车辆类型差别化</w:t>
      </w:r>
      <w:r>
        <w:rPr>
          <w:rFonts w:hint="eastAsia" w:ascii="宋体" w:hAnsi="宋体" w:eastAsia="宋体"/>
          <w:sz w:val="21"/>
          <w:szCs w:val="21"/>
          <w:lang w:eastAsia="zh-CN"/>
        </w:rPr>
        <w:t>。</w:t>
      </w:r>
      <w:r>
        <w:rPr>
          <w:rFonts w:hint="eastAsia" w:ascii="宋体" w:hAnsi="宋体" w:eastAsia="宋体"/>
          <w:sz w:val="21"/>
          <w:szCs w:val="21"/>
        </w:rPr>
        <w:t>智能化收费可以用</w:t>
      </w:r>
      <w:r>
        <w:rPr>
          <w:rFonts w:hint="eastAsia" w:ascii="宋体" w:hAnsi="宋体" w:eastAsia="宋体"/>
          <w:sz w:val="21"/>
          <w:szCs w:val="21"/>
          <w:lang w:eastAsia="zh-CN"/>
        </w:rPr>
        <w:t>：</w:t>
      </w:r>
      <w:r>
        <w:rPr>
          <w:rFonts w:hint="eastAsia" w:ascii="宋体" w:hAnsi="宋体" w:eastAsia="宋体"/>
          <w:sz w:val="21"/>
          <w:szCs w:val="21"/>
        </w:rPr>
        <w:t>免取卡视频入场，无需取卡，零停留，轻松入场</w:t>
      </w:r>
      <w:r>
        <w:rPr>
          <w:rFonts w:hint="eastAsia" w:ascii="宋体" w:hAnsi="宋体" w:eastAsia="宋体"/>
          <w:sz w:val="21"/>
          <w:szCs w:val="21"/>
          <w:lang w:eastAsia="zh-CN"/>
        </w:rPr>
        <w:t>；</w:t>
      </w:r>
      <w:r>
        <w:rPr>
          <w:rFonts w:hint="eastAsia" w:ascii="宋体" w:hAnsi="宋体" w:eastAsia="宋体"/>
          <w:sz w:val="21"/>
          <w:szCs w:val="21"/>
        </w:rPr>
        <w:t>自助缴费、支付宝缴费等</w:t>
      </w:r>
      <w:r>
        <w:rPr>
          <w:rFonts w:hint="eastAsia" w:ascii="宋体" w:hAnsi="宋体" w:eastAsia="宋体"/>
          <w:sz w:val="21"/>
          <w:szCs w:val="21"/>
          <w:lang w:eastAsia="zh-CN"/>
        </w:rPr>
        <w:t>；</w:t>
      </w:r>
      <w:r>
        <w:rPr>
          <w:rFonts w:hint="eastAsia" w:ascii="宋体" w:hAnsi="宋体" w:eastAsia="宋体"/>
          <w:sz w:val="21"/>
          <w:szCs w:val="21"/>
        </w:rPr>
        <w:t>系统后台直接监控停车场运营情况</w:t>
      </w:r>
      <w:r>
        <w:rPr>
          <w:rFonts w:hint="eastAsia" w:ascii="宋体" w:hAnsi="宋体" w:eastAsia="宋体"/>
          <w:sz w:val="21"/>
          <w:szCs w:val="21"/>
          <w:lang w:eastAsia="zh-CN"/>
        </w:rPr>
        <w:t>。</w:t>
      </w:r>
      <w:r>
        <w:rPr>
          <w:rFonts w:hint="eastAsia" w:ascii="宋体" w:hAnsi="宋体" w:eastAsia="宋体"/>
          <w:sz w:val="21"/>
          <w:szCs w:val="21"/>
        </w:rPr>
        <w:t>精细化收费体现在</w:t>
      </w:r>
      <w:r>
        <w:rPr>
          <w:rFonts w:hint="eastAsia" w:ascii="宋体" w:hAnsi="宋体" w:eastAsia="宋体"/>
          <w:sz w:val="21"/>
          <w:szCs w:val="21"/>
          <w:lang w:eastAsia="zh-CN"/>
        </w:rPr>
        <w:t>：</w:t>
      </w:r>
      <w:r>
        <w:rPr>
          <w:rFonts w:hint="eastAsia" w:ascii="宋体" w:hAnsi="宋体" w:eastAsia="宋体"/>
          <w:sz w:val="21"/>
          <w:szCs w:val="21"/>
        </w:rPr>
        <w:t>完善停车收费相关的法律法规</w:t>
      </w:r>
      <w:r>
        <w:rPr>
          <w:rFonts w:hint="eastAsia" w:ascii="宋体" w:hAnsi="宋体" w:eastAsia="宋体"/>
          <w:sz w:val="21"/>
          <w:szCs w:val="21"/>
          <w:lang w:eastAsia="zh-CN"/>
        </w:rPr>
        <w:t>；</w:t>
      </w:r>
      <w:r>
        <w:rPr>
          <w:rFonts w:hint="eastAsia" w:ascii="宋体" w:hAnsi="宋体" w:eastAsia="宋体"/>
          <w:sz w:val="21"/>
          <w:szCs w:val="21"/>
        </w:rPr>
        <w:t>明确监管责任分工，加强收费监督管理工作</w:t>
      </w:r>
      <w:r>
        <w:rPr>
          <w:rFonts w:hint="eastAsia" w:ascii="宋体" w:hAnsi="宋体" w:eastAsia="宋体"/>
          <w:sz w:val="21"/>
          <w:szCs w:val="21"/>
          <w:lang w:eastAsia="zh-CN"/>
        </w:rPr>
        <w:t>；</w:t>
      </w:r>
      <w:r>
        <w:rPr>
          <w:rFonts w:hint="eastAsia" w:ascii="宋体" w:hAnsi="宋体" w:eastAsia="宋体"/>
          <w:sz w:val="21"/>
          <w:szCs w:val="21"/>
        </w:rPr>
        <w:t>制定收费限制与优惠方案，提高泊位使用效率。通过实施差别化收费的停车政策，降低路内停车比例、提高路外公共停车场的使用效率，缓解停车问题。</w:t>
      </w:r>
    </w:p>
    <w:p>
      <w:pPr>
        <w:ind w:firstLine="420" w:firstLineChars="200"/>
        <w:jc w:val="both"/>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五</w:t>
      </w:r>
      <w:r>
        <w:rPr>
          <w:rFonts w:hint="eastAsia" w:ascii="宋体" w:hAnsi="宋体" w:eastAsia="宋体"/>
          <w:sz w:val="21"/>
          <w:szCs w:val="21"/>
        </w:rPr>
        <w:t>：智慧停车，提高停车效率。建设东湖高新区停车信息综合管理服务平台，对接武汉市城市停车信息系统，统一管理停车泊位信息</w:t>
      </w:r>
      <w:r>
        <w:rPr>
          <w:rFonts w:hint="eastAsia" w:ascii="宋体" w:hAnsi="宋体" w:eastAsia="宋体"/>
          <w:sz w:val="21"/>
          <w:szCs w:val="21"/>
          <w:lang w:val="en-US" w:eastAsia="zh-CN"/>
        </w:rPr>
        <w:t>和</w:t>
      </w:r>
      <w:r>
        <w:rPr>
          <w:rFonts w:hint="eastAsia" w:ascii="宋体" w:hAnsi="宋体" w:eastAsia="宋体"/>
          <w:sz w:val="21"/>
          <w:szCs w:val="21"/>
        </w:rPr>
        <w:t>数据</w:t>
      </w:r>
      <w:r>
        <w:rPr>
          <w:rFonts w:hint="eastAsia" w:ascii="宋体" w:hAnsi="宋体" w:eastAsia="宋体"/>
          <w:sz w:val="21"/>
          <w:szCs w:val="21"/>
          <w:lang w:val="en-US" w:eastAsia="zh-CN"/>
        </w:rPr>
        <w:t>的</w:t>
      </w:r>
      <w:r>
        <w:rPr>
          <w:rFonts w:hint="eastAsia" w:ascii="宋体" w:hAnsi="宋体" w:eastAsia="宋体"/>
          <w:sz w:val="21"/>
          <w:szCs w:val="21"/>
        </w:rPr>
        <w:t>使用</w:t>
      </w:r>
      <w:r>
        <w:rPr>
          <w:rFonts w:hint="eastAsia" w:ascii="宋体" w:hAnsi="宋体" w:eastAsia="宋体"/>
          <w:sz w:val="21"/>
          <w:szCs w:val="21"/>
          <w:highlight w:val="none"/>
          <w:u w:val="none"/>
          <w:lang w:eastAsia="zh-CN"/>
        </w:rPr>
        <w:t>。</w:t>
      </w:r>
      <w:r>
        <w:rPr>
          <w:rFonts w:hint="eastAsia" w:ascii="宋体" w:hAnsi="宋体" w:eastAsia="宋体"/>
          <w:sz w:val="21"/>
          <w:szCs w:val="21"/>
        </w:rPr>
        <w:t>加强</w:t>
      </w:r>
      <w:r>
        <w:rPr>
          <w:rFonts w:hint="eastAsia" w:ascii="宋体" w:hAnsi="宋体" w:eastAsia="宋体"/>
          <w:sz w:val="21"/>
          <w:szCs w:val="21"/>
          <w:highlight w:val="none"/>
          <w:u w:val="none"/>
          <w:lang w:eastAsia="zh-CN"/>
        </w:rPr>
        <w:t>管理</w:t>
      </w:r>
      <w:r>
        <w:rPr>
          <w:rFonts w:hint="eastAsia" w:ascii="宋体" w:hAnsi="宋体" w:eastAsia="宋体"/>
          <w:sz w:val="21"/>
          <w:szCs w:val="21"/>
        </w:rPr>
        <w:t>停车信息</w:t>
      </w:r>
      <w:r>
        <w:rPr>
          <w:rFonts w:hint="eastAsia" w:ascii="宋体" w:hAnsi="宋体" w:eastAsia="宋体"/>
          <w:sz w:val="21"/>
          <w:szCs w:val="21"/>
          <w:highlight w:val="none"/>
          <w:u w:val="none"/>
          <w:lang w:eastAsia="zh-CN"/>
        </w:rPr>
        <w:t>数据和</w:t>
      </w:r>
      <w:r>
        <w:rPr>
          <w:rFonts w:hint="eastAsia" w:ascii="宋体" w:hAnsi="宋体" w:eastAsia="宋体"/>
          <w:sz w:val="21"/>
          <w:szCs w:val="21"/>
        </w:rPr>
        <w:t>发布</w:t>
      </w:r>
      <w:r>
        <w:rPr>
          <w:rFonts w:hint="eastAsia" w:ascii="宋体" w:hAnsi="宋体" w:eastAsia="宋体"/>
          <w:sz w:val="21"/>
          <w:szCs w:val="21"/>
          <w:lang w:val="en-US" w:eastAsia="zh-CN"/>
        </w:rPr>
        <w:t>有关的停车</w:t>
      </w:r>
      <w:r>
        <w:rPr>
          <w:rFonts w:hint="eastAsia" w:ascii="宋体" w:hAnsi="宋体" w:eastAsia="宋体"/>
          <w:sz w:val="21"/>
          <w:szCs w:val="21"/>
          <w:highlight w:val="none"/>
        </w:rPr>
        <w:t>信</w:t>
      </w:r>
      <w:r>
        <w:rPr>
          <w:rFonts w:hint="eastAsia" w:ascii="宋体" w:hAnsi="宋体" w:eastAsia="宋体"/>
          <w:sz w:val="21"/>
          <w:szCs w:val="21"/>
        </w:rPr>
        <w:t>息，服务市民出行及政府决策</w:t>
      </w:r>
      <w:r>
        <w:rPr>
          <w:rFonts w:hint="eastAsia" w:ascii="宋体" w:hAnsi="宋体" w:eastAsia="宋体"/>
          <w:sz w:val="21"/>
          <w:szCs w:val="21"/>
          <w:highlight w:val="none"/>
          <w:u w:val="none"/>
          <w:lang w:eastAsia="zh-CN"/>
        </w:rPr>
        <w:t>。</w:t>
      </w:r>
      <w:r>
        <w:rPr>
          <w:rFonts w:hint="eastAsia" w:ascii="宋体" w:hAnsi="宋体" w:eastAsia="宋体"/>
          <w:sz w:val="21"/>
          <w:szCs w:val="21"/>
        </w:rPr>
        <w:t>在城市中心区以外大型公交换乘枢纽处建设P+R停车场，完善P+R停车收费管理体系</w:t>
      </w:r>
      <w:r>
        <w:rPr>
          <w:rFonts w:hint="eastAsia" w:ascii="宋体" w:hAnsi="宋体" w:eastAsia="宋体"/>
          <w:sz w:val="21"/>
          <w:szCs w:val="21"/>
          <w:highlight w:val="none"/>
          <w:lang w:eastAsia="zh-CN"/>
        </w:rPr>
        <w:t>，</w:t>
      </w:r>
      <w:r>
        <w:rPr>
          <w:rFonts w:hint="eastAsia" w:ascii="宋体" w:hAnsi="宋体" w:eastAsia="宋体"/>
          <w:sz w:val="21"/>
          <w:szCs w:val="21"/>
        </w:rPr>
        <w:t>与公交收费管理体系</w:t>
      </w:r>
      <w:r>
        <w:rPr>
          <w:rFonts w:hint="eastAsia" w:ascii="宋体" w:hAnsi="宋体" w:eastAsia="宋体"/>
          <w:sz w:val="21"/>
          <w:szCs w:val="21"/>
          <w:highlight w:val="none"/>
          <w:lang w:val="en-US" w:eastAsia="zh-CN"/>
        </w:rPr>
        <w:t>连</w:t>
      </w:r>
      <w:r>
        <w:rPr>
          <w:rFonts w:hint="eastAsia" w:ascii="宋体" w:hAnsi="宋体" w:eastAsia="宋体"/>
          <w:sz w:val="21"/>
          <w:szCs w:val="21"/>
          <w:highlight w:val="none"/>
          <w:lang w:eastAsia="zh-CN"/>
        </w:rPr>
        <w:t>接</w:t>
      </w:r>
      <w:r>
        <w:rPr>
          <w:rFonts w:hint="eastAsia" w:ascii="宋体" w:hAnsi="宋体" w:eastAsia="宋体"/>
          <w:sz w:val="21"/>
          <w:szCs w:val="21"/>
        </w:rPr>
        <w:t>，推广电子停车收费技术</w:t>
      </w:r>
      <w:r>
        <w:rPr>
          <w:rFonts w:hint="eastAsia" w:ascii="宋体" w:hAnsi="宋体" w:eastAsia="宋体"/>
          <w:sz w:val="21"/>
          <w:szCs w:val="21"/>
          <w:lang w:val="en-US" w:eastAsia="zh-CN"/>
        </w:rPr>
        <w:t>的</w:t>
      </w:r>
      <w:r>
        <w:rPr>
          <w:rFonts w:hint="eastAsia" w:ascii="宋体" w:hAnsi="宋体" w:eastAsia="宋体"/>
          <w:sz w:val="21"/>
          <w:szCs w:val="21"/>
        </w:rPr>
        <w:t>使用，建设停车诱导系统，提高停车设施管理</w:t>
      </w:r>
      <w:r>
        <w:rPr>
          <w:rFonts w:hint="eastAsia" w:ascii="宋体" w:hAnsi="宋体" w:eastAsia="宋体"/>
          <w:sz w:val="21"/>
          <w:szCs w:val="21"/>
          <w:lang w:val="en-US" w:eastAsia="zh-CN"/>
        </w:rPr>
        <w:t>和</w:t>
      </w:r>
      <w:r>
        <w:rPr>
          <w:rFonts w:hint="eastAsia" w:ascii="宋体" w:hAnsi="宋体" w:eastAsia="宋体"/>
          <w:sz w:val="21"/>
          <w:szCs w:val="21"/>
        </w:rPr>
        <w:t>利用效率。</w:t>
      </w:r>
    </w:p>
    <w:p>
      <w:pPr>
        <w:ind w:firstLine="420" w:firstLineChars="200"/>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六</w:t>
      </w:r>
      <w:r>
        <w:rPr>
          <w:rFonts w:hint="eastAsia" w:ascii="宋体" w:hAnsi="宋体" w:eastAsia="宋体"/>
          <w:sz w:val="21"/>
          <w:szCs w:val="21"/>
        </w:rPr>
        <w:t>：停车共享，发挥最大效用。</w:t>
      </w:r>
      <w:r>
        <w:rPr>
          <w:rFonts w:hint="eastAsia" w:ascii="宋体" w:hAnsi="宋体" w:eastAsia="宋体"/>
          <w:sz w:val="21"/>
          <w:szCs w:val="21"/>
          <w:lang w:val="en-US" w:eastAsia="zh-CN"/>
        </w:rPr>
        <w:t>在</w:t>
      </w:r>
      <w:r>
        <w:rPr>
          <w:rFonts w:hint="eastAsia" w:ascii="宋体" w:hAnsi="宋体" w:eastAsia="宋体"/>
          <w:sz w:val="21"/>
          <w:szCs w:val="21"/>
        </w:rPr>
        <w:t>用户之间、不同建筑物之间建立开放泊位共享策略，</w:t>
      </w:r>
      <w:r>
        <w:rPr>
          <w:rFonts w:hint="eastAsia" w:ascii="宋体" w:hAnsi="宋体" w:eastAsia="宋体"/>
          <w:sz w:val="21"/>
          <w:szCs w:val="21"/>
          <w:lang w:val="en-US" w:eastAsia="zh-CN"/>
        </w:rPr>
        <w:t>以</w:t>
      </w:r>
      <w:r>
        <w:rPr>
          <w:rFonts w:hint="eastAsia" w:ascii="宋体" w:hAnsi="宋体" w:eastAsia="宋体"/>
          <w:sz w:val="21"/>
          <w:szCs w:val="21"/>
        </w:rPr>
        <w:t>提高</w:t>
      </w:r>
      <w:r>
        <w:rPr>
          <w:rFonts w:hint="eastAsia" w:ascii="宋体" w:hAnsi="宋体" w:eastAsia="宋体"/>
          <w:sz w:val="21"/>
          <w:szCs w:val="21"/>
          <w:lang w:val="en-US" w:eastAsia="zh-CN"/>
        </w:rPr>
        <w:t>现</w:t>
      </w:r>
      <w:r>
        <w:rPr>
          <w:rFonts w:hint="eastAsia" w:ascii="宋体" w:hAnsi="宋体" w:eastAsia="宋体"/>
          <w:sz w:val="21"/>
          <w:szCs w:val="21"/>
        </w:rPr>
        <w:t>有停车设施的停车能力。</w:t>
      </w:r>
      <w:r>
        <w:rPr>
          <w:rFonts w:hint="eastAsia" w:ascii="宋体" w:hAnsi="宋体" w:eastAsia="宋体"/>
          <w:sz w:val="21"/>
          <w:szCs w:val="21"/>
          <w:lang w:val="en-US" w:eastAsia="zh-CN"/>
        </w:rPr>
        <w:t>如实现</w:t>
      </w:r>
      <w:r>
        <w:rPr>
          <w:rFonts w:hint="eastAsia" w:ascii="宋体" w:hAnsi="宋体" w:eastAsia="宋体"/>
          <w:sz w:val="21"/>
          <w:szCs w:val="21"/>
        </w:rPr>
        <w:t>住宅小区与周边商业办公建筑错时共享停车位。</w:t>
      </w:r>
    </w:p>
    <w:p>
      <w:pPr>
        <w:ind w:firstLine="420" w:firstLineChars="200"/>
        <w:rPr>
          <w:rFonts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七</w:t>
      </w:r>
      <w:r>
        <w:rPr>
          <w:rFonts w:hint="eastAsia" w:ascii="宋体" w:hAnsi="宋体" w:eastAsia="宋体"/>
          <w:sz w:val="21"/>
          <w:szCs w:val="21"/>
        </w:rPr>
        <w:t>：动静平衡，实现持续发展。根据不同分区“动”的发展水平、发展规划，制定差异化的静态交通供应策略，以静制动，实现动静的相对平衡，协调发展。</w:t>
      </w:r>
    </w:p>
    <w:p>
      <w:pPr>
        <w:ind w:firstLine="420" w:firstLineChars="200"/>
        <w:rPr>
          <w:rFonts w:hint="eastAsia" w:ascii="宋体" w:hAnsi="宋体" w:eastAsia="宋体"/>
          <w:sz w:val="21"/>
          <w:szCs w:val="21"/>
        </w:rPr>
      </w:pPr>
      <w:r>
        <w:rPr>
          <w:rFonts w:hint="eastAsia" w:ascii="宋体" w:hAnsi="宋体" w:eastAsia="宋体"/>
          <w:sz w:val="21"/>
          <w:szCs w:val="21"/>
        </w:rPr>
        <w:t>策略</w:t>
      </w:r>
      <w:r>
        <w:rPr>
          <w:rFonts w:hint="eastAsia" w:ascii="宋体" w:hAnsi="宋体" w:eastAsia="宋体"/>
          <w:sz w:val="21"/>
          <w:szCs w:val="21"/>
          <w:lang w:val="en-US" w:eastAsia="zh-CN"/>
        </w:rPr>
        <w:t>八</w:t>
      </w:r>
      <w:r>
        <w:rPr>
          <w:rFonts w:hint="eastAsia" w:ascii="宋体" w:hAnsi="宋体" w:eastAsia="宋体"/>
          <w:sz w:val="21"/>
          <w:szCs w:val="21"/>
        </w:rPr>
        <w:t>：严格管理，促进有序停车。进一步明确建筑物配建、路外公共和路内停车的建设、管理责任主体，严格执行建筑物停车设施配建标准</w:t>
      </w:r>
      <w:r>
        <w:rPr>
          <w:rFonts w:hint="eastAsia" w:ascii="宋体" w:hAnsi="宋体" w:eastAsia="宋体"/>
          <w:sz w:val="21"/>
          <w:szCs w:val="21"/>
          <w:lang w:val="en-US" w:eastAsia="zh-CN"/>
        </w:rPr>
        <w:t>和</w:t>
      </w:r>
      <w:r>
        <w:rPr>
          <w:rFonts w:hint="eastAsia" w:ascii="宋体" w:hAnsi="宋体" w:eastAsia="宋体"/>
          <w:sz w:val="21"/>
          <w:szCs w:val="21"/>
        </w:rPr>
        <w:t>机动车道路临时停放管理办法。</w:t>
      </w:r>
    </w:p>
    <w:p>
      <w:pPr>
        <w:rPr>
          <w:rFonts w:hint="eastAsia" w:ascii="黑体" w:hAnsi="黑体" w:eastAsia="黑体"/>
          <w:sz w:val="28"/>
          <w:szCs w:val="28"/>
          <w:lang w:val="en-US" w:eastAsia="zh-CN"/>
        </w:rPr>
      </w:pPr>
      <w:r>
        <w:rPr>
          <w:rFonts w:hint="eastAsia" w:ascii="黑体" w:hAnsi="黑体" w:eastAsia="黑体"/>
          <w:sz w:val="21"/>
          <w:szCs w:val="21"/>
          <w:lang w:val="en-US" w:eastAsia="zh-CN"/>
        </w:rPr>
        <w:t>6结论</w:t>
      </w:r>
    </w:p>
    <w:p>
      <w:pPr>
        <w:ind w:firstLine="420" w:firstLineChars="200"/>
        <w:rPr>
          <w:rFonts w:hint="default" w:ascii="黑体" w:hAnsi="黑体" w:eastAsia="黑体"/>
          <w:sz w:val="21"/>
          <w:szCs w:val="21"/>
          <w:highlight w:val="none"/>
          <w:lang w:val="en-US" w:eastAsia="zh-CN"/>
        </w:rPr>
      </w:pPr>
      <w:r>
        <w:rPr>
          <w:rFonts w:hint="eastAsia" w:ascii="宋体" w:hAnsi="宋体" w:eastAsia="宋体"/>
          <w:sz w:val="21"/>
          <w:szCs w:val="21"/>
          <w:lang w:val="en-US" w:eastAsia="zh-CN"/>
        </w:rPr>
        <w:t>停车问题</w:t>
      </w:r>
      <w:r>
        <w:rPr>
          <w:rFonts w:hint="eastAsia" w:ascii="宋体" w:hAnsi="宋体" w:eastAsia="宋体"/>
          <w:sz w:val="21"/>
          <w:szCs w:val="21"/>
          <w:highlight w:val="none"/>
          <w:lang w:val="en-US" w:eastAsia="zh-CN"/>
        </w:rPr>
        <w:t>关系到</w:t>
      </w:r>
      <w:r>
        <w:rPr>
          <w:rFonts w:hint="eastAsia" w:ascii="宋体" w:hAnsi="宋体" w:eastAsia="宋体"/>
          <w:sz w:val="21"/>
          <w:szCs w:val="21"/>
          <w:lang w:val="en-US" w:eastAsia="zh-CN"/>
        </w:rPr>
        <w:t>驾驶人的出行便利，道路是否畅通，人们生活品质的高低，甚至是经济</w:t>
      </w:r>
      <w:r>
        <w:rPr>
          <w:rFonts w:hint="eastAsia" w:ascii="宋体" w:hAnsi="宋体" w:eastAsia="宋体"/>
          <w:sz w:val="21"/>
          <w:szCs w:val="21"/>
          <w:highlight w:val="none"/>
          <w:lang w:val="en-US" w:eastAsia="zh-CN"/>
        </w:rPr>
        <w:t>社会</w:t>
      </w:r>
      <w:r>
        <w:rPr>
          <w:rFonts w:hint="eastAsia" w:ascii="宋体" w:hAnsi="宋体" w:eastAsia="宋体"/>
          <w:sz w:val="21"/>
          <w:szCs w:val="21"/>
          <w:lang w:val="en-US" w:eastAsia="zh-CN"/>
        </w:rPr>
        <w:t>的发展。通过对武汉市</w:t>
      </w:r>
      <w:r>
        <w:rPr>
          <w:rFonts w:hint="eastAsia" w:ascii="宋体" w:hAnsi="宋体" w:eastAsia="宋体"/>
          <w:sz w:val="21"/>
          <w:szCs w:val="21"/>
          <w:highlight w:val="none"/>
          <w:lang w:val="en-US" w:eastAsia="zh-CN"/>
        </w:rPr>
        <w:t>东湖</w:t>
      </w:r>
      <w:r>
        <w:rPr>
          <w:rFonts w:hint="eastAsia" w:ascii="宋体" w:hAnsi="宋体" w:eastAsia="宋体"/>
          <w:sz w:val="21"/>
          <w:szCs w:val="21"/>
          <w:lang w:val="en-US" w:eastAsia="zh-CN"/>
        </w:rPr>
        <w:t>高新区停车需求以及</w:t>
      </w:r>
      <w:r>
        <w:rPr>
          <w:rFonts w:hint="eastAsia" w:ascii="宋体" w:hAnsi="宋体" w:eastAsia="宋体"/>
          <w:sz w:val="21"/>
          <w:szCs w:val="21"/>
          <w:highlight w:val="none"/>
          <w:lang w:val="en-US" w:eastAsia="zh-CN"/>
        </w:rPr>
        <w:t>停车泊位建设</w:t>
      </w:r>
      <w:r>
        <w:rPr>
          <w:rFonts w:hint="eastAsia" w:ascii="宋体" w:hAnsi="宋体" w:eastAsia="宋体"/>
          <w:sz w:val="21"/>
          <w:szCs w:val="21"/>
          <w:lang w:val="en-US" w:eastAsia="zh-CN"/>
        </w:rPr>
        <w:t>用地弹性供给策略分析，</w:t>
      </w:r>
      <w:r>
        <w:rPr>
          <w:rFonts w:hint="eastAsia" w:ascii="宋体" w:hAnsi="宋体" w:eastAsia="宋体"/>
          <w:sz w:val="21"/>
          <w:szCs w:val="21"/>
          <w:highlight w:val="none"/>
          <w:lang w:val="en-US" w:eastAsia="zh-CN"/>
        </w:rPr>
        <w:t>有利于土地集约化使用，</w:t>
      </w:r>
      <w:r>
        <w:rPr>
          <w:rFonts w:hint="eastAsia" w:ascii="宋体" w:hAnsi="宋体" w:eastAsia="宋体"/>
          <w:sz w:val="21"/>
          <w:szCs w:val="21"/>
          <w:lang w:val="en-US" w:eastAsia="zh-CN"/>
        </w:rPr>
        <w:t>有利于</w:t>
      </w:r>
      <w:r>
        <w:rPr>
          <w:rFonts w:hint="eastAsia" w:ascii="宋体" w:hAnsi="宋体" w:eastAsia="宋体"/>
          <w:sz w:val="21"/>
          <w:szCs w:val="21"/>
          <w:highlight w:val="none"/>
          <w:u w:val="none"/>
          <w:lang w:val="en-US" w:eastAsia="zh-CN"/>
        </w:rPr>
        <w:t>解决</w:t>
      </w:r>
      <w:r>
        <w:rPr>
          <w:rFonts w:hint="eastAsia" w:ascii="宋体" w:hAnsi="宋体" w:eastAsia="宋体"/>
          <w:sz w:val="21"/>
          <w:szCs w:val="21"/>
          <w:lang w:val="en-US" w:eastAsia="zh-CN"/>
        </w:rPr>
        <w:t>新城区停车</w:t>
      </w:r>
      <w:r>
        <w:rPr>
          <w:rFonts w:hint="eastAsia" w:ascii="宋体" w:hAnsi="宋体" w:eastAsia="宋体"/>
          <w:sz w:val="21"/>
          <w:szCs w:val="21"/>
          <w:highlight w:val="none"/>
          <w:lang w:val="en-US" w:eastAsia="zh-CN"/>
        </w:rPr>
        <w:t>难</w:t>
      </w:r>
      <w:r>
        <w:rPr>
          <w:rFonts w:hint="eastAsia" w:ascii="宋体" w:hAnsi="宋体" w:eastAsia="宋体"/>
          <w:sz w:val="21"/>
          <w:szCs w:val="21"/>
          <w:lang w:val="en-US" w:eastAsia="zh-CN"/>
        </w:rPr>
        <w:t>问题，</w:t>
      </w:r>
      <w:r>
        <w:rPr>
          <w:rFonts w:hint="eastAsia" w:ascii="宋体" w:hAnsi="宋体" w:eastAsia="宋体"/>
          <w:sz w:val="21"/>
          <w:szCs w:val="21"/>
          <w:highlight w:val="none"/>
          <w:lang w:val="en-US" w:eastAsia="zh-CN"/>
        </w:rPr>
        <w:t>引导停车产业健康发展，</w:t>
      </w:r>
      <w:r>
        <w:rPr>
          <w:rFonts w:hint="eastAsia" w:ascii="宋体" w:hAnsi="宋体" w:eastAsia="宋体"/>
          <w:sz w:val="21"/>
          <w:szCs w:val="21"/>
          <w:lang w:val="en-US" w:eastAsia="zh-CN"/>
        </w:rPr>
        <w:t>方便市民出行</w:t>
      </w:r>
      <w:r>
        <w:rPr>
          <w:rFonts w:hint="eastAsia" w:ascii="宋体" w:hAnsi="宋体" w:eastAsia="宋体"/>
          <w:sz w:val="21"/>
          <w:szCs w:val="21"/>
          <w:u w:val="none"/>
          <w:lang w:val="en-US" w:eastAsia="zh-CN"/>
        </w:rPr>
        <w:t>，</w:t>
      </w:r>
      <w:r>
        <w:rPr>
          <w:rFonts w:hint="eastAsia" w:ascii="宋体" w:hAnsi="宋体" w:eastAsia="宋体"/>
          <w:sz w:val="21"/>
          <w:szCs w:val="21"/>
          <w:highlight w:val="none"/>
          <w:u w:val="none"/>
          <w:lang w:val="en-US" w:eastAsia="zh-CN"/>
        </w:rPr>
        <w:t>为东湖高新区经济社会发展开辟绿色交通新篇章</w:t>
      </w:r>
      <w:r>
        <w:rPr>
          <w:rFonts w:hint="eastAsia" w:ascii="宋体" w:hAnsi="宋体" w:eastAsia="宋体"/>
          <w:sz w:val="21"/>
          <w:szCs w:val="21"/>
          <w:highlight w:val="none"/>
          <w:lang w:val="en-US" w:eastAsia="zh-CN"/>
        </w:rPr>
        <w:t>。</w:t>
      </w:r>
    </w:p>
    <w:p>
      <w:pPr>
        <w:rPr>
          <w:rFonts w:hint="eastAsia" w:ascii="宋体" w:hAnsi="宋体" w:eastAsia="宋体"/>
          <w:sz w:val="28"/>
          <w:szCs w:val="28"/>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参考文献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[1]冯奎，郑明媚.中国新城城区发展报告[M].北京：中国发展出版社，2015.</w:t>
      </w:r>
    </w:p>
    <w:p>
      <w:pPr>
        <w:rPr>
          <w:rFonts w:hint="eastAsia" w:ascii="Times New Roman" w:hAnsi="Times New Roman" w:eastAsia="宋体" w:cs="Times New Roman"/>
          <w:sz w:val="18"/>
          <w:szCs w:val="18"/>
          <w:lang w:val="en-US" w:eastAsia="zh-CN"/>
        </w:rPr>
      </w:pPr>
      <w:r>
        <w:rPr>
          <w:rFonts w:hint="eastAsia" w:ascii="宋体" w:hAnsi="宋体" w:eastAsia="宋体" w:cs="宋体"/>
          <w:sz w:val="18"/>
          <w:szCs w:val="18"/>
          <w:lang w:val="en-US" w:eastAsia="zh-CN"/>
        </w:rPr>
        <w:t>[2]</w:t>
      </w:r>
      <w:r>
        <w:rPr>
          <w:rFonts w:hint="eastAsia" w:ascii="Times New Roman" w:hAnsi="Times New Roman" w:eastAsia="宋体" w:cs="Times New Roman"/>
          <w:sz w:val="18"/>
          <w:szCs w:val="18"/>
          <w:lang w:val="en-US" w:eastAsia="zh-CN"/>
        </w:rPr>
        <w:t>Evans G.From Cultural Quarters to Creative Clusters:Creative Spaces in the New City Economy[J].Cities Institute,2009(b):32-59.</w:t>
      </w:r>
    </w:p>
    <w:p>
      <w:pPr>
        <w:jc w:val="both"/>
        <w:rPr>
          <w:rFonts w:hint="eastAsia" w:ascii="Times New Roman" w:hAnsi="Times New Roman" w:eastAsia="宋体" w:cs="Times New Roman"/>
          <w:sz w:val="18"/>
          <w:szCs w:val="18"/>
          <w:lang w:val="en-US" w:eastAsia="zh-CN"/>
        </w:rPr>
      </w:pPr>
      <w:r>
        <w:rPr>
          <w:rFonts w:hint="eastAsia" w:ascii="宋体" w:hAnsi="宋体" w:eastAsia="宋体" w:cs="宋体"/>
          <w:sz w:val="18"/>
          <w:szCs w:val="18"/>
          <w:lang w:val="en-US" w:eastAsia="zh-CN"/>
        </w:rPr>
        <w:t>[3]</w:t>
      </w:r>
      <w:r>
        <w:rPr>
          <w:rFonts w:hint="eastAsia" w:ascii="Times New Roman" w:hAnsi="Times New Roman" w:eastAsia="宋体" w:cs="Times New Roman"/>
          <w:sz w:val="18"/>
          <w:szCs w:val="18"/>
          <w:lang w:val="en-US" w:eastAsia="zh-CN"/>
        </w:rPr>
        <w:t>Henry C.Entrepreneurship in the Creative Industries:An International Perspective [M].Northampton,Mass:Edward Elgar Pub,2008.</w:t>
      </w:r>
    </w:p>
    <w:p>
      <w:pPr>
        <w:jc w:val="both"/>
        <w:rPr>
          <w:rFonts w:hint="default" w:ascii="Times New Roman" w:hAnsi="Times New Roman" w:eastAsia="宋体" w:cs="Times New Roman"/>
          <w:sz w:val="18"/>
          <w:szCs w:val="18"/>
          <w:lang w:val="en-US" w:eastAsia="zh-CN"/>
        </w:rPr>
      </w:pPr>
      <w:r>
        <w:rPr>
          <w:rFonts w:hint="eastAsia" w:ascii="宋体" w:hAnsi="宋体" w:eastAsia="宋体" w:cs="宋体"/>
          <w:sz w:val="18"/>
          <w:szCs w:val="18"/>
          <w:lang w:val="en-US" w:eastAsia="zh-CN"/>
        </w:rPr>
        <w:t>[4]</w:t>
      </w:r>
      <w:r>
        <w:rPr>
          <w:rFonts w:hint="default" w:ascii="Times New Roman" w:hAnsi="Times New Roman" w:eastAsia="宋体" w:cs="Times New Roman"/>
          <w:sz w:val="18"/>
          <w:szCs w:val="18"/>
          <w:lang w:val="en-US" w:eastAsia="zh-CN"/>
        </w:rPr>
        <w:t>Florida R,Mellander C,Stolarick K.Inside the Black Box of Regional Development:Human Capital,the Creative Class and Tolerance[J].Journal</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lang w:val="en-US" w:eastAsia="zh-CN"/>
        </w:rPr>
        <w:t>of Economic Geography ,2008,8(5):615-649.</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[5]池利兵，王健.新城综合交通体系规划重点内容解析[C].中国城市交通2011年年会—城市交通发展模式转型与创新，2011.</w:t>
      </w:r>
    </w:p>
    <w:p>
      <w:pPr>
        <w:pStyle w:val="5"/>
        <w:keepNext w:val="0"/>
        <w:keepLines w:val="0"/>
        <w:widowControl/>
        <w:suppressLineNumbers w:val="0"/>
        <w:spacing w:before="226" w:beforeAutospacing="0" w:after="0" w:afterAutospacing="0" w:line="420" w:lineRule="atLeast"/>
        <w:ind w:left="0" w:right="0"/>
        <w:jc w:val="left"/>
        <w:rPr>
          <w:rFonts w:hint="eastAsia" w:ascii="黑体" w:hAnsi="黑体" w:eastAsia="黑体" w:cs="黑体"/>
          <w:sz w:val="18"/>
          <w:szCs w:val="18"/>
          <w:lang w:val="en-US" w:eastAsia="zh-CN"/>
        </w:rPr>
        <w:sectPr>
          <w:type w:val="continuous"/>
          <w:pgSz w:w="11906" w:h="16838"/>
          <w:pgMar w:top="1417" w:right="1134" w:bottom="964" w:left="1134" w:header="851" w:footer="992" w:gutter="0"/>
          <w:pgBorders>
            <w:top w:val="none" w:sz="0" w:space="0"/>
            <w:left w:val="none" w:sz="0" w:space="0"/>
            <w:bottom w:val="none" w:sz="0" w:space="0"/>
            <w:right w:val="none" w:sz="0" w:space="0"/>
          </w:pgBorders>
          <w:cols w:equalWidth="0" w:num="2">
            <w:col w:w="4606" w:space="425"/>
            <w:col w:w="4606"/>
          </w:cols>
          <w:rtlGutter w:val="0"/>
          <w:docGrid w:type="lines" w:linePitch="312" w:charSpace="0"/>
        </w:sectPr>
      </w:pPr>
    </w:p>
    <w:p>
      <w:pPr>
        <w:pStyle w:val="5"/>
        <w:keepNext w:val="0"/>
        <w:keepLines w:val="0"/>
        <w:widowControl/>
        <w:suppressLineNumbers w:val="0"/>
        <w:spacing w:before="226" w:beforeAutospacing="0" w:after="0" w:afterAutospacing="0" w:line="420" w:lineRule="atLeast"/>
        <w:ind w:left="0" w:right="0"/>
        <w:jc w:val="left"/>
        <w:rPr>
          <w:rFonts w:hint="eastAsia" w:ascii="楷体" w:hAnsi="楷体" w:eastAsia="楷体" w:cs="楷体"/>
          <w:sz w:val="18"/>
          <w:szCs w:val="18"/>
          <w:lang w:val="en-US" w:eastAsia="zh-CN"/>
        </w:rPr>
      </w:pPr>
      <w:r>
        <w:rPr>
          <w:rFonts w:hint="eastAsia" w:ascii="黑体" w:hAnsi="黑体" w:eastAsia="黑体" w:cs="黑体"/>
          <w:sz w:val="18"/>
          <w:szCs w:val="18"/>
          <w:lang w:val="en-US" w:eastAsia="zh-CN"/>
        </w:rPr>
        <w:t>作者简介：1.</w:t>
      </w:r>
      <w:r>
        <w:rPr>
          <w:rFonts w:hint="eastAsia" w:ascii="楷体" w:hAnsi="楷体" w:eastAsia="楷体" w:cs="楷体"/>
          <w:sz w:val="18"/>
          <w:szCs w:val="18"/>
          <w:lang w:val="en-US" w:eastAsia="zh-CN"/>
        </w:rPr>
        <w:t>王琼霄（1995年— ），女，湖北黄冈，学生，研究生，武汉工程大学，道路与交通，联系方式：15623557679，地址：湖北省武汉市洪山区虎泉街366号武汉工程大学邮电与信息工程学院，邮编：430073，邮箱：</w:t>
      </w:r>
      <w:r>
        <w:rPr>
          <w:rFonts w:hint="eastAsia" w:ascii="楷体" w:hAnsi="楷体" w:eastAsia="楷体" w:cs="楷体"/>
          <w:sz w:val="18"/>
          <w:szCs w:val="18"/>
          <w:lang w:val="en-US" w:eastAsia="zh-CN"/>
        </w:rPr>
        <w:fldChar w:fldCharType="begin"/>
      </w:r>
      <w:r>
        <w:rPr>
          <w:rFonts w:hint="eastAsia" w:ascii="楷体" w:hAnsi="楷体" w:eastAsia="楷体" w:cs="楷体"/>
          <w:sz w:val="18"/>
          <w:szCs w:val="18"/>
          <w:lang w:val="en-US" w:eastAsia="zh-CN"/>
        </w:rPr>
        <w:instrText xml:space="preserve"> HYPERLINK "mailto:327412034@qq.com。" </w:instrText>
      </w:r>
      <w:r>
        <w:rPr>
          <w:rFonts w:hint="eastAsia" w:ascii="楷体" w:hAnsi="楷体" w:eastAsia="楷体" w:cs="楷体"/>
          <w:sz w:val="18"/>
          <w:szCs w:val="18"/>
          <w:lang w:val="en-US" w:eastAsia="zh-CN"/>
        </w:rPr>
        <w:fldChar w:fldCharType="separate"/>
      </w:r>
      <w:r>
        <w:rPr>
          <w:rStyle w:val="11"/>
          <w:rFonts w:hint="eastAsia" w:ascii="楷体" w:hAnsi="楷体" w:eastAsia="楷体" w:cs="楷体"/>
          <w:sz w:val="18"/>
          <w:szCs w:val="18"/>
          <w:lang w:val="en-US" w:eastAsia="zh-CN"/>
        </w:rPr>
        <w:t>327412034@qq.com。</w:t>
      </w:r>
      <w:r>
        <w:rPr>
          <w:rFonts w:hint="eastAsia" w:ascii="楷体" w:hAnsi="楷体" w:eastAsia="楷体" w:cs="楷体"/>
          <w:sz w:val="18"/>
          <w:szCs w:val="18"/>
          <w:lang w:val="en-US" w:eastAsia="zh-CN"/>
        </w:rPr>
        <w:fldChar w:fldCharType="end"/>
      </w:r>
    </w:p>
    <w:p>
      <w:pPr>
        <w:pStyle w:val="5"/>
        <w:keepNext w:val="0"/>
        <w:keepLines w:val="0"/>
        <w:widowControl/>
        <w:suppressLineNumbers w:val="0"/>
        <w:spacing w:before="226" w:beforeAutospacing="0" w:after="0" w:afterAutospacing="0" w:line="420" w:lineRule="atLeast"/>
        <w:ind w:left="0" w:right="0"/>
        <w:jc w:val="left"/>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2.王族智（1966— ），男，湖北黄冈，工程师，工作单位：湖北省广播电视局蕲春中波转播台，职务：副台长，联系方式：13409727399，邮编：435317，邮箱：1500337598@qq.com，地址：湖北省黄冈市蕲春县横车镇马湖村。</w:t>
      </w:r>
    </w:p>
    <w:p>
      <w:pPr>
        <w:pStyle w:val="5"/>
        <w:keepNext w:val="0"/>
        <w:keepLines w:val="0"/>
        <w:widowControl/>
        <w:suppressLineNumbers w:val="0"/>
        <w:spacing w:before="226" w:beforeAutospacing="0" w:after="0" w:afterAutospacing="0" w:line="420" w:lineRule="atLeast"/>
        <w:ind w:left="0" w:right="0"/>
        <w:jc w:val="left"/>
        <w:rPr>
          <w:rFonts w:hint="default" w:ascii="楷体" w:hAnsi="楷体" w:eastAsia="楷体" w:cs="楷体"/>
          <w:sz w:val="18"/>
          <w:szCs w:val="18"/>
          <w:lang w:val="en-US" w:eastAsia="zh-CN"/>
        </w:rPr>
      </w:pPr>
    </w:p>
    <w:p>
      <w:pPr>
        <w:rPr>
          <w:rFonts w:hint="default" w:ascii="楷体" w:hAnsi="楷体" w:eastAsia="楷体" w:cs="楷体"/>
          <w:sz w:val="18"/>
          <w:szCs w:val="18"/>
          <w:lang w:val="en-US" w:eastAsia="zh-CN"/>
        </w:rPr>
      </w:pPr>
    </w:p>
    <w:sectPr>
      <w:type w:val="continuous"/>
      <w:pgSz w:w="11906" w:h="16838"/>
      <w:pgMar w:top="1417" w:right="1134" w:bottom="96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F47C4B"/>
    <w:multiLevelType w:val="singleLevel"/>
    <w:tmpl w:val="C5F47C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14"/>
    <w:rsid w:val="00012A76"/>
    <w:rsid w:val="000A2765"/>
    <w:rsid w:val="000C1CED"/>
    <w:rsid w:val="001319BE"/>
    <w:rsid w:val="0028446A"/>
    <w:rsid w:val="003017E0"/>
    <w:rsid w:val="00317A45"/>
    <w:rsid w:val="003F79F7"/>
    <w:rsid w:val="004158B0"/>
    <w:rsid w:val="00433E38"/>
    <w:rsid w:val="0043595A"/>
    <w:rsid w:val="00494B14"/>
    <w:rsid w:val="004A5180"/>
    <w:rsid w:val="004C783C"/>
    <w:rsid w:val="00524557"/>
    <w:rsid w:val="005908C4"/>
    <w:rsid w:val="005E6F17"/>
    <w:rsid w:val="00627ED1"/>
    <w:rsid w:val="006C70AE"/>
    <w:rsid w:val="006E2A2F"/>
    <w:rsid w:val="00727681"/>
    <w:rsid w:val="00756DA8"/>
    <w:rsid w:val="00773EF3"/>
    <w:rsid w:val="00774018"/>
    <w:rsid w:val="007B584A"/>
    <w:rsid w:val="00800D70"/>
    <w:rsid w:val="00802CBB"/>
    <w:rsid w:val="00840270"/>
    <w:rsid w:val="00924B6B"/>
    <w:rsid w:val="00941BEE"/>
    <w:rsid w:val="00962EFE"/>
    <w:rsid w:val="00A347C6"/>
    <w:rsid w:val="00A40ADB"/>
    <w:rsid w:val="00AD2C5A"/>
    <w:rsid w:val="00B33545"/>
    <w:rsid w:val="00BE4D95"/>
    <w:rsid w:val="00C444AF"/>
    <w:rsid w:val="00C77DF4"/>
    <w:rsid w:val="00E24DA8"/>
    <w:rsid w:val="00EE44A7"/>
    <w:rsid w:val="00F55FF3"/>
    <w:rsid w:val="00FF7BE8"/>
    <w:rsid w:val="010900D3"/>
    <w:rsid w:val="01403635"/>
    <w:rsid w:val="01C30846"/>
    <w:rsid w:val="01DA0771"/>
    <w:rsid w:val="01EC3458"/>
    <w:rsid w:val="023A4A67"/>
    <w:rsid w:val="02527B20"/>
    <w:rsid w:val="02BA0DED"/>
    <w:rsid w:val="02E31978"/>
    <w:rsid w:val="03075851"/>
    <w:rsid w:val="036603A2"/>
    <w:rsid w:val="03B25778"/>
    <w:rsid w:val="03BE21A7"/>
    <w:rsid w:val="045E6BC7"/>
    <w:rsid w:val="046C632F"/>
    <w:rsid w:val="04930848"/>
    <w:rsid w:val="04DF3311"/>
    <w:rsid w:val="04EE44AF"/>
    <w:rsid w:val="05056C4C"/>
    <w:rsid w:val="05145A63"/>
    <w:rsid w:val="053248CA"/>
    <w:rsid w:val="05F41F1A"/>
    <w:rsid w:val="0639589C"/>
    <w:rsid w:val="07286152"/>
    <w:rsid w:val="07495CA4"/>
    <w:rsid w:val="074D400C"/>
    <w:rsid w:val="07C44427"/>
    <w:rsid w:val="081F540D"/>
    <w:rsid w:val="0867194E"/>
    <w:rsid w:val="08FB427A"/>
    <w:rsid w:val="094D1269"/>
    <w:rsid w:val="094E6860"/>
    <w:rsid w:val="09736341"/>
    <w:rsid w:val="09963C0D"/>
    <w:rsid w:val="0A0231A5"/>
    <w:rsid w:val="0AB06821"/>
    <w:rsid w:val="0AC47201"/>
    <w:rsid w:val="0AD61AE8"/>
    <w:rsid w:val="0AE00D04"/>
    <w:rsid w:val="0AFE59E5"/>
    <w:rsid w:val="0B7539EF"/>
    <w:rsid w:val="0BAD4B1E"/>
    <w:rsid w:val="0C311563"/>
    <w:rsid w:val="0CD70C38"/>
    <w:rsid w:val="0CE11C74"/>
    <w:rsid w:val="0CE5494A"/>
    <w:rsid w:val="0D0F02C0"/>
    <w:rsid w:val="0D177606"/>
    <w:rsid w:val="0D444FDF"/>
    <w:rsid w:val="0D8D743B"/>
    <w:rsid w:val="0DAE0FAF"/>
    <w:rsid w:val="0DB52EFA"/>
    <w:rsid w:val="0E1F5A13"/>
    <w:rsid w:val="0E60304B"/>
    <w:rsid w:val="0E6B5030"/>
    <w:rsid w:val="0F69465A"/>
    <w:rsid w:val="0F913916"/>
    <w:rsid w:val="0FCE3FFF"/>
    <w:rsid w:val="0FE262FC"/>
    <w:rsid w:val="10D51D9A"/>
    <w:rsid w:val="10EB07FB"/>
    <w:rsid w:val="10ED199B"/>
    <w:rsid w:val="11281915"/>
    <w:rsid w:val="11352A9A"/>
    <w:rsid w:val="119C1014"/>
    <w:rsid w:val="11AC792C"/>
    <w:rsid w:val="12B71167"/>
    <w:rsid w:val="12DD0ED8"/>
    <w:rsid w:val="1320604F"/>
    <w:rsid w:val="139C262D"/>
    <w:rsid w:val="143F1484"/>
    <w:rsid w:val="15237A33"/>
    <w:rsid w:val="154914FE"/>
    <w:rsid w:val="15C854B1"/>
    <w:rsid w:val="15DC698E"/>
    <w:rsid w:val="161E0388"/>
    <w:rsid w:val="169C50B9"/>
    <w:rsid w:val="16DD0BF2"/>
    <w:rsid w:val="17154ED6"/>
    <w:rsid w:val="178A0124"/>
    <w:rsid w:val="17997274"/>
    <w:rsid w:val="17A72F6F"/>
    <w:rsid w:val="17D70118"/>
    <w:rsid w:val="18022816"/>
    <w:rsid w:val="18611F01"/>
    <w:rsid w:val="19167597"/>
    <w:rsid w:val="198F2E51"/>
    <w:rsid w:val="19CE070D"/>
    <w:rsid w:val="19E51567"/>
    <w:rsid w:val="1A5F5C82"/>
    <w:rsid w:val="1A7165D7"/>
    <w:rsid w:val="1A717CCC"/>
    <w:rsid w:val="1B0B6B8D"/>
    <w:rsid w:val="1B48189F"/>
    <w:rsid w:val="1B536C0D"/>
    <w:rsid w:val="1BDB200F"/>
    <w:rsid w:val="1BE606AB"/>
    <w:rsid w:val="1C1F01F7"/>
    <w:rsid w:val="1C554844"/>
    <w:rsid w:val="1C7E7086"/>
    <w:rsid w:val="1C8D1B72"/>
    <w:rsid w:val="1D687B89"/>
    <w:rsid w:val="1DC91218"/>
    <w:rsid w:val="1DF54797"/>
    <w:rsid w:val="1E293EE3"/>
    <w:rsid w:val="1E92103C"/>
    <w:rsid w:val="1EC82B05"/>
    <w:rsid w:val="1EEC041F"/>
    <w:rsid w:val="1FB827AF"/>
    <w:rsid w:val="1FE06CF2"/>
    <w:rsid w:val="1FE61BEC"/>
    <w:rsid w:val="1FE8116E"/>
    <w:rsid w:val="211069D4"/>
    <w:rsid w:val="21480B35"/>
    <w:rsid w:val="214A75E5"/>
    <w:rsid w:val="218E4E70"/>
    <w:rsid w:val="21DF4309"/>
    <w:rsid w:val="2200646B"/>
    <w:rsid w:val="22140956"/>
    <w:rsid w:val="222C0717"/>
    <w:rsid w:val="22BA2679"/>
    <w:rsid w:val="22FD7874"/>
    <w:rsid w:val="232D30C3"/>
    <w:rsid w:val="23394D18"/>
    <w:rsid w:val="235C730C"/>
    <w:rsid w:val="238469D0"/>
    <w:rsid w:val="23890747"/>
    <w:rsid w:val="243A3E75"/>
    <w:rsid w:val="24941563"/>
    <w:rsid w:val="24A7258F"/>
    <w:rsid w:val="24CF1AF0"/>
    <w:rsid w:val="24D85654"/>
    <w:rsid w:val="252D375A"/>
    <w:rsid w:val="255657B5"/>
    <w:rsid w:val="25D0247F"/>
    <w:rsid w:val="25F31451"/>
    <w:rsid w:val="261F2A4F"/>
    <w:rsid w:val="26263332"/>
    <w:rsid w:val="267B6A72"/>
    <w:rsid w:val="26C818B1"/>
    <w:rsid w:val="27267305"/>
    <w:rsid w:val="27325B32"/>
    <w:rsid w:val="27631734"/>
    <w:rsid w:val="277E2EA6"/>
    <w:rsid w:val="27DD1E9A"/>
    <w:rsid w:val="283E288A"/>
    <w:rsid w:val="286D276F"/>
    <w:rsid w:val="293D3353"/>
    <w:rsid w:val="296614C9"/>
    <w:rsid w:val="29A03D6D"/>
    <w:rsid w:val="29D63FDC"/>
    <w:rsid w:val="29F505BD"/>
    <w:rsid w:val="2A9156DA"/>
    <w:rsid w:val="2AAA2035"/>
    <w:rsid w:val="2B224E27"/>
    <w:rsid w:val="2B697CFD"/>
    <w:rsid w:val="2BF257DF"/>
    <w:rsid w:val="2C0343E6"/>
    <w:rsid w:val="2C9275F4"/>
    <w:rsid w:val="2CA43E72"/>
    <w:rsid w:val="2DA050DD"/>
    <w:rsid w:val="2DDC21C3"/>
    <w:rsid w:val="2DED5AD0"/>
    <w:rsid w:val="2ED74880"/>
    <w:rsid w:val="2F620589"/>
    <w:rsid w:val="2FB87EA0"/>
    <w:rsid w:val="30A63B7B"/>
    <w:rsid w:val="31047A14"/>
    <w:rsid w:val="312A6DFA"/>
    <w:rsid w:val="31973679"/>
    <w:rsid w:val="31D04606"/>
    <w:rsid w:val="32006C37"/>
    <w:rsid w:val="32B5726B"/>
    <w:rsid w:val="33282D78"/>
    <w:rsid w:val="33453CD4"/>
    <w:rsid w:val="33465AD8"/>
    <w:rsid w:val="339C32AB"/>
    <w:rsid w:val="34047A38"/>
    <w:rsid w:val="34782EB5"/>
    <w:rsid w:val="34AF74E0"/>
    <w:rsid w:val="351002A7"/>
    <w:rsid w:val="3537470B"/>
    <w:rsid w:val="35A04B3A"/>
    <w:rsid w:val="35ED7ED7"/>
    <w:rsid w:val="36414A71"/>
    <w:rsid w:val="36435AAB"/>
    <w:rsid w:val="36B37D51"/>
    <w:rsid w:val="36B91069"/>
    <w:rsid w:val="370F00AF"/>
    <w:rsid w:val="376620E3"/>
    <w:rsid w:val="378C7D69"/>
    <w:rsid w:val="382343DC"/>
    <w:rsid w:val="3852010B"/>
    <w:rsid w:val="385E034E"/>
    <w:rsid w:val="38C316F5"/>
    <w:rsid w:val="396C343D"/>
    <w:rsid w:val="39AA4C74"/>
    <w:rsid w:val="39C8364C"/>
    <w:rsid w:val="39E95101"/>
    <w:rsid w:val="3A0716A0"/>
    <w:rsid w:val="3A1D67A9"/>
    <w:rsid w:val="3A733F02"/>
    <w:rsid w:val="3A997ED8"/>
    <w:rsid w:val="3AB06F7B"/>
    <w:rsid w:val="3AD34270"/>
    <w:rsid w:val="3B43051E"/>
    <w:rsid w:val="3B7B6105"/>
    <w:rsid w:val="3B9B5D32"/>
    <w:rsid w:val="3BD513B7"/>
    <w:rsid w:val="3BF269BA"/>
    <w:rsid w:val="3BF72977"/>
    <w:rsid w:val="3C157043"/>
    <w:rsid w:val="3C2B4804"/>
    <w:rsid w:val="3C853A24"/>
    <w:rsid w:val="3D077BC5"/>
    <w:rsid w:val="3D120F2E"/>
    <w:rsid w:val="3D12675F"/>
    <w:rsid w:val="3D2642D1"/>
    <w:rsid w:val="3D527DCD"/>
    <w:rsid w:val="3DBD67A9"/>
    <w:rsid w:val="3DBF2C44"/>
    <w:rsid w:val="3E007008"/>
    <w:rsid w:val="3E7264D6"/>
    <w:rsid w:val="3EEA1022"/>
    <w:rsid w:val="3EFE6E43"/>
    <w:rsid w:val="3F8001C9"/>
    <w:rsid w:val="3FBD664D"/>
    <w:rsid w:val="3FC915C6"/>
    <w:rsid w:val="40304C10"/>
    <w:rsid w:val="40332286"/>
    <w:rsid w:val="405A6186"/>
    <w:rsid w:val="40651089"/>
    <w:rsid w:val="407D38CD"/>
    <w:rsid w:val="40CE5F73"/>
    <w:rsid w:val="40CF0997"/>
    <w:rsid w:val="40D81F09"/>
    <w:rsid w:val="40DC6D65"/>
    <w:rsid w:val="40FE3005"/>
    <w:rsid w:val="422D61A8"/>
    <w:rsid w:val="426A2BFC"/>
    <w:rsid w:val="42D228AA"/>
    <w:rsid w:val="435B3620"/>
    <w:rsid w:val="43951DAA"/>
    <w:rsid w:val="43CC7080"/>
    <w:rsid w:val="44036E38"/>
    <w:rsid w:val="44113BFA"/>
    <w:rsid w:val="44116A24"/>
    <w:rsid w:val="45023FE4"/>
    <w:rsid w:val="452236CD"/>
    <w:rsid w:val="453F7848"/>
    <w:rsid w:val="459C6F91"/>
    <w:rsid w:val="45B51069"/>
    <w:rsid w:val="45BB40CE"/>
    <w:rsid w:val="45D74D9D"/>
    <w:rsid w:val="46522EA1"/>
    <w:rsid w:val="46DD7FEF"/>
    <w:rsid w:val="47393089"/>
    <w:rsid w:val="47F95DB0"/>
    <w:rsid w:val="48DC27B5"/>
    <w:rsid w:val="4905775B"/>
    <w:rsid w:val="490D478F"/>
    <w:rsid w:val="496C03F1"/>
    <w:rsid w:val="497308EE"/>
    <w:rsid w:val="497B0E3D"/>
    <w:rsid w:val="4AA24BE9"/>
    <w:rsid w:val="4AE542DA"/>
    <w:rsid w:val="4AEF73AE"/>
    <w:rsid w:val="4B310215"/>
    <w:rsid w:val="4B33510A"/>
    <w:rsid w:val="4B435CF7"/>
    <w:rsid w:val="4B91059B"/>
    <w:rsid w:val="4BDD6207"/>
    <w:rsid w:val="4BE50B95"/>
    <w:rsid w:val="4C3B6A74"/>
    <w:rsid w:val="4C693282"/>
    <w:rsid w:val="4CEE181E"/>
    <w:rsid w:val="4D043B7B"/>
    <w:rsid w:val="4D067F6B"/>
    <w:rsid w:val="4D4A1889"/>
    <w:rsid w:val="4D5D6084"/>
    <w:rsid w:val="4D5D74BC"/>
    <w:rsid w:val="4D5E10CA"/>
    <w:rsid w:val="4D936134"/>
    <w:rsid w:val="4E112343"/>
    <w:rsid w:val="4E7C08AE"/>
    <w:rsid w:val="4E8C2C72"/>
    <w:rsid w:val="4EAB757A"/>
    <w:rsid w:val="4EF730A4"/>
    <w:rsid w:val="4F36347E"/>
    <w:rsid w:val="4FBC7533"/>
    <w:rsid w:val="4FC602D3"/>
    <w:rsid w:val="4FD0417C"/>
    <w:rsid w:val="502A475A"/>
    <w:rsid w:val="50515B93"/>
    <w:rsid w:val="50BF7898"/>
    <w:rsid w:val="50C720E9"/>
    <w:rsid w:val="511D4B33"/>
    <w:rsid w:val="516B09F0"/>
    <w:rsid w:val="51AC2012"/>
    <w:rsid w:val="51CB1DC8"/>
    <w:rsid w:val="5278630C"/>
    <w:rsid w:val="530423C7"/>
    <w:rsid w:val="53063894"/>
    <w:rsid w:val="53915670"/>
    <w:rsid w:val="53B975F7"/>
    <w:rsid w:val="546038E7"/>
    <w:rsid w:val="547D226A"/>
    <w:rsid w:val="54A42608"/>
    <w:rsid w:val="54E40735"/>
    <w:rsid w:val="551E7756"/>
    <w:rsid w:val="5583635E"/>
    <w:rsid w:val="560D1F99"/>
    <w:rsid w:val="56752B8D"/>
    <w:rsid w:val="56787EB4"/>
    <w:rsid w:val="56B40803"/>
    <w:rsid w:val="56F760A8"/>
    <w:rsid w:val="571857B7"/>
    <w:rsid w:val="57486AE5"/>
    <w:rsid w:val="57501E59"/>
    <w:rsid w:val="575D4777"/>
    <w:rsid w:val="57947857"/>
    <w:rsid w:val="57B87F3F"/>
    <w:rsid w:val="57BE309C"/>
    <w:rsid w:val="57CC3312"/>
    <w:rsid w:val="57D1061D"/>
    <w:rsid w:val="57E86F26"/>
    <w:rsid w:val="57F41794"/>
    <w:rsid w:val="58646539"/>
    <w:rsid w:val="591C26FC"/>
    <w:rsid w:val="59783962"/>
    <w:rsid w:val="597A1B1E"/>
    <w:rsid w:val="599B0709"/>
    <w:rsid w:val="5A253551"/>
    <w:rsid w:val="5A8C51B4"/>
    <w:rsid w:val="5AC37EEE"/>
    <w:rsid w:val="5B1E11DF"/>
    <w:rsid w:val="5B383D75"/>
    <w:rsid w:val="5D1F6ED1"/>
    <w:rsid w:val="5D226868"/>
    <w:rsid w:val="5D2D4C36"/>
    <w:rsid w:val="5DD138E5"/>
    <w:rsid w:val="5E7F3C5C"/>
    <w:rsid w:val="5E9E45D4"/>
    <w:rsid w:val="5EB557B5"/>
    <w:rsid w:val="5ED354FD"/>
    <w:rsid w:val="5F201406"/>
    <w:rsid w:val="5F4555ED"/>
    <w:rsid w:val="5F7E51DC"/>
    <w:rsid w:val="5FA0603A"/>
    <w:rsid w:val="5FFB42F2"/>
    <w:rsid w:val="601B3CF3"/>
    <w:rsid w:val="604E4341"/>
    <w:rsid w:val="609A7F6B"/>
    <w:rsid w:val="611E459D"/>
    <w:rsid w:val="61C33549"/>
    <w:rsid w:val="62185F7A"/>
    <w:rsid w:val="621A74CC"/>
    <w:rsid w:val="62652399"/>
    <w:rsid w:val="6265403A"/>
    <w:rsid w:val="627445AE"/>
    <w:rsid w:val="62BF60D9"/>
    <w:rsid w:val="63065B9C"/>
    <w:rsid w:val="63596448"/>
    <w:rsid w:val="63E4201C"/>
    <w:rsid w:val="6424705B"/>
    <w:rsid w:val="645D3B3D"/>
    <w:rsid w:val="64797496"/>
    <w:rsid w:val="64F431D3"/>
    <w:rsid w:val="654162CB"/>
    <w:rsid w:val="65763CC9"/>
    <w:rsid w:val="657E7886"/>
    <w:rsid w:val="65A36748"/>
    <w:rsid w:val="65DA25A8"/>
    <w:rsid w:val="66194172"/>
    <w:rsid w:val="66365D8A"/>
    <w:rsid w:val="663926BA"/>
    <w:rsid w:val="664F21F8"/>
    <w:rsid w:val="66B46F24"/>
    <w:rsid w:val="66CB37EE"/>
    <w:rsid w:val="67A63CDD"/>
    <w:rsid w:val="67CF68A6"/>
    <w:rsid w:val="680D0F6F"/>
    <w:rsid w:val="682E2BFD"/>
    <w:rsid w:val="68E5542D"/>
    <w:rsid w:val="695A79CB"/>
    <w:rsid w:val="696D599F"/>
    <w:rsid w:val="69C06351"/>
    <w:rsid w:val="69D75237"/>
    <w:rsid w:val="6A015411"/>
    <w:rsid w:val="6A0C0836"/>
    <w:rsid w:val="6AA518C8"/>
    <w:rsid w:val="6AA93F7F"/>
    <w:rsid w:val="6AE274DD"/>
    <w:rsid w:val="6B2621F3"/>
    <w:rsid w:val="6C1120B5"/>
    <w:rsid w:val="6C3D46E8"/>
    <w:rsid w:val="6C401BA9"/>
    <w:rsid w:val="6C567E4D"/>
    <w:rsid w:val="6C646E0A"/>
    <w:rsid w:val="6C997042"/>
    <w:rsid w:val="6CB74C8B"/>
    <w:rsid w:val="6D0B7FBF"/>
    <w:rsid w:val="6D262BB3"/>
    <w:rsid w:val="6D2752B1"/>
    <w:rsid w:val="6DD646BA"/>
    <w:rsid w:val="6E7A3E8B"/>
    <w:rsid w:val="6EB30961"/>
    <w:rsid w:val="6F0926F6"/>
    <w:rsid w:val="6F145F48"/>
    <w:rsid w:val="6F563F23"/>
    <w:rsid w:val="703F588F"/>
    <w:rsid w:val="70620443"/>
    <w:rsid w:val="70AF4E8F"/>
    <w:rsid w:val="712B1715"/>
    <w:rsid w:val="716B060F"/>
    <w:rsid w:val="71772B58"/>
    <w:rsid w:val="71C911D8"/>
    <w:rsid w:val="71F466C6"/>
    <w:rsid w:val="72872295"/>
    <w:rsid w:val="73311992"/>
    <w:rsid w:val="735637F1"/>
    <w:rsid w:val="73E01DA4"/>
    <w:rsid w:val="74170E83"/>
    <w:rsid w:val="745B2ADE"/>
    <w:rsid w:val="74C61713"/>
    <w:rsid w:val="74E75326"/>
    <w:rsid w:val="74F07147"/>
    <w:rsid w:val="751A38EF"/>
    <w:rsid w:val="751B1936"/>
    <w:rsid w:val="753B17D6"/>
    <w:rsid w:val="754F03D5"/>
    <w:rsid w:val="75595180"/>
    <w:rsid w:val="755D0489"/>
    <w:rsid w:val="75A44E54"/>
    <w:rsid w:val="76241713"/>
    <w:rsid w:val="76377EC9"/>
    <w:rsid w:val="763C31BB"/>
    <w:rsid w:val="76523AF1"/>
    <w:rsid w:val="769168C4"/>
    <w:rsid w:val="769A3BDD"/>
    <w:rsid w:val="76EC23A0"/>
    <w:rsid w:val="77220AA5"/>
    <w:rsid w:val="77656E28"/>
    <w:rsid w:val="778D1CF9"/>
    <w:rsid w:val="779672CB"/>
    <w:rsid w:val="780442E3"/>
    <w:rsid w:val="782D5272"/>
    <w:rsid w:val="786A0286"/>
    <w:rsid w:val="78842468"/>
    <w:rsid w:val="79112343"/>
    <w:rsid w:val="791517BF"/>
    <w:rsid w:val="791D55AB"/>
    <w:rsid w:val="79E70E0B"/>
    <w:rsid w:val="7A232491"/>
    <w:rsid w:val="7AFE0198"/>
    <w:rsid w:val="7B297CA0"/>
    <w:rsid w:val="7B456F2B"/>
    <w:rsid w:val="7B7A29FB"/>
    <w:rsid w:val="7BCF04B1"/>
    <w:rsid w:val="7BF32BF6"/>
    <w:rsid w:val="7C9E1113"/>
    <w:rsid w:val="7CD37600"/>
    <w:rsid w:val="7CFC17A2"/>
    <w:rsid w:val="7D591211"/>
    <w:rsid w:val="7D721200"/>
    <w:rsid w:val="7DAB15FA"/>
    <w:rsid w:val="7DBB3226"/>
    <w:rsid w:val="7E2232E7"/>
    <w:rsid w:val="7E2E32B5"/>
    <w:rsid w:val="7E685914"/>
    <w:rsid w:val="7EAC382E"/>
    <w:rsid w:val="7F027AAF"/>
    <w:rsid w:val="7F105C94"/>
    <w:rsid w:val="7F3E6D7F"/>
    <w:rsid w:val="7FE05A34"/>
    <w:rsid w:val="7F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FollowedHyperlink"/>
    <w:basedOn w:val="8"/>
    <w:semiHidden/>
    <w:unhideWhenUsed/>
    <w:qFormat/>
    <w:uiPriority w:val="99"/>
    <w:rPr>
      <w:color w:val="333333"/>
      <w:u w:val="none"/>
    </w:rPr>
  </w:style>
  <w:style w:type="character" w:styleId="10">
    <w:name w:val="Emphasis"/>
    <w:basedOn w:val="8"/>
    <w:qFormat/>
    <w:uiPriority w:val="20"/>
  </w:style>
  <w:style w:type="character" w:styleId="11">
    <w:name w:val="Hyperlink"/>
    <w:basedOn w:val="8"/>
    <w:semiHidden/>
    <w:unhideWhenUsed/>
    <w:qFormat/>
    <w:uiPriority w:val="99"/>
    <w:rPr>
      <w:color w:val="333333"/>
      <w:u w:val="none"/>
    </w:rPr>
  </w:style>
  <w:style w:type="character" w:customStyle="1" w:styleId="12">
    <w:name w:val="标题 2 Char"/>
    <w:basedOn w:val="8"/>
    <w:link w:val="2"/>
    <w:qFormat/>
    <w:uiPriority w:val="9"/>
    <w:rPr>
      <w:rFonts w:asciiTheme="majorHAnsi" w:hAnsiTheme="majorHAnsi" w:eastAsiaTheme="majorEastAsia" w:cstheme="majorBidi"/>
      <w:b/>
      <w:bCs/>
      <w:sz w:val="32"/>
      <w:szCs w:val="32"/>
    </w:rPr>
  </w:style>
  <w:style w:type="character" w:customStyle="1" w:styleId="13">
    <w:name w:val="text_t"/>
    <w:basedOn w:val="8"/>
    <w:qFormat/>
    <w:uiPriority w:val="0"/>
  </w:style>
  <w:style w:type="character" w:customStyle="1" w:styleId="14">
    <w:name w:val="tim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554</Words>
  <Characters>3163</Characters>
  <Lines>26</Lines>
  <Paragraphs>7</Paragraphs>
  <TotalTime>14</TotalTime>
  <ScaleCrop>false</ScaleCrop>
  <LinksUpToDate>false</LinksUpToDate>
  <CharactersWithSpaces>3710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2019-05-29T08:46:00Z</dcterms:created>
  <dc:creator>wangqiongxiao</dc:creator>
  <cp:lastModifiedBy>Administrator</cp:lastModifiedBy>
  <dcterms:modified xsi:type="dcterms:W3CDTF">2019-09-26T10:40:20Z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