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ascii="宋体" w:hAnsi="宋体" w:eastAsia="宋体" w:cs="宋体"/>
          <w:b/>
          <w:bCs/>
          <w:sz w:val="24"/>
          <w:szCs w:val="24"/>
        </w:rPr>
      </w:pPr>
      <w:r>
        <w:rPr>
          <w:rFonts w:ascii="宋体" w:hAnsi="宋体" w:eastAsia="宋体" w:cs="宋体"/>
          <w:b/>
          <w:bCs/>
          <w:sz w:val="24"/>
          <w:szCs w:val="24"/>
        </w:rPr>
        <w:t>基于</w:t>
      </w:r>
      <w:r>
        <w:rPr>
          <w:rFonts w:hint="eastAsia" w:ascii="宋体" w:hAnsi="宋体" w:eastAsia="宋体" w:cs="宋体"/>
          <w:b/>
          <w:bCs/>
          <w:sz w:val="24"/>
          <w:szCs w:val="24"/>
          <w:lang w:eastAsia="zh-CN"/>
        </w:rPr>
        <w:t>股权自由现金流量</w:t>
      </w:r>
      <w:r>
        <w:rPr>
          <w:rFonts w:ascii="宋体" w:hAnsi="宋体" w:eastAsia="宋体" w:cs="宋体"/>
          <w:b/>
          <w:bCs/>
          <w:sz w:val="24"/>
          <w:szCs w:val="24"/>
        </w:rPr>
        <w:t>的</w:t>
      </w:r>
      <w:r>
        <w:rPr>
          <w:rFonts w:hint="eastAsia" w:ascii="宋体" w:hAnsi="宋体" w:eastAsia="宋体" w:cs="宋体"/>
          <w:b/>
          <w:bCs/>
          <w:sz w:val="24"/>
          <w:szCs w:val="24"/>
          <w:lang w:eastAsia="zh-CN"/>
        </w:rPr>
        <w:t>商业保理公司</w:t>
      </w:r>
      <w:r>
        <w:rPr>
          <w:rFonts w:ascii="宋体" w:hAnsi="宋体" w:eastAsia="宋体" w:cs="宋体"/>
          <w:b/>
          <w:bCs/>
          <w:sz w:val="24"/>
          <w:szCs w:val="24"/>
        </w:rPr>
        <w:t>价值评估研究 ——以</w:t>
      </w:r>
      <w:r>
        <w:rPr>
          <w:rFonts w:hint="eastAsia" w:ascii="宋体" w:hAnsi="宋体" w:eastAsia="宋体" w:cs="宋体"/>
          <w:b/>
          <w:bCs/>
          <w:sz w:val="24"/>
          <w:szCs w:val="24"/>
          <w:lang w:val="en-US" w:eastAsia="zh-CN"/>
        </w:rPr>
        <w:t>K公司</w:t>
      </w:r>
      <w:r>
        <w:rPr>
          <w:rFonts w:ascii="宋体" w:hAnsi="宋体" w:eastAsia="宋体" w:cs="宋体"/>
          <w:b/>
          <w:bCs/>
          <w:sz w:val="24"/>
          <w:szCs w:val="24"/>
        </w:rPr>
        <w:t>为例</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杨洋 重庆工商大学融智学院 财富管理学院 重庆 401320</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宋体" w:hAnsi="宋体" w:eastAsia="宋体" w:cs="宋体"/>
          <w:sz w:val="24"/>
          <w:szCs w:val="24"/>
        </w:rPr>
      </w:pPr>
      <w:r>
        <w:rPr>
          <w:rFonts w:ascii="宋体" w:hAnsi="宋体" w:eastAsia="宋体" w:cs="宋体"/>
          <w:sz w:val="24"/>
          <w:szCs w:val="24"/>
        </w:rPr>
        <w:t>【摘 要】</w:t>
      </w:r>
      <w:r>
        <w:rPr>
          <w:rFonts w:hint="eastAsia" w:ascii="宋体" w:hAnsi="宋体" w:eastAsia="宋体" w:cs="宋体"/>
          <w:sz w:val="24"/>
          <w:szCs w:val="24"/>
          <w:lang w:eastAsia="zh-CN"/>
        </w:rPr>
        <w:t>商业保理行业</w:t>
      </w:r>
      <w:r>
        <w:rPr>
          <w:rFonts w:ascii="宋体" w:hAnsi="宋体" w:eastAsia="宋体" w:cs="宋体"/>
          <w:sz w:val="24"/>
          <w:szCs w:val="24"/>
        </w:rPr>
        <w:t>是</w:t>
      </w:r>
      <w:r>
        <w:rPr>
          <w:rFonts w:hint="eastAsia" w:ascii="宋体" w:hAnsi="宋体" w:eastAsia="宋体" w:cs="宋体"/>
          <w:sz w:val="24"/>
          <w:szCs w:val="24"/>
          <w:lang w:eastAsia="zh-CN"/>
        </w:rPr>
        <w:t>金融行业</w:t>
      </w:r>
      <w:r>
        <w:rPr>
          <w:rFonts w:ascii="宋体" w:hAnsi="宋体" w:eastAsia="宋体" w:cs="宋体"/>
          <w:sz w:val="24"/>
          <w:szCs w:val="24"/>
        </w:rPr>
        <w:t>的特色群体，</w:t>
      </w:r>
      <w:r>
        <w:rPr>
          <w:rFonts w:hint="eastAsia" w:ascii="宋体" w:hAnsi="宋体" w:eastAsia="宋体" w:cs="宋体"/>
          <w:sz w:val="24"/>
          <w:szCs w:val="24"/>
          <w:lang w:eastAsia="zh-CN"/>
        </w:rPr>
        <w:t>在</w:t>
      </w:r>
      <w:r>
        <w:rPr>
          <w:rFonts w:ascii="宋体" w:hAnsi="宋体" w:eastAsia="宋体" w:cs="宋体"/>
          <w:sz w:val="24"/>
          <w:szCs w:val="24"/>
        </w:rPr>
        <w:t>提供应收账款管理及催收、应收账款融资、信用风险管理等综合金融服务，为经济发展做出了</w:t>
      </w:r>
      <w:r>
        <w:rPr>
          <w:rFonts w:hint="eastAsia" w:ascii="宋体" w:hAnsi="宋体" w:eastAsia="宋体" w:cs="宋体"/>
          <w:sz w:val="24"/>
          <w:szCs w:val="24"/>
          <w:lang w:eastAsia="zh-CN"/>
        </w:rPr>
        <w:t>巨大贡献</w:t>
      </w:r>
      <w:r>
        <w:rPr>
          <w:rFonts w:ascii="宋体" w:hAnsi="宋体" w:eastAsia="宋体" w:cs="宋体"/>
          <w:sz w:val="24"/>
          <w:szCs w:val="24"/>
        </w:rPr>
        <w:t>。</w:t>
      </w:r>
      <w:r>
        <w:rPr>
          <w:rFonts w:hint="eastAsia" w:ascii="宋体" w:hAnsi="宋体" w:eastAsia="宋体" w:cs="宋体"/>
          <w:sz w:val="24"/>
          <w:szCs w:val="24"/>
          <w:lang w:eastAsia="zh-CN"/>
        </w:rPr>
        <w:t>随着我国商业保理公司数量的增加</w:t>
      </w:r>
      <w:r>
        <w:rPr>
          <w:rFonts w:ascii="宋体" w:hAnsi="宋体" w:eastAsia="宋体" w:cs="宋体"/>
          <w:sz w:val="24"/>
          <w:szCs w:val="24"/>
        </w:rPr>
        <w:t>，</w:t>
      </w:r>
      <w:r>
        <w:rPr>
          <w:rFonts w:hint="eastAsia" w:ascii="宋体" w:hAnsi="宋体" w:eastAsia="宋体" w:cs="宋体"/>
          <w:sz w:val="24"/>
          <w:szCs w:val="24"/>
          <w:lang w:eastAsia="zh-CN"/>
        </w:rPr>
        <w:t>对商业保理公司价值评估方面愈发重要</w:t>
      </w:r>
      <w:r>
        <w:rPr>
          <w:rFonts w:ascii="宋体" w:hAnsi="宋体" w:eastAsia="宋体" w:cs="宋体"/>
          <w:sz w:val="24"/>
          <w:szCs w:val="24"/>
        </w:rPr>
        <w:t>。</w:t>
      </w:r>
      <w:r>
        <w:rPr>
          <w:rFonts w:hint="eastAsia" w:ascii="宋体" w:hAnsi="宋体" w:eastAsia="宋体" w:cs="宋体"/>
          <w:sz w:val="24"/>
          <w:szCs w:val="24"/>
          <w:lang w:eastAsia="zh-CN"/>
        </w:rPr>
        <w:t>基于公司</w:t>
      </w:r>
      <w:r>
        <w:rPr>
          <w:rFonts w:ascii="宋体" w:hAnsi="宋体" w:eastAsia="宋体" w:cs="宋体"/>
          <w:sz w:val="24"/>
          <w:szCs w:val="24"/>
        </w:rPr>
        <w:t>战略的财务管理视</w:t>
      </w:r>
      <w:r>
        <w:rPr>
          <w:rFonts w:hint="eastAsia" w:ascii="宋体" w:hAnsi="宋体" w:eastAsia="宋体" w:cs="宋体"/>
          <w:sz w:val="24"/>
          <w:szCs w:val="24"/>
          <w:lang w:eastAsia="zh-CN"/>
        </w:rPr>
        <w:t>年</w:t>
      </w:r>
      <w:r>
        <w:rPr>
          <w:rFonts w:ascii="宋体" w:hAnsi="宋体" w:eastAsia="宋体" w:cs="宋体"/>
          <w:sz w:val="24"/>
          <w:szCs w:val="24"/>
        </w:rPr>
        <w:t>角出发，文章应用</w:t>
      </w:r>
      <w:r>
        <w:rPr>
          <w:rFonts w:hint="eastAsia" w:ascii="宋体" w:hAnsi="宋体" w:eastAsia="宋体" w:cs="宋体"/>
          <w:sz w:val="24"/>
          <w:szCs w:val="24"/>
          <w:lang w:eastAsia="zh-CN"/>
        </w:rPr>
        <w:t>股权自由现金流量</w:t>
      </w:r>
      <w:r>
        <w:rPr>
          <w:rFonts w:ascii="宋体" w:hAnsi="宋体" w:eastAsia="宋体" w:cs="宋体"/>
          <w:sz w:val="24"/>
          <w:szCs w:val="24"/>
        </w:rPr>
        <w:t>评估模型，以</w:t>
      </w:r>
      <w:r>
        <w:rPr>
          <w:rFonts w:hint="eastAsia" w:ascii="宋体" w:hAnsi="宋体" w:eastAsia="宋体" w:cs="宋体"/>
          <w:sz w:val="24"/>
          <w:szCs w:val="24"/>
          <w:lang w:val="en-US" w:eastAsia="zh-CN"/>
        </w:rPr>
        <w:t>K公司</w:t>
      </w:r>
      <w:r>
        <w:rPr>
          <w:rFonts w:ascii="宋体" w:hAnsi="宋体" w:eastAsia="宋体" w:cs="宋体"/>
          <w:sz w:val="24"/>
          <w:szCs w:val="24"/>
        </w:rPr>
        <w:t>为例，评估</w:t>
      </w:r>
      <w:r>
        <w:rPr>
          <w:rFonts w:hint="eastAsia" w:ascii="宋体" w:hAnsi="宋体" w:eastAsia="宋体" w:cs="宋体"/>
          <w:sz w:val="24"/>
          <w:szCs w:val="24"/>
          <w:lang w:eastAsia="zh-CN"/>
        </w:rPr>
        <w:t>公司在</w:t>
      </w:r>
      <w:r>
        <w:rPr>
          <w:rFonts w:ascii="宋体" w:hAnsi="宋体" w:eastAsia="宋体" w:cs="宋体"/>
          <w:sz w:val="24"/>
          <w:szCs w:val="24"/>
        </w:rPr>
        <w:t>201</w:t>
      </w:r>
      <w:r>
        <w:rPr>
          <w:rFonts w:hint="eastAsia" w:ascii="宋体" w:hAnsi="宋体" w:eastAsia="宋体" w:cs="宋体"/>
          <w:sz w:val="24"/>
          <w:szCs w:val="24"/>
          <w:lang w:val="en-US" w:eastAsia="zh-CN"/>
        </w:rPr>
        <w:t>8</w:t>
      </w:r>
      <w:r>
        <w:rPr>
          <w:rFonts w:ascii="宋体" w:hAnsi="宋体" w:eastAsia="宋体" w:cs="宋体"/>
          <w:sz w:val="24"/>
          <w:szCs w:val="24"/>
        </w:rPr>
        <w:t>年</w:t>
      </w:r>
      <w:r>
        <w:rPr>
          <w:rFonts w:hint="eastAsia" w:ascii="宋体" w:hAnsi="宋体" w:eastAsia="宋体" w:cs="宋体"/>
          <w:sz w:val="24"/>
          <w:szCs w:val="24"/>
          <w:lang w:val="en-US" w:eastAsia="zh-CN"/>
        </w:rPr>
        <w:t>12月31日的K公司</w:t>
      </w:r>
      <w:r>
        <w:rPr>
          <w:rFonts w:ascii="宋体" w:hAnsi="宋体" w:eastAsia="宋体" w:cs="宋体"/>
          <w:sz w:val="24"/>
          <w:szCs w:val="24"/>
        </w:rPr>
        <w:t>的价值</w:t>
      </w:r>
      <w:r>
        <w:rPr>
          <w:rFonts w:hint="eastAsia" w:ascii="宋体" w:hAnsi="宋体" w:eastAsia="宋体" w:cs="宋体"/>
          <w:sz w:val="24"/>
          <w:szCs w:val="24"/>
          <w:lang w:eastAsia="zh-CN"/>
        </w:rPr>
        <w:t>。为商业保理公司的价值评估提供了一个估算思路。</w:t>
      </w:r>
      <w:r>
        <w:rPr>
          <w:rFonts w:ascii="宋体" w:hAnsi="宋体" w:eastAsia="宋体" w:cs="宋体"/>
          <w:sz w:val="24"/>
          <w:szCs w:val="24"/>
        </w:rPr>
        <w:t>研究结果表明：通过计算 201</w:t>
      </w:r>
      <w:r>
        <w:rPr>
          <w:rFonts w:hint="eastAsia" w:ascii="宋体" w:hAnsi="宋体" w:eastAsia="宋体" w:cs="宋体"/>
          <w:sz w:val="24"/>
          <w:szCs w:val="24"/>
          <w:lang w:val="en-US" w:eastAsia="zh-CN"/>
        </w:rPr>
        <w:t>9</w:t>
      </w:r>
      <w:r>
        <w:rPr>
          <w:rFonts w:ascii="宋体" w:hAnsi="宋体" w:eastAsia="宋体" w:cs="宋体"/>
          <w:sz w:val="24"/>
          <w:szCs w:val="24"/>
        </w:rPr>
        <w:t>—20</w:t>
      </w:r>
      <w:r>
        <w:rPr>
          <w:rFonts w:hint="eastAsia" w:ascii="宋体" w:hAnsi="宋体" w:eastAsia="宋体" w:cs="宋体"/>
          <w:sz w:val="24"/>
          <w:szCs w:val="24"/>
          <w:lang w:val="en-US" w:eastAsia="zh-CN"/>
        </w:rPr>
        <w:t>23</w:t>
      </w:r>
      <w:r>
        <w:rPr>
          <w:rFonts w:ascii="宋体" w:hAnsi="宋体" w:eastAsia="宋体" w:cs="宋体"/>
          <w:sz w:val="24"/>
          <w:szCs w:val="24"/>
        </w:rPr>
        <w:t xml:space="preserve"> 年间</w:t>
      </w:r>
      <w:r>
        <w:rPr>
          <w:rFonts w:hint="eastAsia" w:ascii="宋体" w:hAnsi="宋体" w:eastAsia="宋体" w:cs="宋体"/>
          <w:sz w:val="24"/>
          <w:szCs w:val="24"/>
          <w:lang w:eastAsia="zh-CN"/>
        </w:rPr>
        <w:t>K公司</w:t>
      </w:r>
      <w:r>
        <w:rPr>
          <w:rFonts w:ascii="宋体" w:hAnsi="宋体" w:eastAsia="宋体" w:cs="宋体"/>
          <w:sz w:val="24"/>
          <w:szCs w:val="24"/>
        </w:rPr>
        <w:t>每年的</w:t>
      </w:r>
      <w:r>
        <w:rPr>
          <w:rFonts w:hint="eastAsia" w:ascii="宋体" w:hAnsi="宋体" w:eastAsia="宋体" w:cs="宋体"/>
          <w:sz w:val="24"/>
          <w:szCs w:val="24"/>
          <w:lang w:eastAsia="zh-CN"/>
        </w:rPr>
        <w:t>股权自由现金流量</w:t>
      </w:r>
      <w:r>
        <w:rPr>
          <w:rFonts w:ascii="宋体" w:hAnsi="宋体" w:eastAsia="宋体" w:cs="宋体"/>
          <w:sz w:val="24"/>
          <w:szCs w:val="24"/>
        </w:rPr>
        <w:t>，可以发现这五年</w:t>
      </w:r>
      <w:r>
        <w:rPr>
          <w:rFonts w:hint="eastAsia" w:ascii="宋体" w:hAnsi="宋体" w:eastAsia="宋体" w:cs="宋体"/>
          <w:sz w:val="24"/>
          <w:szCs w:val="24"/>
          <w:lang w:eastAsia="zh-CN"/>
        </w:rPr>
        <w:t>K公司</w:t>
      </w:r>
      <w:r>
        <w:rPr>
          <w:rFonts w:ascii="宋体" w:hAnsi="宋体" w:eastAsia="宋体" w:cs="宋体"/>
          <w:sz w:val="24"/>
          <w:szCs w:val="24"/>
        </w:rPr>
        <w:t>的</w:t>
      </w:r>
      <w:r>
        <w:rPr>
          <w:rFonts w:hint="eastAsia" w:ascii="宋体" w:hAnsi="宋体" w:eastAsia="宋体" w:cs="宋体"/>
          <w:sz w:val="24"/>
          <w:szCs w:val="24"/>
          <w:lang w:eastAsia="zh-CN"/>
        </w:rPr>
        <w:t>股权自由现金流量表现良好</w:t>
      </w:r>
      <w:r>
        <w:rPr>
          <w:rFonts w:ascii="宋体" w:hAnsi="宋体" w:eastAsia="宋体" w:cs="宋体"/>
          <w:sz w:val="24"/>
          <w:szCs w:val="24"/>
        </w:rPr>
        <w:t>，这表明</w:t>
      </w:r>
      <w:r>
        <w:rPr>
          <w:rFonts w:hint="eastAsia" w:ascii="宋体" w:hAnsi="宋体" w:eastAsia="宋体" w:cs="宋体"/>
          <w:sz w:val="24"/>
          <w:szCs w:val="24"/>
          <w:lang w:eastAsia="zh-CN"/>
        </w:rPr>
        <w:t>K公司</w:t>
      </w:r>
      <w:r>
        <w:rPr>
          <w:rFonts w:ascii="宋体" w:hAnsi="宋体" w:eastAsia="宋体" w:cs="宋体"/>
          <w:sz w:val="24"/>
          <w:szCs w:val="24"/>
        </w:rPr>
        <w:t>经营业绩良好，具有良好的盈利能力。</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宋体" w:hAnsi="宋体" w:eastAsia="宋体" w:cs="宋体"/>
          <w:sz w:val="24"/>
          <w:szCs w:val="24"/>
        </w:rPr>
      </w:pPr>
      <w:r>
        <w:rPr>
          <w:rFonts w:ascii="宋体" w:hAnsi="宋体" w:eastAsia="宋体" w:cs="宋体"/>
          <w:sz w:val="24"/>
          <w:szCs w:val="24"/>
        </w:rPr>
        <w:t>【关键词】</w:t>
      </w:r>
      <w:r>
        <w:rPr>
          <w:rFonts w:hint="eastAsia" w:ascii="宋体" w:hAnsi="宋体" w:eastAsia="宋体" w:cs="宋体"/>
          <w:sz w:val="24"/>
          <w:szCs w:val="24"/>
          <w:lang w:eastAsia="zh-CN"/>
        </w:rPr>
        <w:t>商业保理公司；股权自由现金流量；</w:t>
      </w:r>
      <w:r>
        <w:rPr>
          <w:rFonts w:ascii="宋体" w:hAnsi="宋体" w:eastAsia="宋体" w:cs="宋体"/>
          <w:sz w:val="24"/>
          <w:szCs w:val="24"/>
        </w:rPr>
        <w:t>价值评估</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一、引言</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sz w:val="24"/>
          <w:szCs w:val="24"/>
        </w:rPr>
      </w:pPr>
      <w:r>
        <w:rPr>
          <w:rFonts w:ascii="宋体" w:hAnsi="宋体" w:eastAsia="宋体" w:cs="宋体"/>
          <w:sz w:val="24"/>
          <w:szCs w:val="24"/>
        </w:rPr>
        <w:t>截至2018年7月30日，据国家企业信用信息公示平台统计，全国商业保理公司数量11,689家。根据类金融行业的金融服务类公司的经营范围来统计，金融服务类公司中能够从事商业保理业务的公司有1,718家。虽然银行保理仍然是中国保理市场的主要部分，但预计中国保理市场将经历从银行保理主导的市场向商业保理主导的市场的转型，这由多</w:t>
      </w:r>
      <w:r>
        <w:rPr>
          <w:rFonts w:hint="eastAsia" w:ascii="宋体" w:hAnsi="宋体" w:eastAsia="宋体" w:cs="宋体"/>
          <w:sz w:val="24"/>
          <w:szCs w:val="24"/>
        </w:rPr>
        <w:t>种因素推动，包括政策扶持、银行保理风险偏好与中小型企业融资需求之间的不匹配，以及国外保理商将保理业务和系统销售业务带入中国市场。</w:t>
      </w:r>
      <w:r>
        <w:rPr>
          <w:rFonts w:ascii="宋体" w:hAnsi="宋体" w:eastAsia="宋体" w:cs="宋体"/>
          <w:sz w:val="24"/>
          <w:szCs w:val="24"/>
          <w:lang w:val="en-US" w:eastAsia="zh-CN"/>
        </w:rPr>
        <w:t>面对日益剧增的</w:t>
      </w:r>
      <w:r>
        <w:rPr>
          <w:rFonts w:hint="eastAsia" w:ascii="宋体" w:hAnsi="宋体" w:eastAsia="宋体" w:cs="宋体"/>
          <w:sz w:val="24"/>
          <w:szCs w:val="24"/>
          <w:lang w:val="en-US" w:eastAsia="zh-CN"/>
        </w:rPr>
        <w:t>商业保理公司</w:t>
      </w:r>
      <w:r>
        <w:rPr>
          <w:rFonts w:ascii="宋体" w:hAnsi="宋体" w:eastAsia="宋体" w:cs="宋体"/>
          <w:sz w:val="24"/>
          <w:szCs w:val="24"/>
          <w:lang w:val="en-US" w:eastAsia="zh-CN"/>
        </w:rPr>
        <w:t>，如</w:t>
      </w:r>
      <w:r>
        <w:rPr>
          <w:rFonts w:hint="default" w:ascii="宋体" w:hAnsi="宋体" w:eastAsia="宋体" w:cs="宋体"/>
          <w:sz w:val="24"/>
          <w:szCs w:val="24"/>
          <w:lang w:val="en-US" w:eastAsia="zh-CN"/>
        </w:rPr>
        <w:t>何准确评估其价值对企业的意义越来越重要。</w:t>
      </w:r>
      <w:r>
        <w:rPr>
          <w:rFonts w:ascii="宋体" w:hAnsi="宋体" w:eastAsia="宋体" w:cs="宋体"/>
          <w:sz w:val="24"/>
          <w:szCs w:val="24"/>
          <w:lang w:val="en-US" w:eastAsia="zh-CN"/>
        </w:rPr>
        <w:t xml:space="preserve">合理优化案例评 </w:t>
      </w:r>
      <w:r>
        <w:rPr>
          <w:rFonts w:hint="default" w:ascii="宋体" w:hAnsi="宋体" w:eastAsia="宋体" w:cs="宋体"/>
          <w:sz w:val="24"/>
          <w:szCs w:val="24"/>
          <w:lang w:val="en-US" w:eastAsia="zh-CN"/>
        </w:rPr>
        <w:t>估方案，提高评估过程的科学性，对技术类无形资产价值评估实务具有重要的理论和实践意义。</w:t>
      </w:r>
      <w:r>
        <w:rPr>
          <w:rFonts w:ascii="宋体" w:hAnsi="宋体" w:eastAsia="宋体" w:cs="宋体"/>
          <w:sz w:val="24"/>
          <w:szCs w:val="24"/>
        </w:rPr>
        <w:t>本文以</w:t>
      </w:r>
      <w:r>
        <w:rPr>
          <w:rFonts w:hint="eastAsia" w:ascii="宋体" w:hAnsi="宋体" w:eastAsia="宋体" w:cs="宋体"/>
          <w:sz w:val="24"/>
          <w:szCs w:val="24"/>
          <w:lang w:val="en-US" w:eastAsia="zh-CN"/>
        </w:rPr>
        <w:t>K公司作为一个典范</w:t>
      </w:r>
      <w:r>
        <w:rPr>
          <w:rFonts w:ascii="宋体" w:hAnsi="宋体" w:eastAsia="宋体" w:cs="宋体"/>
          <w:sz w:val="24"/>
          <w:szCs w:val="24"/>
        </w:rPr>
        <w:t>，应用</w:t>
      </w:r>
      <w:r>
        <w:rPr>
          <w:rFonts w:hint="eastAsia" w:ascii="宋体" w:hAnsi="宋体" w:eastAsia="宋体" w:cs="宋体"/>
          <w:sz w:val="24"/>
          <w:szCs w:val="24"/>
          <w:lang w:eastAsia="zh-CN"/>
        </w:rPr>
        <w:t>股权自由现金流量</w:t>
      </w:r>
      <w:r>
        <w:rPr>
          <w:rFonts w:ascii="宋体" w:hAnsi="宋体" w:eastAsia="宋体" w:cs="宋体"/>
          <w:sz w:val="24"/>
          <w:szCs w:val="24"/>
        </w:rPr>
        <w:t>对</w:t>
      </w:r>
      <w:r>
        <w:rPr>
          <w:rFonts w:hint="eastAsia" w:ascii="宋体" w:hAnsi="宋体" w:eastAsia="宋体" w:cs="宋体"/>
          <w:sz w:val="24"/>
          <w:szCs w:val="24"/>
          <w:lang w:val="en-US" w:eastAsia="zh-CN"/>
        </w:rPr>
        <w:t>K公司</w:t>
      </w:r>
      <w:r>
        <w:rPr>
          <w:rFonts w:ascii="宋体" w:hAnsi="宋体" w:eastAsia="宋体" w:cs="宋体"/>
          <w:sz w:val="24"/>
          <w:szCs w:val="24"/>
        </w:rPr>
        <w:t>的</w:t>
      </w:r>
      <w:r>
        <w:rPr>
          <w:rFonts w:hint="eastAsia" w:ascii="宋体" w:hAnsi="宋体" w:eastAsia="宋体" w:cs="宋体"/>
          <w:sz w:val="24"/>
          <w:szCs w:val="24"/>
          <w:lang w:eastAsia="zh-CN"/>
        </w:rPr>
        <w:t>企业价值</w:t>
      </w:r>
      <w:r>
        <w:rPr>
          <w:rFonts w:ascii="宋体" w:hAnsi="宋体" w:eastAsia="宋体" w:cs="宋体"/>
          <w:sz w:val="24"/>
          <w:szCs w:val="24"/>
        </w:rPr>
        <w:t>进行评估。</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sz w:val="24"/>
          <w:szCs w:val="24"/>
        </w:rPr>
      </w:pPr>
      <w:r>
        <w:rPr>
          <w:rFonts w:ascii="宋体" w:hAnsi="宋体" w:eastAsia="宋体" w:cs="宋体"/>
          <w:sz w:val="24"/>
          <w:szCs w:val="24"/>
        </w:rPr>
        <w:t>评估基准日</w:t>
      </w:r>
      <w:r>
        <w:rPr>
          <w:rFonts w:hint="eastAsia" w:ascii="宋体" w:hAnsi="宋体" w:eastAsia="宋体" w:cs="宋体"/>
          <w:sz w:val="24"/>
          <w:szCs w:val="24"/>
          <w:lang w:eastAsia="zh-CN"/>
        </w:rPr>
        <w:t>为</w:t>
      </w:r>
      <w:r>
        <w:rPr>
          <w:rFonts w:hint="eastAsia" w:ascii="宋体" w:hAnsi="宋体" w:eastAsia="宋体" w:cs="宋体"/>
          <w:sz w:val="24"/>
          <w:szCs w:val="24"/>
        </w:rPr>
        <w:t>2018</w:t>
      </w:r>
      <w:r>
        <w:rPr>
          <w:rFonts w:ascii="宋体" w:hAnsi="宋体" w:eastAsia="宋体" w:cs="宋体"/>
          <w:sz w:val="24"/>
          <w:szCs w:val="24"/>
        </w:rPr>
        <w:t>年</w:t>
      </w:r>
      <w:r>
        <w:rPr>
          <w:rFonts w:hint="eastAsia" w:ascii="宋体" w:hAnsi="宋体" w:eastAsia="宋体" w:cs="宋体"/>
          <w:sz w:val="24"/>
          <w:szCs w:val="24"/>
        </w:rPr>
        <w:t>12</w:t>
      </w:r>
      <w:r>
        <w:rPr>
          <w:rFonts w:ascii="宋体" w:hAnsi="宋体" w:eastAsia="宋体" w:cs="宋体"/>
          <w:sz w:val="24"/>
          <w:szCs w:val="24"/>
        </w:rPr>
        <w:t>月</w:t>
      </w:r>
      <w:r>
        <w:rPr>
          <w:rFonts w:hint="eastAsia" w:ascii="宋体" w:hAnsi="宋体" w:eastAsia="宋体" w:cs="宋体"/>
          <w:sz w:val="24"/>
          <w:szCs w:val="24"/>
        </w:rPr>
        <w:t>31</w:t>
      </w:r>
      <w:r>
        <w:rPr>
          <w:rFonts w:ascii="宋体" w:hAnsi="宋体" w:eastAsia="宋体" w:cs="宋体"/>
          <w:sz w:val="24"/>
          <w:szCs w:val="24"/>
        </w:rPr>
        <w:t>日</w:t>
      </w:r>
      <w:r>
        <w:rPr>
          <w:rFonts w:hint="eastAsia" w:ascii="宋体" w:hAnsi="宋体" w:eastAsia="宋体" w:cs="宋体"/>
          <w:sz w:val="24"/>
          <w:szCs w:val="24"/>
          <w:lang w:eastAsia="zh-CN"/>
        </w:rPr>
        <w:t>，评估目的为了解</w:t>
      </w:r>
      <w:r>
        <w:rPr>
          <w:rFonts w:hint="eastAsia" w:ascii="宋体" w:hAnsi="宋体" w:eastAsia="宋体" w:cs="宋体"/>
          <w:sz w:val="24"/>
          <w:szCs w:val="24"/>
          <w:lang w:val="en-US" w:eastAsia="zh-CN"/>
        </w:rPr>
        <w:t>A</w:t>
      </w:r>
      <w:r>
        <w:rPr>
          <w:rFonts w:hint="eastAsia" w:ascii="宋体" w:hAnsi="宋体" w:eastAsia="宋体" w:cs="宋体"/>
          <w:sz w:val="24"/>
          <w:szCs w:val="24"/>
        </w:rPr>
        <w:t>公司的股东全部权益。</w:t>
      </w:r>
    </w:p>
    <w:p>
      <w:pPr>
        <w:pStyle w:val="5"/>
        <w:ind w:firstLine="480" w:firstLineChars="200"/>
        <w:rPr>
          <w:rFonts w:hint="eastAsia" w:eastAsia="宋体"/>
          <w:kern w:val="2"/>
          <w:szCs w:val="24"/>
        </w:rPr>
      </w:pPr>
      <w:r>
        <w:rPr>
          <w:rFonts w:hint="eastAsia" w:eastAsia="宋体"/>
          <w:kern w:val="2"/>
          <w:szCs w:val="24"/>
        </w:rPr>
        <w:t>本次采用现金流量折现法对被评估单位评估基准日的主营业务价值进行估算，具体方法选用股权自由现金流折现模型。</w:t>
      </w:r>
    </w:p>
    <w:p>
      <w:pPr>
        <w:pStyle w:val="5"/>
        <w:keepNext w:val="0"/>
        <w:keepLines w:val="0"/>
        <w:pageBreakBefore w:val="0"/>
        <w:widowControl w:val="0"/>
        <w:numPr>
          <w:ilvl w:val="0"/>
          <w:numId w:val="1"/>
        </w:numPr>
        <w:kinsoku/>
        <w:wordWrap/>
        <w:overflowPunct/>
        <w:topLinePunct w:val="0"/>
        <w:autoSpaceDE/>
        <w:autoSpaceDN/>
        <w:bidi w:val="0"/>
        <w:adjustRightInd w:val="0"/>
        <w:snapToGrid/>
        <w:ind w:firstLine="0" w:firstLineChars="0"/>
        <w:textAlignment w:val="baseline"/>
        <w:rPr>
          <w:rFonts w:hint="eastAsia" w:eastAsia="宋体"/>
          <w:kern w:val="2"/>
          <w:szCs w:val="24"/>
          <w:lang w:val="en-US" w:eastAsia="zh-CN"/>
        </w:rPr>
      </w:pPr>
      <w:r>
        <w:rPr>
          <w:rFonts w:hint="eastAsia" w:eastAsia="宋体"/>
          <w:kern w:val="2"/>
          <w:szCs w:val="24"/>
          <w:lang w:val="en-US" w:eastAsia="zh-CN"/>
        </w:rPr>
        <w:t>K公司价值评估过程</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ascii="宋体" w:hAnsi="宋体" w:eastAsia="宋体" w:cs="宋体"/>
          <w:sz w:val="24"/>
          <w:szCs w:val="24"/>
        </w:rPr>
      </w:pPr>
      <w:r>
        <w:rPr>
          <w:rFonts w:ascii="宋体" w:hAnsi="宋体" w:eastAsia="宋体" w:cs="宋体"/>
          <w:sz w:val="24"/>
          <w:szCs w:val="24"/>
        </w:rPr>
        <w:t>评估基准日</w:t>
      </w:r>
      <w:r>
        <w:rPr>
          <w:rFonts w:hint="eastAsia" w:ascii="宋体" w:hAnsi="宋体" w:eastAsia="宋体" w:cs="宋体"/>
          <w:sz w:val="24"/>
          <w:szCs w:val="24"/>
          <w:lang w:eastAsia="zh-CN"/>
        </w:rPr>
        <w:t>为</w:t>
      </w:r>
      <w:r>
        <w:rPr>
          <w:rFonts w:hint="eastAsia" w:ascii="宋体" w:hAnsi="宋体" w:eastAsia="宋体" w:cs="宋体"/>
          <w:sz w:val="24"/>
          <w:szCs w:val="24"/>
        </w:rPr>
        <w:t>2018</w:t>
      </w:r>
      <w:r>
        <w:rPr>
          <w:rFonts w:ascii="宋体" w:hAnsi="宋体" w:eastAsia="宋体" w:cs="宋体"/>
          <w:sz w:val="24"/>
          <w:szCs w:val="24"/>
        </w:rPr>
        <w:t>年</w:t>
      </w:r>
      <w:r>
        <w:rPr>
          <w:rFonts w:hint="eastAsia" w:ascii="宋体" w:hAnsi="宋体" w:eastAsia="宋体" w:cs="宋体"/>
          <w:sz w:val="24"/>
          <w:szCs w:val="24"/>
        </w:rPr>
        <w:t>12</w:t>
      </w:r>
      <w:r>
        <w:rPr>
          <w:rFonts w:ascii="宋体" w:hAnsi="宋体" w:eastAsia="宋体" w:cs="宋体"/>
          <w:sz w:val="24"/>
          <w:szCs w:val="24"/>
        </w:rPr>
        <w:t>月</w:t>
      </w:r>
      <w:r>
        <w:rPr>
          <w:rFonts w:hint="eastAsia" w:ascii="宋体" w:hAnsi="宋体" w:eastAsia="宋体" w:cs="宋体"/>
          <w:sz w:val="24"/>
          <w:szCs w:val="24"/>
        </w:rPr>
        <w:t>31</w:t>
      </w:r>
      <w:r>
        <w:rPr>
          <w:rFonts w:ascii="宋体" w:hAnsi="宋体" w:eastAsia="宋体" w:cs="宋体"/>
          <w:sz w:val="24"/>
          <w:szCs w:val="24"/>
        </w:rPr>
        <w:t>日</w:t>
      </w:r>
      <w:r>
        <w:rPr>
          <w:rFonts w:hint="eastAsia" w:ascii="宋体" w:hAnsi="宋体" w:eastAsia="宋体" w:cs="宋体"/>
          <w:sz w:val="24"/>
          <w:szCs w:val="24"/>
          <w:lang w:eastAsia="zh-CN"/>
        </w:rPr>
        <w:t>，评估目的为了解</w:t>
      </w:r>
      <w:r>
        <w:rPr>
          <w:rFonts w:hint="eastAsia" w:ascii="宋体" w:hAnsi="宋体" w:eastAsia="宋体" w:cs="宋体"/>
          <w:sz w:val="24"/>
          <w:szCs w:val="24"/>
          <w:lang w:val="en-US" w:eastAsia="zh-CN"/>
        </w:rPr>
        <w:t>A</w:t>
      </w:r>
      <w:r>
        <w:rPr>
          <w:rFonts w:hint="eastAsia" w:ascii="宋体" w:hAnsi="宋体" w:eastAsia="宋体" w:cs="宋体"/>
          <w:sz w:val="24"/>
          <w:szCs w:val="24"/>
        </w:rPr>
        <w:t>公司的股东全部权益。</w:t>
      </w:r>
    </w:p>
    <w:p>
      <w:pPr>
        <w:pStyle w:val="5"/>
        <w:numPr>
          <w:ilvl w:val="0"/>
          <w:numId w:val="0"/>
        </w:numPr>
        <w:rPr>
          <w:rFonts w:hint="eastAsia" w:eastAsia="宋体"/>
          <w:b w:val="0"/>
          <w:bCs w:val="0"/>
          <w:kern w:val="2"/>
          <w:szCs w:val="24"/>
          <w:lang w:val="en-US" w:eastAsia="zh-CN"/>
        </w:rPr>
      </w:pPr>
      <w:r>
        <w:rPr>
          <w:rFonts w:hint="eastAsia" w:eastAsia="宋体"/>
          <w:kern w:val="2"/>
          <w:szCs w:val="24"/>
        </w:rPr>
        <w:t>本次</w:t>
      </w:r>
      <w:r>
        <w:rPr>
          <w:rFonts w:hint="eastAsia" w:eastAsia="宋体"/>
          <w:b w:val="0"/>
          <w:bCs w:val="0"/>
          <w:kern w:val="2"/>
          <w:szCs w:val="24"/>
        </w:rPr>
        <w:t>采用现金流量折现法对被评估单位评估基准日的主营业务价值进行估算，具体方法选用股权自由现金流折现模型。</w:t>
      </w:r>
    </w:p>
    <w:p>
      <w:pPr>
        <w:numPr>
          <w:ilvl w:val="0"/>
          <w:numId w:val="2"/>
        </w:numPr>
        <w:tabs>
          <w:tab w:val="left" w:pos="840"/>
          <w:tab w:val="left" w:pos="1050"/>
        </w:tabs>
        <w:spacing w:line="360" w:lineRule="auto"/>
        <w:outlineLvl w:val="3"/>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收益模型的选取</w:t>
      </w:r>
    </w:p>
    <w:p>
      <w:pPr>
        <w:pStyle w:val="5"/>
        <w:ind w:firstLine="480" w:firstLineChars="200"/>
        <w:rPr>
          <w:rFonts w:hint="eastAsia" w:eastAsia="宋体"/>
          <w:kern w:val="2"/>
          <w:szCs w:val="24"/>
        </w:rPr>
      </w:pPr>
      <w:r>
        <w:rPr>
          <w:rFonts w:hint="eastAsia" w:eastAsia="宋体"/>
          <w:kern w:val="2"/>
          <w:szCs w:val="24"/>
        </w:rPr>
        <w:t>以未来若干年度内的股权自由现金流量作为基础，采用适当折现率折现后加总计算得出被评估单位的主营业务价值。</w:t>
      </w:r>
    </w:p>
    <w:p>
      <w:pPr>
        <w:spacing w:line="360" w:lineRule="auto"/>
        <w:ind w:firstLine="420" w:firstLineChars="200"/>
        <w:rPr>
          <w:rFonts w:ascii="Arial Narrow" w:hAnsi="Arial Narrow" w:eastAsia="仿宋_GB2312" w:cs="等线"/>
          <w:sz w:val="24"/>
          <w:szCs w:val="24"/>
        </w:rPr>
      </w:pPr>
      <w:r>
        <w:rPr>
          <w:rFonts w:hint="eastAsia" w:eastAsia="宋体"/>
          <w:kern w:val="2"/>
          <w:szCs w:val="24"/>
        </w:rPr>
        <w:t>在得出被评估单位主营业务价值的基础上，加上非经营性、溢余资产的价值，减去非经营性、溢余负债的价值，得出股东全部权益价值。</w:t>
      </w:r>
      <w:r>
        <w:rPr>
          <w:rFonts w:hint="eastAsia" w:ascii="Arial Narrow" w:hAnsi="Arial Narrow" w:eastAsia="仿宋_GB2312" w:cs="等线"/>
          <w:sz w:val="24"/>
          <w:szCs w:val="24"/>
        </w:rPr>
        <w:t>。</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经营性资产价值的计算公式如下：</w:t>
      </w:r>
    </w:p>
    <w:p>
      <w:pPr>
        <w:spacing w:line="360" w:lineRule="auto"/>
        <w:ind w:firstLine="480" w:firstLineChars="200"/>
        <w:rPr>
          <w:rFonts w:ascii="Arial Narrow" w:hAnsi="Arial Narrow" w:eastAsia="仿宋_GB2312" w:cs="等线"/>
          <w:sz w:val="24"/>
          <w:szCs w:val="24"/>
        </w:rPr>
      </w:pPr>
      <w:r>
        <w:rPr>
          <w:rFonts w:ascii="Arial Narrow" w:hAnsi="Arial Narrow" w:eastAsia="仿宋_GB2312" w:cs="等线"/>
          <w:sz w:val="24"/>
          <w:szCs w:val="24"/>
        </w:rPr>
        <w:drawing>
          <wp:inline distT="0" distB="0" distL="0" distR="0">
            <wp:extent cx="2933700" cy="704850"/>
            <wp:effectExtent l="0" t="0" r="0" b="0"/>
            <wp:docPr id="1" name="图片 1" descr="1543656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365624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33700" cy="704850"/>
                    </a:xfrm>
                    <a:prstGeom prst="rect">
                      <a:avLst/>
                    </a:prstGeom>
                    <a:noFill/>
                    <a:ln>
                      <a:noFill/>
                    </a:ln>
                  </pic:spPr>
                </pic:pic>
              </a:graphicData>
            </a:graphic>
          </wp:inline>
        </w:drawing>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式中：Ri----被评估单位未来第i年的预期收益；Rn---被评估单位永续期的预测收益；r—折现率；n---被评估单位的未来持续性经营期。本次评估，使用评估对象股权现金流量作为其经营性资产的收益指标，其基本定义为：</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股权现金流=净利润-权益增加额+其他综合收益</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本次评估采用资本资产定价模型（CAPM）确定折现率。在本模型中，非经营性、溢余资产的范围包括溢余资产和非经营性资产，相应的其他资产的价值等于溢余资产价值和非经营性资产价值之和K公司属于商业保理公司，成立时间虽然不长、但发展前景较好，评估基准日及至评估报告出具日，没有确切证据表明被评估单位在未来某个时间终止经营。最终，我们确定K公司收益期为无限期，预测期为2019年至2023年度。K公司属于商业保理企业，收益口径为预测期的股权自由现金流量。</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（二）收入的预测</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K公司主要从事商业保理业务。保理业务收入主要为利息收入及手续费收入。根据K公司未来年度融资计划，未来年度投放及收入预测见下表：</w:t>
      </w:r>
    </w:p>
    <w:p>
      <w:pPr>
        <w:spacing w:line="360" w:lineRule="auto"/>
        <w:ind w:firstLine="420" w:firstLineChars="200"/>
        <w:jc w:val="center"/>
        <w:rPr>
          <w:rFonts w:hint="eastAsia" w:ascii="Arial Narrow" w:hAnsi="Arial Narrow" w:eastAsia="宋体" w:cstheme="minorBidi"/>
          <w:kern w:val="2"/>
          <w:sz w:val="21"/>
          <w:szCs w:val="21"/>
          <w:lang w:val="en-US" w:eastAsia="zh-CN" w:bidi="ar-SA"/>
        </w:rPr>
      </w:pPr>
      <w:r>
        <w:rPr>
          <w:rFonts w:hint="eastAsia" w:ascii="Arial Narrow" w:hAnsi="Arial Narrow" w:eastAsia="宋体" w:cstheme="minorBidi"/>
          <w:kern w:val="2"/>
          <w:sz w:val="21"/>
          <w:szCs w:val="21"/>
          <w:lang w:val="en-US" w:eastAsia="zh-CN" w:bidi="ar-SA"/>
        </w:rPr>
        <w:t>表一 收入预测表</w:t>
      </w:r>
    </w:p>
    <w:tbl>
      <w:tblPr>
        <w:tblStyle w:val="3"/>
        <w:tblW w:w="4522" w:type="pct"/>
        <w:jc w:val="center"/>
        <w:tblLayout w:type="autofit"/>
        <w:tblCellMar>
          <w:top w:w="0" w:type="dxa"/>
          <w:left w:w="108" w:type="dxa"/>
          <w:bottom w:w="0" w:type="dxa"/>
          <w:right w:w="108" w:type="dxa"/>
        </w:tblCellMar>
      </w:tblPr>
      <w:tblGrid>
        <w:gridCol w:w="1735"/>
        <w:gridCol w:w="1144"/>
        <w:gridCol w:w="1220"/>
        <w:gridCol w:w="1218"/>
        <w:gridCol w:w="1220"/>
        <w:gridCol w:w="1170"/>
      </w:tblGrid>
      <w:tr>
        <w:tblPrEx>
          <w:tblCellMar>
            <w:top w:w="0" w:type="dxa"/>
            <w:left w:w="108" w:type="dxa"/>
            <w:bottom w:w="0" w:type="dxa"/>
            <w:right w:w="108" w:type="dxa"/>
          </w:tblCellMar>
        </w:tblPrEx>
        <w:trPr>
          <w:trHeight w:val="291" w:hRule="atLeast"/>
          <w:tblHeader/>
          <w:jc w:val="center"/>
        </w:trPr>
        <w:tc>
          <w:tcPr>
            <w:tcW w:w="1125" w:type="pct"/>
            <w:tcBorders>
              <w:top w:val="double" w:color="auto" w:sz="4" w:space="0"/>
              <w:left w:val="double" w:color="auto" w:sz="4" w:space="0"/>
              <w:bottom w:val="single" w:color="000000" w:sz="4" w:space="0"/>
              <w:right w:val="single" w:color="auto" w:sz="4" w:space="0"/>
            </w:tcBorders>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收入分类</w:t>
            </w:r>
          </w:p>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客户类型</w:t>
            </w:r>
          </w:p>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项目</w:t>
            </w:r>
          </w:p>
        </w:tc>
        <w:tc>
          <w:tcPr>
            <w:tcW w:w="742" w:type="pct"/>
            <w:tcBorders>
              <w:top w:val="double" w:color="auto" w:sz="4" w:space="0"/>
              <w:left w:val="nil"/>
              <w:bottom w:val="single" w:color="auto" w:sz="4" w:space="0"/>
              <w:right w:val="single" w:color="auto" w:sz="4" w:space="0"/>
            </w:tcBorders>
            <w:vAlign w:val="center"/>
          </w:tcPr>
          <w:p>
            <w:pPr>
              <w:widowControl/>
              <w:jc w:val="center"/>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2019年</w:t>
            </w:r>
          </w:p>
        </w:tc>
        <w:tc>
          <w:tcPr>
            <w:tcW w:w="791" w:type="pct"/>
            <w:tcBorders>
              <w:top w:val="double" w:color="auto" w:sz="4" w:space="0"/>
              <w:left w:val="nil"/>
              <w:bottom w:val="single" w:color="auto" w:sz="4" w:space="0"/>
              <w:right w:val="single" w:color="auto" w:sz="4" w:space="0"/>
            </w:tcBorders>
            <w:vAlign w:val="center"/>
          </w:tcPr>
          <w:p>
            <w:pPr>
              <w:widowControl/>
              <w:jc w:val="center"/>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2020年</w:t>
            </w:r>
          </w:p>
        </w:tc>
        <w:tc>
          <w:tcPr>
            <w:tcW w:w="790" w:type="pct"/>
            <w:tcBorders>
              <w:top w:val="double" w:color="auto" w:sz="4" w:space="0"/>
              <w:left w:val="nil"/>
              <w:bottom w:val="single" w:color="auto" w:sz="4" w:space="0"/>
              <w:right w:val="single" w:color="auto" w:sz="4" w:space="0"/>
            </w:tcBorders>
            <w:vAlign w:val="center"/>
          </w:tcPr>
          <w:p>
            <w:pPr>
              <w:widowControl/>
              <w:jc w:val="center"/>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2021年</w:t>
            </w:r>
          </w:p>
        </w:tc>
        <w:tc>
          <w:tcPr>
            <w:tcW w:w="791" w:type="pct"/>
            <w:tcBorders>
              <w:top w:val="double" w:color="auto" w:sz="4" w:space="0"/>
              <w:left w:val="single" w:color="auto" w:sz="4" w:space="0"/>
              <w:bottom w:val="single" w:color="auto" w:sz="4" w:space="0"/>
              <w:right w:val="single" w:color="auto" w:sz="4" w:space="0"/>
            </w:tcBorders>
            <w:vAlign w:val="center"/>
          </w:tcPr>
          <w:p>
            <w:pPr>
              <w:widowControl/>
              <w:jc w:val="center"/>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2022年</w:t>
            </w:r>
          </w:p>
        </w:tc>
        <w:tc>
          <w:tcPr>
            <w:tcW w:w="758" w:type="pct"/>
            <w:tcBorders>
              <w:top w:val="double" w:color="auto" w:sz="4" w:space="0"/>
              <w:left w:val="single" w:color="auto" w:sz="4" w:space="0"/>
              <w:bottom w:val="single" w:color="auto" w:sz="4" w:space="0"/>
              <w:right w:val="double" w:color="auto" w:sz="4" w:space="0"/>
            </w:tcBorders>
            <w:vAlign w:val="center"/>
          </w:tcPr>
          <w:p>
            <w:pPr>
              <w:widowControl/>
              <w:jc w:val="center"/>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2023年</w:t>
            </w:r>
          </w:p>
        </w:tc>
      </w:tr>
      <w:tr>
        <w:tblPrEx>
          <w:tblCellMar>
            <w:top w:w="0" w:type="dxa"/>
            <w:left w:w="108" w:type="dxa"/>
            <w:bottom w:w="0" w:type="dxa"/>
            <w:right w:w="108" w:type="dxa"/>
          </w:tblCellMar>
        </w:tblPrEx>
        <w:trPr>
          <w:trHeight w:val="291" w:hRule="atLeast"/>
          <w:jc w:val="center"/>
        </w:trPr>
        <w:tc>
          <w:tcPr>
            <w:tcW w:w="1125" w:type="pct"/>
            <w:tcBorders>
              <w:top w:val="single" w:color="auto" w:sz="4" w:space="0"/>
              <w:left w:val="double" w:color="auto" w:sz="4" w:space="0"/>
              <w:bottom w:val="single" w:color="000000" w:sz="4" w:space="0"/>
              <w:right w:val="single" w:color="auto" w:sz="4" w:space="0"/>
            </w:tcBorders>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利息收入</w:t>
            </w:r>
          </w:p>
        </w:tc>
        <w:tc>
          <w:tcPr>
            <w:tcW w:w="742" w:type="pct"/>
            <w:tcBorders>
              <w:top w:val="nil"/>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3951</w:t>
            </w:r>
          </w:p>
        </w:tc>
        <w:tc>
          <w:tcPr>
            <w:tcW w:w="791" w:type="pct"/>
            <w:tcBorders>
              <w:top w:val="nil"/>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5480</w:t>
            </w:r>
          </w:p>
        </w:tc>
        <w:tc>
          <w:tcPr>
            <w:tcW w:w="790" w:type="pct"/>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6376.2</w:t>
            </w:r>
          </w:p>
        </w:tc>
        <w:tc>
          <w:tcPr>
            <w:tcW w:w="791" w:type="pc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7321.58</w:t>
            </w:r>
          </w:p>
        </w:tc>
        <w:tc>
          <w:tcPr>
            <w:tcW w:w="758" w:type="pct"/>
            <w:tcBorders>
              <w:top w:val="nil"/>
              <w:left w:val="single" w:color="auto" w:sz="4" w:space="0"/>
              <w:bottom w:val="single" w:color="auto" w:sz="4" w:space="0"/>
              <w:right w:val="doub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7321.58</w:t>
            </w:r>
          </w:p>
        </w:tc>
      </w:tr>
      <w:tr>
        <w:tblPrEx>
          <w:tblCellMar>
            <w:top w:w="0" w:type="dxa"/>
            <w:left w:w="108" w:type="dxa"/>
            <w:bottom w:w="0" w:type="dxa"/>
            <w:right w:w="108" w:type="dxa"/>
          </w:tblCellMar>
        </w:tblPrEx>
        <w:trPr>
          <w:trHeight w:val="291" w:hRule="atLeast"/>
          <w:jc w:val="center"/>
        </w:trPr>
        <w:tc>
          <w:tcPr>
            <w:tcW w:w="1125" w:type="pct"/>
            <w:tcBorders>
              <w:top w:val="nil"/>
              <w:left w:val="doub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手续费收入</w:t>
            </w:r>
          </w:p>
        </w:tc>
        <w:tc>
          <w:tcPr>
            <w:tcW w:w="742" w:type="pct"/>
            <w:tcBorders>
              <w:top w:val="nil"/>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27453.48</w:t>
            </w:r>
          </w:p>
        </w:tc>
        <w:tc>
          <w:tcPr>
            <w:tcW w:w="791" w:type="pct"/>
            <w:tcBorders>
              <w:top w:val="nil"/>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42800.53</w:t>
            </w:r>
          </w:p>
        </w:tc>
        <w:tc>
          <w:tcPr>
            <w:tcW w:w="790" w:type="pct"/>
            <w:tcBorders>
              <w:top w:val="single" w:color="auto" w:sz="4" w:space="0"/>
              <w:left w:val="nil"/>
              <w:bottom w:val="single" w:color="auto" w:sz="4" w:space="0"/>
              <w:right w:val="sing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50000</w:t>
            </w:r>
          </w:p>
        </w:tc>
        <w:tc>
          <w:tcPr>
            <w:tcW w:w="791" w:type="pc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58606.4</w:t>
            </w:r>
          </w:p>
        </w:tc>
        <w:tc>
          <w:tcPr>
            <w:tcW w:w="758" w:type="pct"/>
            <w:tcBorders>
              <w:top w:val="nil"/>
              <w:left w:val="single" w:color="auto" w:sz="4" w:space="0"/>
              <w:bottom w:val="single" w:color="auto" w:sz="4" w:space="0"/>
              <w:right w:val="doub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58906.52</w:t>
            </w:r>
          </w:p>
        </w:tc>
      </w:tr>
      <w:tr>
        <w:tblPrEx>
          <w:tblCellMar>
            <w:top w:w="0" w:type="dxa"/>
            <w:left w:w="108" w:type="dxa"/>
            <w:bottom w:w="0" w:type="dxa"/>
            <w:right w:w="108" w:type="dxa"/>
          </w:tblCellMar>
        </w:tblPrEx>
        <w:trPr>
          <w:trHeight w:val="307" w:hRule="atLeast"/>
          <w:jc w:val="center"/>
        </w:trPr>
        <w:tc>
          <w:tcPr>
            <w:tcW w:w="1125" w:type="pct"/>
            <w:tcBorders>
              <w:top w:val="single" w:color="auto" w:sz="4" w:space="0"/>
              <w:left w:val="double" w:color="auto" w:sz="4" w:space="0"/>
              <w:bottom w:val="double" w:color="auto" w:sz="4" w:space="0"/>
              <w:right w:val="single" w:color="auto" w:sz="4" w:space="0"/>
            </w:tcBorders>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合计</w:t>
            </w:r>
          </w:p>
        </w:tc>
        <w:tc>
          <w:tcPr>
            <w:tcW w:w="742" w:type="pct"/>
            <w:tcBorders>
              <w:top w:val="single" w:color="auto" w:sz="4" w:space="0"/>
              <w:left w:val="nil"/>
              <w:bottom w:val="double" w:color="auto" w:sz="4" w:space="0"/>
              <w:right w:val="sing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31404.48</w:t>
            </w:r>
          </w:p>
        </w:tc>
        <w:tc>
          <w:tcPr>
            <w:tcW w:w="791" w:type="pct"/>
            <w:tcBorders>
              <w:top w:val="single" w:color="auto" w:sz="4" w:space="0"/>
              <w:left w:val="nil"/>
              <w:bottom w:val="double" w:color="auto" w:sz="4" w:space="0"/>
              <w:right w:val="sing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48280.53</w:t>
            </w:r>
          </w:p>
        </w:tc>
        <w:tc>
          <w:tcPr>
            <w:tcW w:w="790" w:type="pct"/>
            <w:tcBorders>
              <w:top w:val="single" w:color="auto" w:sz="4" w:space="0"/>
              <w:left w:val="nil"/>
              <w:bottom w:val="double" w:color="auto" w:sz="4" w:space="0"/>
              <w:right w:val="sing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56376.2</w:t>
            </w:r>
          </w:p>
        </w:tc>
        <w:tc>
          <w:tcPr>
            <w:tcW w:w="791" w:type="pct"/>
            <w:tcBorders>
              <w:top w:val="single" w:color="auto" w:sz="4" w:space="0"/>
              <w:left w:val="single" w:color="auto" w:sz="4" w:space="0"/>
              <w:bottom w:val="double" w:color="auto" w:sz="4" w:space="0"/>
              <w:right w:val="sing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65927.98</w:t>
            </w:r>
          </w:p>
        </w:tc>
        <w:tc>
          <w:tcPr>
            <w:tcW w:w="758" w:type="pct"/>
            <w:tcBorders>
              <w:top w:val="single" w:color="auto" w:sz="4" w:space="0"/>
              <w:left w:val="single" w:color="auto" w:sz="4" w:space="0"/>
              <w:bottom w:val="double" w:color="auto" w:sz="4" w:space="0"/>
              <w:right w:val="double" w:color="auto" w:sz="4" w:space="0"/>
            </w:tcBorders>
            <w:vAlign w:val="center"/>
          </w:tcPr>
          <w:p>
            <w:pPr>
              <w:keepNext w:val="0"/>
              <w:keepLines w:val="0"/>
              <w:widowControl/>
              <w:suppressLineNumbers w:val="0"/>
              <w:jc w:val="right"/>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olor w:val="000000"/>
                <w:kern w:val="0"/>
                <w:sz w:val="21"/>
                <w:szCs w:val="21"/>
                <w:u w:val="none"/>
                <w:lang w:val="en-US" w:eastAsia="zh-CN" w:bidi="ar"/>
              </w:rPr>
              <w:t>66228.1</w:t>
            </w:r>
          </w:p>
        </w:tc>
      </w:tr>
    </w:tbl>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（三）营业成本的预测</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K公司主营业务成本为资金成本。K公司的营业成本为贷款利息支出。公司业务特点需大量长期资金投入，日常的流动资金或项目资金主要来源于股东的资本金和银行融资。融资方式最终体现为长期借款，为适应租赁资产的长期性特征，企业未来主要采用融资渠道主要是银行借款、债券等。</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贷款利息支出=当期贷款平均额×平均利率</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1.当期贷款平均额</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结合未来年度业务规模及借款融资计划，分析确定期末借款余额，取期初与期末平均值作为当期贷款平均额。</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2.平均利率</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当年新增借款余额，按照企业历史年度平均借款年利率预测，原有投放规模借款中，按原有的投放规模成本不变加新增投放成本预测。</w:t>
      </w:r>
    </w:p>
    <w:p>
      <w:pPr>
        <w:spacing w:line="360" w:lineRule="auto"/>
        <w:ind w:firstLine="420" w:firstLineChars="200"/>
        <w:jc w:val="center"/>
        <w:rPr>
          <w:rFonts w:hint="eastAsia" w:ascii="Arial Narrow" w:hAnsi="Arial Narrow" w:eastAsia="宋体" w:cstheme="minorBidi"/>
          <w:kern w:val="2"/>
          <w:sz w:val="24"/>
          <w:szCs w:val="24"/>
          <w:lang w:val="en-US" w:eastAsia="zh-CN" w:bidi="ar-SA"/>
        </w:rPr>
      </w:pP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lang w:eastAsia="zh-CN"/>
        </w:rPr>
        <w:t>表二</w:t>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未来年度营业成本预测表</w:t>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单位：万元</w:t>
      </w:r>
    </w:p>
    <w:tbl>
      <w:tblPr>
        <w:tblStyle w:val="3"/>
        <w:tblpPr w:leftFromText="180" w:rightFromText="180" w:vertAnchor="text" w:horzAnchor="page" w:tblpX="1997" w:tblpY="136"/>
        <w:tblOverlap w:val="never"/>
        <w:tblW w:w="8454" w:type="dxa"/>
        <w:tblInd w:w="0" w:type="dxa"/>
        <w:tblLayout w:type="fixed"/>
        <w:tblCellMar>
          <w:top w:w="0" w:type="dxa"/>
          <w:left w:w="108" w:type="dxa"/>
          <w:bottom w:w="0" w:type="dxa"/>
          <w:right w:w="108" w:type="dxa"/>
        </w:tblCellMar>
      </w:tblPr>
      <w:tblGrid>
        <w:gridCol w:w="1418"/>
        <w:gridCol w:w="1276"/>
        <w:gridCol w:w="1134"/>
        <w:gridCol w:w="1134"/>
        <w:gridCol w:w="1134"/>
        <w:gridCol w:w="1192"/>
        <w:gridCol w:w="1166"/>
      </w:tblGrid>
      <w:tr>
        <w:tblPrEx>
          <w:tblCellMar>
            <w:top w:w="0" w:type="dxa"/>
            <w:left w:w="108" w:type="dxa"/>
            <w:bottom w:w="0" w:type="dxa"/>
            <w:right w:w="108" w:type="dxa"/>
          </w:tblCellMar>
        </w:tblPrEx>
        <w:trPr>
          <w:trHeight w:val="288" w:hRule="atLeast"/>
        </w:trPr>
        <w:tc>
          <w:tcPr>
            <w:tcW w:w="1418" w:type="dxa"/>
            <w:tcBorders>
              <w:top w:val="double" w:color="auto" w:sz="4" w:space="0"/>
              <w:left w:val="double" w:color="auto" w:sz="4" w:space="0"/>
              <w:bottom w:val="single" w:color="auto" w:sz="4" w:space="0"/>
              <w:right w:val="single" w:color="auto" w:sz="4" w:space="0"/>
            </w:tcBorders>
            <w:vAlign w:val="center"/>
          </w:tcPr>
          <w:p>
            <w:pPr>
              <w:widowControl/>
              <w:jc w:val="center"/>
              <w:rPr>
                <w:rFonts w:hint="eastAsia" w:ascii="宋体" w:hAnsi="宋体" w:eastAsia="宋体" w:cs="宋体"/>
                <w:kern w:val="0"/>
                <w:sz w:val="20"/>
                <w:szCs w:val="20"/>
              </w:rPr>
            </w:pPr>
            <w:r>
              <w:rPr>
                <w:rFonts w:hint="eastAsia" w:ascii="宋体" w:hAnsi="宋体" w:eastAsia="宋体" w:cs="宋体"/>
                <w:kern w:val="0"/>
                <w:sz w:val="20"/>
                <w:szCs w:val="20"/>
              </w:rPr>
              <w:t>科目名称</w:t>
            </w:r>
          </w:p>
        </w:tc>
        <w:tc>
          <w:tcPr>
            <w:tcW w:w="1276" w:type="dxa"/>
            <w:tcBorders>
              <w:top w:val="doub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kern w:val="0"/>
                <w:sz w:val="20"/>
                <w:szCs w:val="20"/>
              </w:rPr>
            </w:pPr>
            <w:r>
              <w:rPr>
                <w:rFonts w:hint="eastAsia" w:ascii="宋体" w:hAnsi="宋体" w:eastAsia="宋体" w:cs="宋体"/>
                <w:kern w:val="0"/>
                <w:sz w:val="20"/>
                <w:szCs w:val="20"/>
              </w:rPr>
              <w:t>项目名称</w:t>
            </w:r>
          </w:p>
        </w:tc>
        <w:tc>
          <w:tcPr>
            <w:tcW w:w="1134" w:type="dxa"/>
            <w:tcBorders>
              <w:top w:val="doub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2019年</w:t>
            </w:r>
          </w:p>
        </w:tc>
        <w:tc>
          <w:tcPr>
            <w:tcW w:w="1134" w:type="dxa"/>
            <w:tcBorders>
              <w:top w:val="doub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2020年</w:t>
            </w:r>
          </w:p>
        </w:tc>
        <w:tc>
          <w:tcPr>
            <w:tcW w:w="1134" w:type="dxa"/>
            <w:tcBorders>
              <w:top w:val="doub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2021年</w:t>
            </w:r>
          </w:p>
        </w:tc>
        <w:tc>
          <w:tcPr>
            <w:tcW w:w="1192" w:type="dxa"/>
            <w:tcBorders>
              <w:top w:val="double" w:color="auto" w:sz="4" w:space="0"/>
              <w:left w:val="nil"/>
              <w:bottom w:val="single" w:color="auto" w:sz="4" w:space="0"/>
              <w:right w:val="single" w:color="auto" w:sz="4" w:space="0"/>
            </w:tcBorders>
            <w:noWrap/>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2022年</w:t>
            </w:r>
          </w:p>
        </w:tc>
        <w:tc>
          <w:tcPr>
            <w:tcW w:w="1166" w:type="dxa"/>
            <w:tcBorders>
              <w:top w:val="double" w:color="auto" w:sz="4" w:space="0"/>
              <w:left w:val="nil"/>
              <w:bottom w:val="single" w:color="auto" w:sz="4" w:space="0"/>
              <w:right w:val="double" w:color="auto" w:sz="4" w:space="0"/>
            </w:tcBorders>
            <w:noWrap/>
            <w:vAlign w:val="center"/>
          </w:tcPr>
          <w:p>
            <w:pPr>
              <w:widowControl/>
              <w:jc w:val="center"/>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2023年</w:t>
            </w:r>
          </w:p>
        </w:tc>
      </w:tr>
      <w:tr>
        <w:tblPrEx>
          <w:tblCellMar>
            <w:top w:w="0" w:type="dxa"/>
            <w:left w:w="108" w:type="dxa"/>
            <w:bottom w:w="0" w:type="dxa"/>
            <w:right w:w="108" w:type="dxa"/>
          </w:tblCellMar>
        </w:tblPrEx>
        <w:trPr>
          <w:trHeight w:val="544" w:hRule="atLeast"/>
        </w:trPr>
        <w:tc>
          <w:tcPr>
            <w:tcW w:w="1418" w:type="dxa"/>
            <w:tcBorders>
              <w:top w:val="nil"/>
              <w:left w:val="double" w:color="auto" w:sz="4" w:space="0"/>
              <w:bottom w:val="single" w:color="auto" w:sz="4" w:space="0"/>
              <w:right w:val="single" w:color="auto" w:sz="4" w:space="0"/>
            </w:tcBorders>
            <w:vAlign w:val="center"/>
          </w:tcPr>
          <w:p>
            <w:pPr>
              <w:widowControl/>
              <w:jc w:val="right"/>
              <w:rPr>
                <w:rFonts w:hint="eastAsia" w:ascii="宋体" w:hAnsi="宋体" w:eastAsia="宋体" w:cs="宋体"/>
                <w:kern w:val="0"/>
                <w:sz w:val="20"/>
                <w:szCs w:val="20"/>
              </w:rPr>
            </w:pPr>
            <w:r>
              <w:rPr>
                <w:rFonts w:hint="eastAsia" w:ascii="宋体" w:hAnsi="宋体" w:eastAsia="宋体" w:cs="宋体"/>
                <w:kern w:val="0"/>
                <w:sz w:val="20"/>
                <w:szCs w:val="20"/>
              </w:rPr>
              <w:t>主营业务成本</w:t>
            </w:r>
          </w:p>
        </w:tc>
        <w:tc>
          <w:tcPr>
            <w:tcW w:w="1276" w:type="dxa"/>
            <w:tcBorders>
              <w:top w:val="nil"/>
              <w:left w:val="nil"/>
              <w:bottom w:val="single" w:color="auto" w:sz="4" w:space="0"/>
              <w:right w:val="single" w:color="auto" w:sz="4" w:space="0"/>
            </w:tcBorders>
            <w:vAlign w:val="center"/>
          </w:tcPr>
          <w:p>
            <w:pPr>
              <w:widowControl/>
              <w:jc w:val="center"/>
              <w:rPr>
                <w:rFonts w:hint="eastAsia" w:ascii="宋体" w:hAnsi="宋体" w:eastAsia="宋体" w:cs="宋体"/>
                <w:kern w:val="0"/>
                <w:sz w:val="20"/>
                <w:szCs w:val="20"/>
              </w:rPr>
            </w:pPr>
            <w:r>
              <w:rPr>
                <w:rFonts w:hint="eastAsia" w:ascii="宋体" w:hAnsi="宋体" w:eastAsia="宋体" w:cs="宋体"/>
                <w:kern w:val="0"/>
                <w:sz w:val="20"/>
                <w:szCs w:val="20"/>
              </w:rPr>
              <w:t xml:space="preserve"> 利息支出 </w:t>
            </w:r>
          </w:p>
        </w:tc>
        <w:tc>
          <w:tcPr>
            <w:tcW w:w="1134" w:type="dxa"/>
            <w:tcBorders>
              <w:top w:val="nil"/>
              <w:left w:val="nil"/>
              <w:bottom w:val="single" w:color="auto" w:sz="4" w:space="0"/>
              <w:right w:val="single" w:color="auto" w:sz="4" w:space="0"/>
            </w:tcBorders>
            <w:noWrap/>
            <w:vAlign w:val="center"/>
          </w:tcPr>
          <w:p>
            <w:pPr>
              <w:keepNext w:val="0"/>
              <w:keepLines w:val="0"/>
              <w:widowControl/>
              <w:suppressLineNumbers w:val="0"/>
              <w:jc w:val="center"/>
              <w:textAlignment w:val="center"/>
              <w:rPr>
                <w:rFonts w:hint="eastAsia" w:ascii="宋体" w:hAnsi="宋体" w:eastAsia="宋体" w:cs="宋体"/>
              </w:rPr>
            </w:pPr>
            <w:r>
              <w:rPr>
                <w:rFonts w:hint="eastAsia" w:ascii="宋体" w:hAnsi="宋体" w:eastAsia="宋体" w:cs="宋体"/>
                <w:i w:val="0"/>
                <w:color w:val="000000"/>
                <w:kern w:val="0"/>
                <w:sz w:val="20"/>
                <w:szCs w:val="20"/>
                <w:u w:val="none"/>
                <w:lang w:val="en-US" w:eastAsia="zh-CN" w:bidi="ar"/>
              </w:rPr>
              <w:t>13826.6</w:t>
            </w:r>
          </w:p>
        </w:tc>
        <w:tc>
          <w:tcPr>
            <w:tcW w:w="1134" w:type="dxa"/>
            <w:tcBorders>
              <w:top w:val="nil"/>
              <w:left w:val="nil"/>
              <w:bottom w:val="single" w:color="auto" w:sz="4" w:space="0"/>
              <w:right w:val="single" w:color="auto" w:sz="4" w:space="0"/>
            </w:tcBorders>
            <w:noWrap/>
            <w:vAlign w:val="center"/>
          </w:tcPr>
          <w:p>
            <w:pPr>
              <w:keepNext w:val="0"/>
              <w:keepLines w:val="0"/>
              <w:widowControl/>
              <w:suppressLineNumbers w:val="0"/>
              <w:jc w:val="center"/>
              <w:textAlignment w:val="center"/>
              <w:rPr>
                <w:rFonts w:hint="eastAsia" w:ascii="宋体" w:hAnsi="宋体" w:eastAsia="宋体" w:cs="宋体"/>
              </w:rPr>
            </w:pPr>
            <w:r>
              <w:rPr>
                <w:rFonts w:hint="eastAsia" w:ascii="宋体" w:hAnsi="宋体" w:eastAsia="宋体" w:cs="宋体"/>
                <w:i w:val="0"/>
                <w:color w:val="000000"/>
                <w:kern w:val="0"/>
                <w:sz w:val="20"/>
                <w:szCs w:val="20"/>
                <w:u w:val="none"/>
                <w:lang w:val="en-US" w:eastAsia="zh-CN" w:bidi="ar"/>
              </w:rPr>
              <w:t>25021.2</w:t>
            </w:r>
          </w:p>
        </w:tc>
        <w:tc>
          <w:tcPr>
            <w:tcW w:w="1134" w:type="dxa"/>
            <w:tcBorders>
              <w:top w:val="nil"/>
              <w:left w:val="nil"/>
              <w:bottom w:val="single" w:color="auto" w:sz="4" w:space="0"/>
              <w:right w:val="single" w:color="auto" w:sz="4" w:space="0"/>
            </w:tcBorders>
            <w:noWrap/>
            <w:vAlign w:val="center"/>
          </w:tcPr>
          <w:p>
            <w:pPr>
              <w:keepNext w:val="0"/>
              <w:keepLines w:val="0"/>
              <w:widowControl/>
              <w:suppressLineNumbers w:val="0"/>
              <w:jc w:val="center"/>
              <w:textAlignment w:val="center"/>
              <w:rPr>
                <w:rFonts w:hint="eastAsia" w:ascii="宋体" w:hAnsi="宋体" w:eastAsia="宋体" w:cs="宋体"/>
              </w:rPr>
            </w:pPr>
            <w:r>
              <w:rPr>
                <w:rFonts w:hint="eastAsia" w:ascii="宋体" w:hAnsi="宋体" w:eastAsia="宋体" w:cs="宋体"/>
                <w:i w:val="0"/>
                <w:color w:val="000000"/>
                <w:kern w:val="0"/>
                <w:sz w:val="20"/>
                <w:szCs w:val="20"/>
                <w:u w:val="none"/>
                <w:lang w:val="en-US" w:eastAsia="zh-CN" w:bidi="ar"/>
              </w:rPr>
              <w:t>32621.2</w:t>
            </w:r>
          </w:p>
        </w:tc>
        <w:tc>
          <w:tcPr>
            <w:tcW w:w="1192" w:type="dxa"/>
            <w:tcBorders>
              <w:top w:val="nil"/>
              <w:left w:val="nil"/>
              <w:bottom w:val="single" w:color="auto" w:sz="4" w:space="0"/>
              <w:right w:val="single" w:color="auto" w:sz="4" w:space="0"/>
            </w:tcBorders>
            <w:noWrap/>
            <w:vAlign w:val="center"/>
          </w:tcPr>
          <w:p>
            <w:pPr>
              <w:keepNext w:val="0"/>
              <w:keepLines w:val="0"/>
              <w:widowControl/>
              <w:suppressLineNumbers w:val="0"/>
              <w:jc w:val="center"/>
              <w:textAlignment w:val="center"/>
              <w:rPr>
                <w:rFonts w:hint="eastAsia" w:ascii="宋体" w:hAnsi="宋体" w:eastAsia="宋体" w:cs="宋体"/>
              </w:rPr>
            </w:pPr>
            <w:r>
              <w:rPr>
                <w:rFonts w:hint="eastAsia" w:ascii="宋体" w:hAnsi="宋体" w:eastAsia="宋体" w:cs="宋体"/>
                <w:i w:val="0"/>
                <w:color w:val="000000"/>
                <w:kern w:val="0"/>
                <w:sz w:val="20"/>
                <w:szCs w:val="20"/>
                <w:u w:val="none"/>
                <w:lang w:val="en-US" w:eastAsia="zh-CN" w:bidi="ar"/>
              </w:rPr>
              <w:t>40021.2</w:t>
            </w:r>
          </w:p>
        </w:tc>
        <w:tc>
          <w:tcPr>
            <w:tcW w:w="1166" w:type="dxa"/>
            <w:tcBorders>
              <w:top w:val="nil"/>
              <w:left w:val="nil"/>
              <w:bottom w:val="single" w:color="auto" w:sz="4" w:space="0"/>
              <w:right w:val="double" w:color="auto" w:sz="4" w:space="0"/>
            </w:tcBorders>
            <w:noWrap/>
            <w:vAlign w:val="center"/>
          </w:tcPr>
          <w:p>
            <w:pPr>
              <w:keepNext w:val="0"/>
              <w:keepLines w:val="0"/>
              <w:widowControl/>
              <w:suppressLineNumbers w:val="0"/>
              <w:jc w:val="center"/>
              <w:textAlignment w:val="center"/>
              <w:rPr>
                <w:rFonts w:hint="eastAsia" w:ascii="宋体" w:hAnsi="宋体" w:eastAsia="宋体" w:cs="宋体"/>
              </w:rPr>
            </w:pPr>
            <w:r>
              <w:rPr>
                <w:rFonts w:hint="eastAsia" w:ascii="宋体" w:hAnsi="宋体" w:eastAsia="宋体" w:cs="宋体"/>
                <w:i w:val="0"/>
                <w:color w:val="000000"/>
                <w:kern w:val="0"/>
                <w:sz w:val="20"/>
                <w:szCs w:val="20"/>
                <w:u w:val="none"/>
                <w:lang w:val="en-US" w:eastAsia="zh-CN" w:bidi="ar"/>
              </w:rPr>
              <w:t>40021.2</w:t>
            </w:r>
          </w:p>
        </w:tc>
      </w:tr>
    </w:tbl>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（四）税金及附加的预测</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对被评估单位预测期营业税金及附加的测算，营业税金及附加项目包括城建税、教育费附加等，根据预测的进项和销项税额，测算企业应缴增值税，然后对预测期营业税金及附加进行测算。</w:t>
      </w:r>
    </w:p>
    <w:p>
      <w:pPr>
        <w:spacing w:line="360" w:lineRule="auto"/>
        <w:ind w:firstLine="2730" w:firstLineChars="1300"/>
        <w:rPr>
          <w:rFonts w:ascii="Arial Narrow" w:hAnsi="Arial Narrow" w:eastAsia="仿宋_GB2312" w:cs="等线"/>
          <w:color w:val="000000"/>
        </w:rPr>
      </w:pPr>
      <w:r>
        <w:rPr>
          <w:rFonts w:hint="eastAsia" w:asciiTheme="minorEastAsia" w:hAnsiTheme="minorEastAsia" w:eastAsiaTheme="minorEastAsia" w:cstheme="minorEastAsia"/>
          <w:kern w:val="2"/>
          <w:sz w:val="21"/>
          <w:szCs w:val="21"/>
          <w:lang w:val="en-US" w:eastAsia="zh-CN" w:bidi="ar-SA"/>
        </w:rPr>
        <w:t>表三</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 xml:space="preserve">税金及附加预测表             </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color w:val="000000"/>
          <w:sz w:val="21"/>
          <w:szCs w:val="21"/>
        </w:rPr>
        <w:t>单位：万元</w:t>
      </w:r>
    </w:p>
    <w:tbl>
      <w:tblPr>
        <w:tblStyle w:val="3"/>
        <w:tblW w:w="8327" w:type="dxa"/>
        <w:jc w:val="center"/>
        <w:tblLayout w:type="fixed"/>
        <w:tblCellMar>
          <w:top w:w="0" w:type="dxa"/>
          <w:left w:w="108" w:type="dxa"/>
          <w:bottom w:w="0" w:type="dxa"/>
          <w:right w:w="108" w:type="dxa"/>
        </w:tblCellMar>
      </w:tblPr>
      <w:tblGrid>
        <w:gridCol w:w="711"/>
        <w:gridCol w:w="1516"/>
        <w:gridCol w:w="831"/>
        <w:gridCol w:w="1053"/>
        <w:gridCol w:w="1053"/>
        <w:gridCol w:w="1053"/>
        <w:gridCol w:w="1053"/>
        <w:gridCol w:w="1057"/>
      </w:tblGrid>
      <w:tr>
        <w:tblPrEx>
          <w:tblCellMar>
            <w:top w:w="0" w:type="dxa"/>
            <w:left w:w="108" w:type="dxa"/>
            <w:bottom w:w="0" w:type="dxa"/>
            <w:right w:w="108" w:type="dxa"/>
          </w:tblCellMar>
        </w:tblPrEx>
        <w:trPr>
          <w:trHeight w:val="293" w:hRule="atLeast"/>
          <w:jc w:val="center"/>
        </w:trPr>
        <w:tc>
          <w:tcPr>
            <w:tcW w:w="711" w:type="dxa"/>
            <w:tcBorders>
              <w:top w:val="double" w:color="auto" w:sz="6" w:space="0"/>
              <w:left w:val="double" w:color="auto" w:sz="6" w:space="0"/>
              <w:bottom w:val="single" w:color="000000" w:sz="8" w:space="0"/>
              <w:right w:val="single" w:color="auto" w:sz="8" w:space="0"/>
            </w:tcBorders>
            <w:vAlign w:val="center"/>
          </w:tcPr>
          <w:p>
            <w:pPr>
              <w:widowControl/>
              <w:jc w:val="center"/>
              <w:rPr>
                <w:rFonts w:ascii="仿宋_GB2312" w:hAnsi="仿宋" w:eastAsia="仿宋_GB2312" w:cs="宋体"/>
                <w:b/>
                <w:bCs/>
                <w:color w:val="000000"/>
                <w:kern w:val="0"/>
                <w:sz w:val="18"/>
                <w:szCs w:val="18"/>
              </w:rPr>
            </w:pPr>
            <w:r>
              <w:rPr>
                <w:rFonts w:hint="eastAsia" w:ascii="仿宋_GB2312" w:hAnsi="仿宋" w:eastAsia="仿宋_GB2312" w:cs="宋体"/>
                <w:b/>
                <w:bCs/>
                <w:color w:val="000000"/>
                <w:kern w:val="0"/>
                <w:sz w:val="18"/>
                <w:szCs w:val="18"/>
              </w:rPr>
              <w:t>序号</w:t>
            </w:r>
          </w:p>
        </w:tc>
        <w:tc>
          <w:tcPr>
            <w:tcW w:w="1516" w:type="dxa"/>
            <w:tcBorders>
              <w:top w:val="double" w:color="auto" w:sz="6" w:space="0"/>
              <w:left w:val="single" w:color="auto" w:sz="8" w:space="0"/>
              <w:bottom w:val="single" w:color="000000" w:sz="8" w:space="0"/>
              <w:right w:val="single" w:color="auto" w:sz="8" w:space="0"/>
            </w:tcBorders>
            <w:vAlign w:val="center"/>
          </w:tcPr>
          <w:p>
            <w:pPr>
              <w:widowControl/>
              <w:jc w:val="center"/>
              <w:rPr>
                <w:rFonts w:ascii="仿宋_GB2312" w:hAnsi="仿宋" w:eastAsia="仿宋_GB2312" w:cs="宋体"/>
                <w:b/>
                <w:bCs/>
                <w:color w:val="000000"/>
                <w:kern w:val="0"/>
                <w:sz w:val="18"/>
                <w:szCs w:val="18"/>
              </w:rPr>
            </w:pPr>
            <w:r>
              <w:rPr>
                <w:rFonts w:hint="eastAsia" w:ascii="仿宋_GB2312" w:hAnsi="仿宋" w:eastAsia="仿宋_GB2312" w:cs="宋体"/>
                <w:b/>
                <w:bCs/>
                <w:color w:val="000000"/>
                <w:kern w:val="0"/>
                <w:sz w:val="18"/>
                <w:szCs w:val="18"/>
              </w:rPr>
              <w:t>项目</w:t>
            </w:r>
          </w:p>
        </w:tc>
        <w:tc>
          <w:tcPr>
            <w:tcW w:w="831" w:type="dxa"/>
            <w:tcBorders>
              <w:top w:val="double" w:color="auto" w:sz="6" w:space="0"/>
              <w:left w:val="single" w:color="auto" w:sz="8" w:space="0"/>
              <w:bottom w:val="single" w:color="000000" w:sz="8" w:space="0"/>
              <w:right w:val="single" w:color="auto" w:sz="8" w:space="0"/>
            </w:tcBorders>
            <w:vAlign w:val="center"/>
          </w:tcPr>
          <w:p>
            <w:pPr>
              <w:widowControl/>
              <w:jc w:val="center"/>
              <w:rPr>
                <w:rFonts w:ascii="仿宋" w:hAnsi="仿宋" w:eastAsia="仿宋" w:cs="宋体"/>
                <w:b/>
                <w:bCs/>
                <w:color w:val="000000"/>
                <w:kern w:val="0"/>
                <w:sz w:val="18"/>
                <w:szCs w:val="18"/>
              </w:rPr>
            </w:pPr>
            <w:r>
              <w:rPr>
                <w:rFonts w:ascii="仿宋" w:hAnsi="仿宋" w:eastAsia="仿宋" w:cs="宋体"/>
                <w:b/>
                <w:bCs/>
                <w:color w:val="000000"/>
                <w:kern w:val="0"/>
                <w:sz w:val="18"/>
                <w:szCs w:val="18"/>
              </w:rPr>
              <w:t>税率</w:t>
            </w:r>
          </w:p>
        </w:tc>
        <w:tc>
          <w:tcPr>
            <w:tcW w:w="1053" w:type="dxa"/>
            <w:tcBorders>
              <w:top w:val="double" w:color="auto" w:sz="6" w:space="0"/>
              <w:left w:val="nil"/>
              <w:bottom w:val="single" w:color="auto" w:sz="8" w:space="0"/>
              <w:right w:val="single" w:color="auto" w:sz="8" w:space="0"/>
            </w:tcBorders>
            <w:noWrap/>
            <w:vAlign w:val="center"/>
          </w:tcPr>
          <w:p>
            <w:pPr>
              <w:widowControl/>
              <w:jc w:val="center"/>
              <w:rPr>
                <w:rFonts w:ascii="Arial Narrow" w:hAnsi="Arial Narrow" w:eastAsia="宋体" w:cs="宋体"/>
                <w:b/>
                <w:bCs/>
                <w:color w:val="000000"/>
                <w:kern w:val="0"/>
                <w:sz w:val="18"/>
                <w:szCs w:val="18"/>
              </w:rPr>
            </w:pPr>
            <w:r>
              <w:rPr>
                <w:rFonts w:ascii="Arial Narrow" w:hAnsi="Arial Narrow" w:eastAsia="宋体" w:cs="宋体"/>
                <w:b/>
                <w:bCs/>
                <w:color w:val="000000"/>
                <w:kern w:val="0"/>
                <w:sz w:val="18"/>
                <w:szCs w:val="18"/>
              </w:rPr>
              <w:t>2019</w:t>
            </w:r>
            <w:r>
              <w:rPr>
                <w:rFonts w:ascii="仿宋" w:hAnsi="仿宋" w:eastAsia="仿宋" w:cs="宋体"/>
                <w:b/>
                <w:bCs/>
                <w:color w:val="000000"/>
                <w:kern w:val="0"/>
                <w:sz w:val="18"/>
                <w:szCs w:val="18"/>
              </w:rPr>
              <w:t>年度</w:t>
            </w:r>
          </w:p>
        </w:tc>
        <w:tc>
          <w:tcPr>
            <w:tcW w:w="1053" w:type="dxa"/>
            <w:tcBorders>
              <w:top w:val="double" w:color="auto" w:sz="6" w:space="0"/>
              <w:left w:val="nil"/>
              <w:bottom w:val="single" w:color="auto" w:sz="8" w:space="0"/>
              <w:right w:val="single" w:color="auto" w:sz="8" w:space="0"/>
            </w:tcBorders>
            <w:noWrap/>
            <w:vAlign w:val="center"/>
          </w:tcPr>
          <w:p>
            <w:pPr>
              <w:widowControl/>
              <w:jc w:val="center"/>
              <w:rPr>
                <w:rFonts w:ascii="Arial Narrow" w:hAnsi="Arial Narrow" w:eastAsia="宋体" w:cs="宋体"/>
                <w:b/>
                <w:bCs/>
                <w:color w:val="000000"/>
                <w:kern w:val="0"/>
                <w:sz w:val="18"/>
                <w:szCs w:val="18"/>
              </w:rPr>
            </w:pPr>
            <w:r>
              <w:rPr>
                <w:rFonts w:ascii="Arial Narrow" w:hAnsi="Arial Narrow" w:eastAsia="宋体" w:cs="宋体"/>
                <w:b/>
                <w:bCs/>
                <w:color w:val="000000"/>
                <w:kern w:val="0"/>
                <w:sz w:val="18"/>
                <w:szCs w:val="18"/>
              </w:rPr>
              <w:t>2020</w:t>
            </w:r>
            <w:r>
              <w:rPr>
                <w:rFonts w:ascii="仿宋" w:hAnsi="仿宋" w:eastAsia="仿宋" w:cs="宋体"/>
                <w:b/>
                <w:bCs/>
                <w:color w:val="000000"/>
                <w:kern w:val="0"/>
                <w:sz w:val="18"/>
                <w:szCs w:val="18"/>
              </w:rPr>
              <w:t>年度</w:t>
            </w:r>
          </w:p>
        </w:tc>
        <w:tc>
          <w:tcPr>
            <w:tcW w:w="1053" w:type="dxa"/>
            <w:tcBorders>
              <w:top w:val="double" w:color="auto" w:sz="6" w:space="0"/>
              <w:left w:val="nil"/>
              <w:bottom w:val="single" w:color="auto" w:sz="8" w:space="0"/>
              <w:right w:val="single" w:color="auto" w:sz="8" w:space="0"/>
            </w:tcBorders>
            <w:noWrap/>
            <w:vAlign w:val="center"/>
          </w:tcPr>
          <w:p>
            <w:pPr>
              <w:widowControl/>
              <w:jc w:val="center"/>
              <w:rPr>
                <w:rFonts w:ascii="Arial Narrow" w:hAnsi="Arial Narrow" w:eastAsia="宋体" w:cs="宋体"/>
                <w:b/>
                <w:bCs/>
                <w:color w:val="000000"/>
                <w:kern w:val="0"/>
                <w:sz w:val="18"/>
                <w:szCs w:val="18"/>
              </w:rPr>
            </w:pPr>
            <w:r>
              <w:rPr>
                <w:rFonts w:ascii="Arial Narrow" w:hAnsi="Arial Narrow" w:eastAsia="宋体" w:cs="宋体"/>
                <w:b/>
                <w:bCs/>
                <w:color w:val="000000"/>
                <w:kern w:val="0"/>
                <w:sz w:val="18"/>
                <w:szCs w:val="18"/>
              </w:rPr>
              <w:t>2021</w:t>
            </w:r>
            <w:r>
              <w:rPr>
                <w:rFonts w:ascii="仿宋" w:hAnsi="仿宋" w:eastAsia="仿宋" w:cs="宋体"/>
                <w:b/>
                <w:bCs/>
                <w:color w:val="000000"/>
                <w:kern w:val="0"/>
                <w:sz w:val="18"/>
                <w:szCs w:val="18"/>
              </w:rPr>
              <w:t>年度</w:t>
            </w:r>
          </w:p>
        </w:tc>
        <w:tc>
          <w:tcPr>
            <w:tcW w:w="1053" w:type="dxa"/>
            <w:tcBorders>
              <w:top w:val="double" w:color="auto" w:sz="6" w:space="0"/>
              <w:left w:val="nil"/>
              <w:bottom w:val="single" w:color="auto" w:sz="8" w:space="0"/>
              <w:right w:val="single" w:color="auto" w:sz="8" w:space="0"/>
            </w:tcBorders>
            <w:noWrap/>
            <w:vAlign w:val="center"/>
          </w:tcPr>
          <w:p>
            <w:pPr>
              <w:widowControl/>
              <w:jc w:val="center"/>
              <w:rPr>
                <w:rFonts w:ascii="Arial Narrow" w:hAnsi="Arial Narrow" w:eastAsia="宋体" w:cs="宋体"/>
                <w:b/>
                <w:bCs/>
                <w:color w:val="000000"/>
                <w:kern w:val="0"/>
                <w:sz w:val="18"/>
                <w:szCs w:val="18"/>
              </w:rPr>
            </w:pPr>
            <w:r>
              <w:rPr>
                <w:rFonts w:ascii="Arial Narrow" w:hAnsi="Arial Narrow" w:eastAsia="宋体" w:cs="宋体"/>
                <w:b/>
                <w:bCs/>
                <w:color w:val="000000"/>
                <w:kern w:val="0"/>
                <w:sz w:val="18"/>
                <w:szCs w:val="18"/>
              </w:rPr>
              <w:t>2022</w:t>
            </w:r>
            <w:r>
              <w:rPr>
                <w:rFonts w:ascii="仿宋" w:hAnsi="仿宋" w:eastAsia="仿宋" w:cs="宋体"/>
                <w:b/>
                <w:bCs/>
                <w:color w:val="000000"/>
                <w:kern w:val="0"/>
                <w:sz w:val="18"/>
                <w:szCs w:val="18"/>
              </w:rPr>
              <w:t>年度</w:t>
            </w:r>
          </w:p>
        </w:tc>
        <w:tc>
          <w:tcPr>
            <w:tcW w:w="1057" w:type="dxa"/>
            <w:tcBorders>
              <w:top w:val="double" w:color="auto" w:sz="6" w:space="0"/>
              <w:left w:val="nil"/>
              <w:bottom w:val="single" w:color="auto" w:sz="8" w:space="0"/>
              <w:right w:val="double" w:color="auto" w:sz="6" w:space="0"/>
            </w:tcBorders>
            <w:noWrap/>
            <w:vAlign w:val="center"/>
          </w:tcPr>
          <w:p>
            <w:pPr>
              <w:widowControl/>
              <w:jc w:val="center"/>
              <w:rPr>
                <w:rFonts w:ascii="Arial Narrow" w:hAnsi="Arial Narrow" w:eastAsia="宋体" w:cs="宋体"/>
                <w:b/>
                <w:bCs/>
                <w:color w:val="000000"/>
                <w:kern w:val="0"/>
                <w:sz w:val="18"/>
                <w:szCs w:val="18"/>
              </w:rPr>
            </w:pPr>
            <w:r>
              <w:rPr>
                <w:rFonts w:ascii="Arial Narrow" w:hAnsi="Arial Narrow" w:eastAsia="宋体" w:cs="宋体"/>
                <w:b/>
                <w:bCs/>
                <w:color w:val="000000"/>
                <w:kern w:val="0"/>
                <w:sz w:val="18"/>
                <w:szCs w:val="18"/>
              </w:rPr>
              <w:t>2023</w:t>
            </w:r>
            <w:r>
              <w:rPr>
                <w:rFonts w:ascii="仿宋" w:hAnsi="仿宋" w:eastAsia="仿宋" w:cs="宋体"/>
                <w:b/>
                <w:bCs/>
                <w:color w:val="000000"/>
                <w:kern w:val="0"/>
                <w:sz w:val="18"/>
                <w:szCs w:val="18"/>
              </w:rPr>
              <w:t>年度</w:t>
            </w:r>
          </w:p>
        </w:tc>
      </w:tr>
      <w:tr>
        <w:tblPrEx>
          <w:tblCellMar>
            <w:top w:w="0" w:type="dxa"/>
            <w:left w:w="108" w:type="dxa"/>
            <w:bottom w:w="0" w:type="dxa"/>
            <w:right w:w="108" w:type="dxa"/>
          </w:tblCellMar>
        </w:tblPrEx>
        <w:trPr>
          <w:trHeight w:val="311" w:hRule="atLeast"/>
          <w:jc w:val="center"/>
        </w:trPr>
        <w:tc>
          <w:tcPr>
            <w:tcW w:w="711" w:type="dxa"/>
            <w:tcBorders>
              <w:top w:val="nil"/>
              <w:left w:val="double" w:color="auto" w:sz="6" w:space="0"/>
              <w:bottom w:val="single" w:color="auto" w:sz="8" w:space="0"/>
              <w:right w:val="single" w:color="auto" w:sz="8" w:space="0"/>
            </w:tcBorders>
            <w:noWrap/>
            <w:vAlign w:val="center"/>
          </w:tcPr>
          <w:p>
            <w:pPr>
              <w:widowControl/>
              <w:jc w:val="cente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w:t>
            </w:r>
          </w:p>
        </w:tc>
        <w:tc>
          <w:tcPr>
            <w:tcW w:w="1516" w:type="dxa"/>
            <w:tcBorders>
              <w:top w:val="nil"/>
              <w:left w:val="nil"/>
              <w:bottom w:val="single" w:color="auto" w:sz="8" w:space="0"/>
              <w:right w:val="single" w:color="auto" w:sz="8" w:space="0"/>
            </w:tcBorders>
            <w:vAlign w:val="center"/>
          </w:tcPr>
          <w:p>
            <w:pPr>
              <w:widowControl/>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城市维护建设税</w:t>
            </w:r>
          </w:p>
        </w:tc>
        <w:tc>
          <w:tcPr>
            <w:tcW w:w="831" w:type="dxa"/>
            <w:tcBorders>
              <w:top w:val="nil"/>
              <w:left w:val="nil"/>
              <w:bottom w:val="single" w:color="auto" w:sz="8" w:space="0"/>
              <w:right w:val="single" w:color="auto" w:sz="8" w:space="0"/>
            </w:tcBorders>
            <w:noWrap/>
            <w:vAlign w:val="center"/>
          </w:tcPr>
          <w:p>
            <w:pPr>
              <w:widowControl/>
              <w:jc w:val="cente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1053" w:type="dxa"/>
            <w:tcBorders>
              <w:top w:val="nil"/>
              <w:left w:val="nil"/>
              <w:bottom w:val="single" w:color="auto" w:sz="8"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131.71</w:t>
            </w:r>
          </w:p>
        </w:tc>
        <w:tc>
          <w:tcPr>
            <w:tcW w:w="1053" w:type="dxa"/>
            <w:tcBorders>
              <w:top w:val="nil"/>
              <w:left w:val="nil"/>
              <w:bottom w:val="single" w:color="auto" w:sz="8"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203.40</w:t>
            </w:r>
          </w:p>
        </w:tc>
        <w:tc>
          <w:tcPr>
            <w:tcW w:w="1053" w:type="dxa"/>
            <w:tcBorders>
              <w:top w:val="nil"/>
              <w:left w:val="nil"/>
              <w:bottom w:val="single" w:color="auto" w:sz="8"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238.65</w:t>
            </w:r>
          </w:p>
        </w:tc>
        <w:tc>
          <w:tcPr>
            <w:tcW w:w="1053" w:type="dxa"/>
            <w:tcBorders>
              <w:top w:val="nil"/>
              <w:left w:val="nil"/>
              <w:bottom w:val="single" w:color="auto" w:sz="8"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278.74</w:t>
            </w:r>
          </w:p>
        </w:tc>
        <w:tc>
          <w:tcPr>
            <w:tcW w:w="1057" w:type="dxa"/>
            <w:tcBorders>
              <w:top w:val="nil"/>
              <w:left w:val="nil"/>
              <w:bottom w:val="single" w:color="auto" w:sz="8" w:space="0"/>
              <w:right w:val="double" w:color="auto" w:sz="6"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278.74</w:t>
            </w:r>
          </w:p>
        </w:tc>
      </w:tr>
      <w:tr>
        <w:tblPrEx>
          <w:tblCellMar>
            <w:top w:w="0" w:type="dxa"/>
            <w:left w:w="108" w:type="dxa"/>
            <w:bottom w:w="0" w:type="dxa"/>
            <w:right w:w="108" w:type="dxa"/>
          </w:tblCellMar>
        </w:tblPrEx>
        <w:trPr>
          <w:trHeight w:val="556" w:hRule="atLeast"/>
          <w:jc w:val="center"/>
        </w:trPr>
        <w:tc>
          <w:tcPr>
            <w:tcW w:w="711" w:type="dxa"/>
            <w:tcBorders>
              <w:top w:val="nil"/>
              <w:left w:val="double" w:color="auto" w:sz="6" w:space="0"/>
              <w:bottom w:val="single" w:color="auto" w:sz="8" w:space="0"/>
              <w:right w:val="single" w:color="auto" w:sz="8" w:space="0"/>
            </w:tcBorders>
            <w:noWrap/>
            <w:vAlign w:val="center"/>
          </w:tcPr>
          <w:p>
            <w:pPr>
              <w:widowControl/>
              <w:jc w:val="cente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w:t>
            </w:r>
          </w:p>
        </w:tc>
        <w:tc>
          <w:tcPr>
            <w:tcW w:w="1516" w:type="dxa"/>
            <w:tcBorders>
              <w:top w:val="nil"/>
              <w:left w:val="nil"/>
              <w:bottom w:val="single" w:color="auto" w:sz="8" w:space="0"/>
              <w:right w:val="single" w:color="auto" w:sz="8" w:space="0"/>
            </w:tcBorders>
            <w:vAlign w:val="center"/>
          </w:tcPr>
          <w:p>
            <w:pPr>
              <w:widowControl/>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教育费及地方教育费附加</w:t>
            </w:r>
          </w:p>
        </w:tc>
        <w:tc>
          <w:tcPr>
            <w:tcW w:w="831" w:type="dxa"/>
            <w:tcBorders>
              <w:top w:val="nil"/>
              <w:left w:val="nil"/>
              <w:bottom w:val="single" w:color="auto" w:sz="8" w:space="0"/>
              <w:right w:val="single" w:color="auto" w:sz="8" w:space="0"/>
            </w:tcBorders>
            <w:noWrap/>
            <w:vAlign w:val="center"/>
          </w:tcPr>
          <w:p>
            <w:pPr>
              <w:widowControl/>
              <w:jc w:val="cente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1053" w:type="dxa"/>
            <w:tcBorders>
              <w:top w:val="nil"/>
              <w:left w:val="nil"/>
              <w:bottom w:val="single" w:color="auto" w:sz="8"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94.08</w:t>
            </w:r>
          </w:p>
        </w:tc>
        <w:tc>
          <w:tcPr>
            <w:tcW w:w="1053" w:type="dxa"/>
            <w:tcBorders>
              <w:top w:val="nil"/>
              <w:left w:val="nil"/>
              <w:bottom w:val="single" w:color="auto" w:sz="8"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145.28</w:t>
            </w:r>
          </w:p>
        </w:tc>
        <w:tc>
          <w:tcPr>
            <w:tcW w:w="1053" w:type="dxa"/>
            <w:tcBorders>
              <w:top w:val="nil"/>
              <w:left w:val="nil"/>
              <w:bottom w:val="single" w:color="auto" w:sz="8"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170.46</w:t>
            </w:r>
          </w:p>
        </w:tc>
        <w:tc>
          <w:tcPr>
            <w:tcW w:w="1053" w:type="dxa"/>
            <w:tcBorders>
              <w:top w:val="nil"/>
              <w:left w:val="nil"/>
              <w:bottom w:val="single" w:color="auto" w:sz="8"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199.10</w:t>
            </w:r>
          </w:p>
        </w:tc>
        <w:tc>
          <w:tcPr>
            <w:tcW w:w="1057" w:type="dxa"/>
            <w:tcBorders>
              <w:top w:val="nil"/>
              <w:left w:val="nil"/>
              <w:bottom w:val="single" w:color="auto" w:sz="8" w:space="0"/>
              <w:right w:val="double" w:color="auto" w:sz="6"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199.10</w:t>
            </w:r>
          </w:p>
        </w:tc>
      </w:tr>
      <w:tr>
        <w:tblPrEx>
          <w:tblCellMar>
            <w:top w:w="0" w:type="dxa"/>
            <w:left w:w="108" w:type="dxa"/>
            <w:bottom w:w="0" w:type="dxa"/>
            <w:right w:w="108" w:type="dxa"/>
          </w:tblCellMar>
        </w:tblPrEx>
        <w:trPr>
          <w:trHeight w:val="293" w:hRule="atLeast"/>
          <w:jc w:val="center"/>
        </w:trPr>
        <w:tc>
          <w:tcPr>
            <w:tcW w:w="711" w:type="dxa"/>
            <w:tcBorders>
              <w:top w:val="nil"/>
              <w:left w:val="double" w:color="auto" w:sz="6" w:space="0"/>
              <w:bottom w:val="single" w:color="auto" w:sz="8" w:space="0"/>
              <w:right w:val="single" w:color="auto" w:sz="8" w:space="0"/>
            </w:tcBorders>
            <w:noWrap/>
            <w:vAlign w:val="center"/>
          </w:tcPr>
          <w:p>
            <w:pPr>
              <w:widowControl/>
              <w:jc w:val="cente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3</w:t>
            </w:r>
          </w:p>
        </w:tc>
        <w:tc>
          <w:tcPr>
            <w:tcW w:w="1516" w:type="dxa"/>
            <w:tcBorders>
              <w:top w:val="nil"/>
              <w:left w:val="nil"/>
              <w:bottom w:val="single" w:color="auto" w:sz="8" w:space="0"/>
              <w:right w:val="single" w:color="auto" w:sz="8" w:space="0"/>
            </w:tcBorders>
            <w:vAlign w:val="center"/>
          </w:tcPr>
          <w:p>
            <w:pPr>
              <w:widowControl/>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印花税</w:t>
            </w:r>
          </w:p>
        </w:tc>
        <w:tc>
          <w:tcPr>
            <w:tcW w:w="831" w:type="dxa"/>
            <w:tcBorders>
              <w:top w:val="nil"/>
              <w:left w:val="nil"/>
              <w:bottom w:val="single" w:color="auto" w:sz="8" w:space="0"/>
              <w:right w:val="single" w:color="auto" w:sz="8" w:space="0"/>
            </w:tcBorders>
            <w:noWrap/>
            <w:vAlign w:val="center"/>
          </w:tcPr>
          <w:p>
            <w:pPr>
              <w:widowControl/>
              <w:jc w:val="cente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0.05%</w:t>
            </w:r>
          </w:p>
        </w:tc>
        <w:tc>
          <w:tcPr>
            <w:tcW w:w="1053" w:type="dxa"/>
            <w:tcBorders>
              <w:top w:val="nil"/>
              <w:left w:val="nil"/>
              <w:bottom w:val="single" w:color="auto" w:sz="8"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15.68</w:t>
            </w:r>
          </w:p>
        </w:tc>
        <w:tc>
          <w:tcPr>
            <w:tcW w:w="1053" w:type="dxa"/>
            <w:tcBorders>
              <w:top w:val="nil"/>
              <w:left w:val="nil"/>
              <w:bottom w:val="single" w:color="auto" w:sz="8"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24.21</w:t>
            </w:r>
          </w:p>
        </w:tc>
        <w:tc>
          <w:tcPr>
            <w:tcW w:w="1053" w:type="dxa"/>
            <w:tcBorders>
              <w:top w:val="nil"/>
              <w:left w:val="nil"/>
              <w:bottom w:val="single" w:color="auto" w:sz="8"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28.41</w:t>
            </w:r>
          </w:p>
        </w:tc>
        <w:tc>
          <w:tcPr>
            <w:tcW w:w="1053" w:type="dxa"/>
            <w:tcBorders>
              <w:top w:val="nil"/>
              <w:left w:val="nil"/>
              <w:bottom w:val="single" w:color="auto" w:sz="8"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33.18</w:t>
            </w:r>
          </w:p>
        </w:tc>
        <w:tc>
          <w:tcPr>
            <w:tcW w:w="1057" w:type="dxa"/>
            <w:tcBorders>
              <w:top w:val="nil"/>
              <w:left w:val="nil"/>
              <w:bottom w:val="single" w:color="auto" w:sz="8" w:space="0"/>
              <w:right w:val="double" w:color="auto" w:sz="6"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33.18</w:t>
            </w:r>
          </w:p>
        </w:tc>
      </w:tr>
      <w:tr>
        <w:tblPrEx>
          <w:tblCellMar>
            <w:top w:w="0" w:type="dxa"/>
            <w:left w:w="108" w:type="dxa"/>
            <w:bottom w:w="0" w:type="dxa"/>
            <w:right w:w="108" w:type="dxa"/>
          </w:tblCellMar>
        </w:tblPrEx>
        <w:trPr>
          <w:trHeight w:val="293" w:hRule="atLeast"/>
          <w:jc w:val="center"/>
        </w:trPr>
        <w:tc>
          <w:tcPr>
            <w:tcW w:w="2227" w:type="dxa"/>
            <w:gridSpan w:val="2"/>
            <w:tcBorders>
              <w:top w:val="single" w:color="auto" w:sz="8" w:space="0"/>
              <w:left w:val="double" w:color="auto" w:sz="6" w:space="0"/>
              <w:bottom w:val="double" w:color="auto" w:sz="6" w:space="0"/>
              <w:right w:val="single" w:color="000000" w:sz="8" w:space="0"/>
            </w:tcBorders>
            <w:noWrap/>
            <w:vAlign w:val="center"/>
          </w:tcPr>
          <w:p>
            <w:pPr>
              <w:widowControl/>
              <w:jc w:val="center"/>
              <w:rPr>
                <w:rFonts w:hint="eastAsia" w:ascii="宋体" w:hAnsi="宋体" w:eastAsia="宋体" w:cs="宋体"/>
                <w:b/>
                <w:bCs/>
                <w:color w:val="000000"/>
                <w:kern w:val="0"/>
                <w:sz w:val="18"/>
                <w:szCs w:val="18"/>
              </w:rPr>
            </w:pPr>
            <w:r>
              <w:rPr>
                <w:rFonts w:hint="eastAsia" w:ascii="宋体" w:hAnsi="宋体" w:eastAsia="宋体" w:cs="宋体"/>
                <w:b/>
                <w:bCs/>
                <w:color w:val="000000"/>
                <w:kern w:val="0"/>
                <w:sz w:val="18"/>
                <w:szCs w:val="18"/>
              </w:rPr>
              <w:t>合  计</w:t>
            </w:r>
          </w:p>
        </w:tc>
        <w:tc>
          <w:tcPr>
            <w:tcW w:w="831" w:type="dxa"/>
            <w:tcBorders>
              <w:top w:val="nil"/>
              <w:left w:val="nil"/>
              <w:bottom w:val="double" w:color="auto" w:sz="6" w:space="0"/>
              <w:right w:val="single" w:color="auto" w:sz="8" w:space="0"/>
            </w:tcBorders>
            <w:noWrap/>
            <w:vAlign w:val="center"/>
          </w:tcPr>
          <w:p>
            <w:pPr>
              <w:widowControl/>
              <w:jc w:val="center"/>
              <w:rPr>
                <w:rFonts w:hint="eastAsia" w:ascii="宋体" w:hAnsi="宋体" w:eastAsia="宋体" w:cs="宋体"/>
                <w:color w:val="000000"/>
                <w:kern w:val="0"/>
                <w:sz w:val="18"/>
                <w:szCs w:val="18"/>
              </w:rPr>
            </w:pPr>
          </w:p>
        </w:tc>
        <w:tc>
          <w:tcPr>
            <w:tcW w:w="1053" w:type="dxa"/>
            <w:tcBorders>
              <w:top w:val="nil"/>
              <w:left w:val="nil"/>
              <w:bottom w:val="double" w:color="auto" w:sz="6"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241.47</w:t>
            </w:r>
          </w:p>
        </w:tc>
        <w:tc>
          <w:tcPr>
            <w:tcW w:w="1053" w:type="dxa"/>
            <w:tcBorders>
              <w:top w:val="nil"/>
              <w:left w:val="nil"/>
              <w:bottom w:val="double" w:color="auto" w:sz="6"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372.89</w:t>
            </w:r>
          </w:p>
        </w:tc>
        <w:tc>
          <w:tcPr>
            <w:tcW w:w="1053" w:type="dxa"/>
            <w:tcBorders>
              <w:top w:val="nil"/>
              <w:left w:val="nil"/>
              <w:bottom w:val="double" w:color="auto" w:sz="6"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437.53</w:t>
            </w:r>
          </w:p>
        </w:tc>
        <w:tc>
          <w:tcPr>
            <w:tcW w:w="1053" w:type="dxa"/>
            <w:tcBorders>
              <w:top w:val="nil"/>
              <w:left w:val="nil"/>
              <w:bottom w:val="double" w:color="auto" w:sz="6" w:space="0"/>
              <w:right w:val="single" w:color="auto" w:sz="8"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511.03</w:t>
            </w:r>
          </w:p>
        </w:tc>
        <w:tc>
          <w:tcPr>
            <w:tcW w:w="1057" w:type="dxa"/>
            <w:tcBorders>
              <w:top w:val="single" w:color="auto" w:sz="8" w:space="0"/>
              <w:left w:val="nil"/>
              <w:bottom w:val="double" w:color="auto" w:sz="6" w:space="0"/>
              <w:right w:val="double" w:color="auto" w:sz="6" w:space="0"/>
            </w:tcBorders>
            <w:noWrap/>
            <w:vAlign w:val="center"/>
          </w:tcPr>
          <w:p>
            <w:pPr>
              <w:jc w:val="righ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511.03</w:t>
            </w:r>
          </w:p>
        </w:tc>
      </w:tr>
    </w:tbl>
    <w:p>
      <w:pPr>
        <w:spacing w:line="360" w:lineRule="auto"/>
        <w:ind w:firstLine="480" w:firstLineChars="200"/>
        <w:rPr>
          <w:rFonts w:ascii="Arial Narrow" w:hAnsi="Arial Narrow" w:eastAsia="仿宋_GB2312" w:cs="等线"/>
          <w:color w:val="000000"/>
          <w:sz w:val="24"/>
          <w:szCs w:val="24"/>
        </w:rPr>
      </w:pP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（五）销售费用的预测</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被评估单位营业费用主要由销售人员工资、劳动保险费、住房公积金、差旅费、业务招待费等与公司经营相关的费用组成。根据公司历史年度的营业费用明细情况分析预测：（1）工资主要按照公司所在地区公司在岗职工平均工资的增长率预测；（2）其他费用按照近年度实际水平或所占主营业务收入平均比重得到。经采用上述方法预测，预测期销售费用如下：</w:t>
      </w:r>
    </w:p>
    <w:p>
      <w:pPr>
        <w:spacing w:line="360" w:lineRule="auto"/>
        <w:jc w:val="center"/>
        <w:rPr>
          <w:rFonts w:hint="eastAsia" w:ascii="宋体" w:hAnsi="宋体" w:eastAsia="宋体" w:cs="宋体"/>
          <w:color w:val="000000"/>
          <w:sz w:val="21"/>
          <w:szCs w:val="21"/>
        </w:rPr>
      </w:pPr>
      <w:r>
        <w:rPr>
          <w:rFonts w:hint="eastAsia" w:ascii="Arial Narrow" w:hAnsi="Arial Narrow" w:eastAsia="仿宋_GB2312" w:cs="等线"/>
          <w:color w:val="000000"/>
          <w:lang w:val="en-US" w:eastAsia="zh-CN"/>
        </w:rPr>
        <w:t xml:space="preserve">                </w:t>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lang w:eastAsia="zh-CN"/>
        </w:rPr>
        <w:t>表四</w:t>
      </w:r>
      <w:r>
        <w:rPr>
          <w:rFonts w:hint="eastAsia" w:ascii="宋体" w:hAnsi="宋体" w:eastAsia="宋体" w:cs="宋体"/>
          <w:color w:val="000000"/>
          <w:sz w:val="21"/>
          <w:szCs w:val="21"/>
          <w:lang w:val="en-US" w:eastAsia="zh-CN"/>
        </w:rPr>
        <w:t xml:space="preserve"> 销售费用预测表                          </w:t>
      </w:r>
      <w:r>
        <w:rPr>
          <w:rFonts w:hint="eastAsia" w:ascii="宋体" w:hAnsi="宋体" w:eastAsia="宋体" w:cs="宋体"/>
          <w:color w:val="000000"/>
          <w:sz w:val="21"/>
          <w:szCs w:val="21"/>
        </w:rPr>
        <w:t>单位：万元</w:t>
      </w:r>
    </w:p>
    <w:tbl>
      <w:tblPr>
        <w:tblStyle w:val="3"/>
        <w:tblpPr w:leftFromText="180" w:rightFromText="180" w:vertAnchor="text" w:horzAnchor="page" w:tblpX="2117" w:tblpY="75"/>
        <w:tblOverlap w:val="never"/>
        <w:tblW w:w="4998" w:type="pct"/>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7"/>
        <w:gridCol w:w="1962"/>
        <w:gridCol w:w="1568"/>
        <w:gridCol w:w="1764"/>
        <w:gridCol w:w="1768"/>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blHeader/>
        </w:trPr>
        <w:tc>
          <w:tcPr>
            <w:tcW w:w="855" w:type="pct"/>
            <w:shd w:val="clear" w:color="000000" w:fill="FFFFFF"/>
            <w:noWrap/>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2019年度</w:t>
            </w:r>
          </w:p>
        </w:tc>
        <w:tc>
          <w:tcPr>
            <w:tcW w:w="1151" w:type="pct"/>
            <w:shd w:val="clear" w:color="000000" w:fill="FFFFFF"/>
            <w:noWrap/>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2020年度</w:t>
            </w:r>
          </w:p>
        </w:tc>
        <w:tc>
          <w:tcPr>
            <w:tcW w:w="920" w:type="pct"/>
            <w:shd w:val="clear" w:color="000000" w:fill="FFFFFF"/>
            <w:noWrap/>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2021年度</w:t>
            </w:r>
          </w:p>
        </w:tc>
        <w:tc>
          <w:tcPr>
            <w:tcW w:w="1035" w:type="pct"/>
            <w:shd w:val="clear" w:color="000000" w:fill="FFFFFF"/>
            <w:noWrap/>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2022年度</w:t>
            </w:r>
          </w:p>
        </w:tc>
        <w:tc>
          <w:tcPr>
            <w:tcW w:w="1037" w:type="pct"/>
            <w:shd w:val="clear" w:color="000000" w:fill="FFFFFF"/>
            <w:noWrap/>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2023年度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855" w:type="pct"/>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 xml:space="preserve"> 440.21 </w:t>
            </w:r>
          </w:p>
        </w:tc>
        <w:tc>
          <w:tcPr>
            <w:tcW w:w="1151" w:type="pct"/>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 xml:space="preserve"> 442.31 </w:t>
            </w:r>
          </w:p>
        </w:tc>
        <w:tc>
          <w:tcPr>
            <w:tcW w:w="920" w:type="pct"/>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 xml:space="preserve"> 518.23 </w:t>
            </w:r>
          </w:p>
        </w:tc>
        <w:tc>
          <w:tcPr>
            <w:tcW w:w="1035" w:type="pct"/>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 xml:space="preserve"> 582.99 </w:t>
            </w:r>
          </w:p>
        </w:tc>
        <w:tc>
          <w:tcPr>
            <w:tcW w:w="1037" w:type="pct"/>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 xml:space="preserve"> 653.62 </w:t>
            </w:r>
          </w:p>
        </w:tc>
      </w:tr>
    </w:tbl>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（六）管理费用的预测</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公司营业费用主要由折旧、工资、差旅费等与公司管理工作相关的费用组成。根据公司历史年度的管理费用明细情况分析预测如下：(1)职工工资等按照公司所在地区公司在岗职工平均工资的增长率预测、福利费、职工教育经费等根据历史年度占工资平均比重预测；(2)折旧费根据现有固定资产的情况和更新固定资产情况及会计折旧年限确定；(3)其他费用根据具体情况具体分析按照前三年度水平或所占主营业务收入平均比重得到。</w:t>
      </w:r>
    </w:p>
    <w:p>
      <w:pPr>
        <w:spacing w:line="360" w:lineRule="auto"/>
        <w:ind w:firstLine="480" w:firstLineChars="200"/>
        <w:rPr>
          <w:rFonts w:hint="eastAsia" w:ascii="Arial Narrow" w:hAnsi="Arial Narrow" w:eastAsia="宋体" w:cstheme="minorBidi"/>
          <w:kern w:val="2"/>
          <w:sz w:val="24"/>
          <w:szCs w:val="24"/>
          <w:lang w:val="en-US" w:eastAsia="zh-CN" w:bidi="ar-SA"/>
        </w:rPr>
      </w:pPr>
      <w:r>
        <w:rPr>
          <w:rFonts w:hint="eastAsia" w:ascii="Arial Narrow" w:hAnsi="Arial Narrow" w:eastAsia="宋体" w:cstheme="minorBidi"/>
          <w:kern w:val="2"/>
          <w:sz w:val="24"/>
          <w:szCs w:val="24"/>
          <w:lang w:val="en-US" w:eastAsia="zh-CN" w:bidi="ar-SA"/>
        </w:rPr>
        <w:t>通过以上测</w:t>
      </w:r>
      <w:r>
        <w:rPr>
          <w:rFonts w:hint="eastAsia" w:ascii="Arial Narrow" w:hAnsi="Arial Narrow" w:eastAsia="宋体" w:cstheme="minorBidi"/>
          <w:b/>
          <w:bCs/>
          <w:kern w:val="2"/>
          <w:sz w:val="24"/>
          <w:szCs w:val="24"/>
          <w:lang w:val="en-US" w:eastAsia="zh-CN" w:bidi="ar-SA"/>
        </w:rPr>
        <w:t>算，对收益</w:t>
      </w:r>
      <w:r>
        <w:rPr>
          <w:rFonts w:hint="eastAsia" w:ascii="Arial Narrow" w:hAnsi="Arial Narrow" w:eastAsia="宋体" w:cstheme="minorBidi"/>
          <w:kern w:val="2"/>
          <w:sz w:val="24"/>
          <w:szCs w:val="24"/>
          <w:lang w:val="en-US" w:eastAsia="zh-CN" w:bidi="ar-SA"/>
        </w:rPr>
        <w:t>期管理费用项目进行估算，具体见下表：</w:t>
      </w:r>
    </w:p>
    <w:p>
      <w:pPr>
        <w:spacing w:line="360" w:lineRule="auto"/>
        <w:ind w:firstLine="2310" w:firstLineChars="1100"/>
        <w:rPr>
          <w:rFonts w:hint="default" w:ascii="Arial Narrow" w:hAnsi="Arial Narrow" w:eastAsia="宋体" w:cstheme="minorBidi"/>
          <w:kern w:val="2"/>
          <w:sz w:val="21"/>
          <w:szCs w:val="21"/>
          <w:lang w:val="en-US" w:eastAsia="zh-CN" w:bidi="ar-SA"/>
        </w:rPr>
      </w:pPr>
      <w:r>
        <w:rPr>
          <w:rFonts w:hint="eastAsia" w:ascii="Arial Narrow" w:hAnsi="Arial Narrow" w:eastAsia="宋体" w:cstheme="minorBidi"/>
          <w:kern w:val="2"/>
          <w:sz w:val="21"/>
          <w:szCs w:val="21"/>
          <w:lang w:val="en-US" w:eastAsia="zh-CN" w:bidi="ar-SA"/>
        </w:rPr>
        <w:t xml:space="preserve">表五 管理费用预测表                            </w:t>
      </w:r>
      <w:r>
        <w:rPr>
          <w:rFonts w:hint="eastAsia" w:ascii="宋体" w:hAnsi="宋体" w:eastAsia="宋体" w:cs="宋体"/>
          <w:color w:val="000000"/>
          <w:sz w:val="21"/>
          <w:szCs w:val="21"/>
        </w:rPr>
        <w:t>单位：万元</w:t>
      </w:r>
    </w:p>
    <w:tbl>
      <w:tblPr>
        <w:tblStyle w:val="3"/>
        <w:tblW w:w="4999" w:type="pct"/>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8"/>
        <w:gridCol w:w="1643"/>
        <w:gridCol w:w="1643"/>
        <w:gridCol w:w="1643"/>
        <w:gridCol w:w="1643"/>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blHeader/>
          <w:jc w:val="center"/>
        </w:trPr>
        <w:tc>
          <w:tcPr>
            <w:tcW w:w="1143" w:type="pct"/>
            <w:shd w:val="clear" w:color="000000" w:fill="FFFFFF"/>
            <w:noWrap/>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2019年度</w:t>
            </w:r>
          </w:p>
        </w:tc>
        <w:tc>
          <w:tcPr>
            <w:tcW w:w="964" w:type="pct"/>
            <w:shd w:val="clear" w:color="000000" w:fill="FFFFFF"/>
            <w:noWrap/>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2020年度</w:t>
            </w:r>
          </w:p>
        </w:tc>
        <w:tc>
          <w:tcPr>
            <w:tcW w:w="964" w:type="pct"/>
            <w:shd w:val="clear" w:color="000000" w:fill="FFFFFF"/>
            <w:noWrap/>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2021年度</w:t>
            </w:r>
          </w:p>
        </w:tc>
        <w:tc>
          <w:tcPr>
            <w:tcW w:w="964" w:type="pct"/>
            <w:shd w:val="clear" w:color="000000" w:fill="FFFFFF"/>
            <w:noWrap/>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2022年度</w:t>
            </w:r>
          </w:p>
        </w:tc>
        <w:tc>
          <w:tcPr>
            <w:tcW w:w="964" w:type="pct"/>
            <w:shd w:val="clear" w:color="000000" w:fill="FFFFFF"/>
            <w:noWrap/>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2023年度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143" w:type="pct"/>
            <w:shd w:val="clear" w:color="000000" w:fill="FFFFFF"/>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 xml:space="preserve"> 1,418.12 </w:t>
            </w:r>
          </w:p>
        </w:tc>
        <w:tc>
          <w:tcPr>
            <w:tcW w:w="964" w:type="pct"/>
            <w:shd w:val="clear" w:color="000000" w:fill="FFFFFF"/>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 xml:space="preserve"> 1,540.09 </w:t>
            </w:r>
          </w:p>
        </w:tc>
        <w:tc>
          <w:tcPr>
            <w:tcW w:w="964" w:type="pct"/>
            <w:shd w:val="clear" w:color="000000" w:fill="FFFFFF"/>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 xml:space="preserve"> 1,607.17 </w:t>
            </w:r>
          </w:p>
        </w:tc>
        <w:tc>
          <w:tcPr>
            <w:tcW w:w="964" w:type="pct"/>
            <w:shd w:val="clear" w:color="000000" w:fill="FFFFFF"/>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 xml:space="preserve"> 1,693.74 </w:t>
            </w:r>
          </w:p>
        </w:tc>
        <w:tc>
          <w:tcPr>
            <w:tcW w:w="964" w:type="pct"/>
            <w:shd w:val="clear" w:color="000000" w:fill="FFFFFF"/>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 xml:space="preserve"> 1,752.19 </w:t>
            </w:r>
          </w:p>
        </w:tc>
      </w:tr>
    </w:tbl>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（七）财务费用的预测</w:t>
      </w:r>
    </w:p>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被评估单位的财务费用主要为利息收入、手续费等，其中手续费按近年占主营业务收入平均比重进行预测，利息收入按近年的平均值，具体情况见下表：</w:t>
      </w:r>
    </w:p>
    <w:tbl>
      <w:tblPr>
        <w:tblStyle w:val="3"/>
        <w:tblpPr w:leftFromText="180" w:rightFromText="180" w:vertAnchor="text" w:horzAnchor="page" w:tblpX="1907" w:tblpY="538"/>
        <w:tblOverlap w:val="never"/>
        <w:tblW w:w="0" w:type="auto"/>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0"/>
        <w:gridCol w:w="1375"/>
        <w:gridCol w:w="1379"/>
        <w:gridCol w:w="1239"/>
        <w:gridCol w:w="1546"/>
        <w:gridCol w:w="155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310"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项目</w:t>
            </w:r>
          </w:p>
        </w:tc>
        <w:tc>
          <w:tcPr>
            <w:tcW w:w="1375"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2019年度</w:t>
            </w:r>
          </w:p>
        </w:tc>
        <w:tc>
          <w:tcPr>
            <w:tcW w:w="1379"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2020年度</w:t>
            </w:r>
          </w:p>
        </w:tc>
        <w:tc>
          <w:tcPr>
            <w:tcW w:w="1239"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2021年度</w:t>
            </w:r>
          </w:p>
        </w:tc>
        <w:tc>
          <w:tcPr>
            <w:tcW w:w="1546"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2022年度</w:t>
            </w:r>
          </w:p>
        </w:tc>
        <w:tc>
          <w:tcPr>
            <w:tcW w:w="1551"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2023年度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310"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手续费</w:t>
            </w:r>
          </w:p>
        </w:tc>
        <w:tc>
          <w:tcPr>
            <w:tcW w:w="1375"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17.78</w:t>
            </w:r>
          </w:p>
        </w:tc>
        <w:tc>
          <w:tcPr>
            <w:tcW w:w="1379"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27.46</w:t>
            </w:r>
          </w:p>
        </w:tc>
        <w:tc>
          <w:tcPr>
            <w:tcW w:w="1239"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32.22</w:t>
            </w:r>
          </w:p>
        </w:tc>
        <w:tc>
          <w:tcPr>
            <w:tcW w:w="1546"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37.63</w:t>
            </w:r>
          </w:p>
        </w:tc>
        <w:tc>
          <w:tcPr>
            <w:tcW w:w="1551"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37.63</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310"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利息收入</w:t>
            </w:r>
          </w:p>
        </w:tc>
        <w:tc>
          <w:tcPr>
            <w:tcW w:w="1375"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-10.75</w:t>
            </w:r>
          </w:p>
        </w:tc>
        <w:tc>
          <w:tcPr>
            <w:tcW w:w="1379"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-10.75</w:t>
            </w:r>
          </w:p>
        </w:tc>
        <w:tc>
          <w:tcPr>
            <w:tcW w:w="1239"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-10.75</w:t>
            </w:r>
          </w:p>
        </w:tc>
        <w:tc>
          <w:tcPr>
            <w:tcW w:w="1546"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-10.75</w:t>
            </w:r>
          </w:p>
        </w:tc>
        <w:tc>
          <w:tcPr>
            <w:tcW w:w="1551"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-10.75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310"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合计</w:t>
            </w:r>
          </w:p>
        </w:tc>
        <w:tc>
          <w:tcPr>
            <w:tcW w:w="1375"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7.03</w:t>
            </w:r>
          </w:p>
        </w:tc>
        <w:tc>
          <w:tcPr>
            <w:tcW w:w="1379"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16.71</w:t>
            </w:r>
          </w:p>
        </w:tc>
        <w:tc>
          <w:tcPr>
            <w:tcW w:w="1239"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21.47</w:t>
            </w:r>
          </w:p>
        </w:tc>
        <w:tc>
          <w:tcPr>
            <w:tcW w:w="1546"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26.88</w:t>
            </w:r>
          </w:p>
        </w:tc>
        <w:tc>
          <w:tcPr>
            <w:tcW w:w="1551"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26.88</w:t>
            </w:r>
          </w:p>
        </w:tc>
      </w:tr>
    </w:tbl>
    <w:p>
      <w:pPr>
        <w:spacing w:line="360" w:lineRule="auto"/>
        <w:ind w:firstLine="2310" w:firstLineChars="1100"/>
        <w:rPr>
          <w:rFonts w:ascii="Arial Narrow" w:hAnsi="Arial Narrow" w:eastAsia="仿宋_GB2312" w:cs="等线"/>
          <w:color w:val="000000"/>
          <w:sz w:val="24"/>
          <w:szCs w:val="24"/>
        </w:rPr>
      </w:pPr>
      <w:r>
        <w:rPr>
          <w:rFonts w:hint="eastAsia" w:ascii="Arial Narrow" w:hAnsi="Arial Narrow" w:eastAsia="宋体" w:cstheme="minorBidi"/>
          <w:kern w:val="2"/>
          <w:sz w:val="21"/>
          <w:szCs w:val="21"/>
          <w:lang w:val="en-US" w:eastAsia="zh-CN" w:bidi="ar-SA"/>
        </w:rPr>
        <w:t xml:space="preserve">表六 财务费用预测表                            </w:t>
      </w:r>
      <w:r>
        <w:rPr>
          <w:rFonts w:hint="eastAsia" w:ascii="宋体" w:hAnsi="宋体" w:eastAsia="宋体" w:cs="宋体"/>
          <w:color w:val="000000"/>
          <w:sz w:val="21"/>
          <w:szCs w:val="21"/>
        </w:rPr>
        <w:t>单位：万元</w:t>
      </w:r>
    </w:p>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（八）折旧与摊销的测算</w:t>
      </w:r>
    </w:p>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本次折旧摊销按资产组的折旧摊销会计政策进行计算得出。</w:t>
      </w:r>
    </w:p>
    <w:p>
      <w:pPr>
        <w:spacing w:line="360" w:lineRule="auto"/>
        <w:ind w:firstLine="2310" w:firstLineChars="1100"/>
        <w:rPr>
          <w:rFonts w:hint="eastAsia" w:ascii="Arial Narrow" w:hAnsi="Arial Narrow" w:eastAsia="宋体" w:cstheme="minorBidi"/>
          <w:kern w:val="2"/>
          <w:sz w:val="21"/>
          <w:szCs w:val="21"/>
          <w:lang w:val="en-US" w:eastAsia="zh-CN" w:bidi="ar-SA"/>
        </w:rPr>
      </w:pPr>
    </w:p>
    <w:p>
      <w:pPr>
        <w:spacing w:line="360" w:lineRule="auto"/>
        <w:ind w:firstLine="2310" w:firstLineChars="11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kern w:val="2"/>
          <w:sz w:val="21"/>
          <w:szCs w:val="21"/>
          <w:lang w:val="en-US" w:eastAsia="zh-CN" w:bidi="ar-SA"/>
        </w:rPr>
        <w:t xml:space="preserve">表七 折旧与摊销预测表                           </w:t>
      </w:r>
      <w:r>
        <w:rPr>
          <w:rFonts w:hint="eastAsia" w:ascii="宋体" w:hAnsi="宋体" w:eastAsia="宋体" w:cs="宋体"/>
          <w:color w:val="000000"/>
          <w:sz w:val="21"/>
          <w:szCs w:val="21"/>
        </w:rPr>
        <w:t>单位：万元</w:t>
      </w:r>
    </w:p>
    <w:tbl>
      <w:tblPr>
        <w:tblStyle w:val="3"/>
        <w:tblW w:w="0" w:type="auto"/>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247"/>
        <w:gridCol w:w="1453"/>
        <w:gridCol w:w="1060"/>
        <w:gridCol w:w="1060"/>
        <w:gridCol w:w="1284"/>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991" w:type="dxa"/>
            <w:vAlign w:val="center"/>
          </w:tcPr>
          <w:p>
            <w:pPr>
              <w:widowControl/>
              <w:ind w:firstLine="420" w:firstLineChars="200"/>
              <w:jc w:val="both"/>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项目\年份</w:t>
            </w:r>
          </w:p>
        </w:tc>
        <w:tc>
          <w:tcPr>
            <w:tcW w:w="1247" w:type="dxa"/>
            <w:noWrap/>
            <w:vAlign w:val="center"/>
          </w:tcPr>
          <w:p>
            <w:pPr>
              <w:widowControl/>
              <w:jc w:val="center"/>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2019年度</w:t>
            </w:r>
          </w:p>
        </w:tc>
        <w:tc>
          <w:tcPr>
            <w:tcW w:w="1453" w:type="dxa"/>
            <w:noWrap/>
            <w:vAlign w:val="center"/>
          </w:tcPr>
          <w:p>
            <w:pPr>
              <w:widowControl/>
              <w:jc w:val="center"/>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2020年度</w:t>
            </w:r>
          </w:p>
        </w:tc>
        <w:tc>
          <w:tcPr>
            <w:tcW w:w="1060" w:type="dxa"/>
            <w:noWrap/>
            <w:vAlign w:val="center"/>
          </w:tcPr>
          <w:p>
            <w:pPr>
              <w:widowControl/>
              <w:jc w:val="center"/>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2021年度</w:t>
            </w:r>
          </w:p>
        </w:tc>
        <w:tc>
          <w:tcPr>
            <w:tcW w:w="1060" w:type="dxa"/>
            <w:noWrap/>
            <w:vAlign w:val="center"/>
          </w:tcPr>
          <w:p>
            <w:pPr>
              <w:widowControl/>
              <w:jc w:val="center"/>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2022年度</w:t>
            </w:r>
          </w:p>
        </w:tc>
        <w:tc>
          <w:tcPr>
            <w:tcW w:w="1284" w:type="dxa"/>
            <w:noWrap/>
            <w:vAlign w:val="center"/>
          </w:tcPr>
          <w:p>
            <w:pPr>
              <w:widowControl/>
              <w:jc w:val="center"/>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2023年度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991" w:type="dxa"/>
            <w:noWrap/>
            <w:vAlign w:val="center"/>
          </w:tcPr>
          <w:p>
            <w:pPr>
              <w:widowControl/>
              <w:jc w:val="center"/>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折旧合计</w:t>
            </w:r>
          </w:p>
        </w:tc>
        <w:tc>
          <w:tcPr>
            <w:tcW w:w="1247" w:type="dxa"/>
            <w:noWrap/>
            <w:vAlign w:val="center"/>
          </w:tcPr>
          <w:p>
            <w:pPr>
              <w:jc w:val="righ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33.47 </w:t>
            </w:r>
          </w:p>
        </w:tc>
        <w:tc>
          <w:tcPr>
            <w:tcW w:w="1453" w:type="dxa"/>
            <w:noWrap/>
            <w:vAlign w:val="center"/>
          </w:tcPr>
          <w:p>
            <w:pPr>
              <w:jc w:val="righ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5.07 </w:t>
            </w:r>
          </w:p>
        </w:tc>
        <w:tc>
          <w:tcPr>
            <w:tcW w:w="1060" w:type="dxa"/>
            <w:noWrap/>
            <w:vAlign w:val="center"/>
          </w:tcPr>
          <w:p>
            <w:pPr>
              <w:jc w:val="righ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1060" w:type="dxa"/>
            <w:noWrap/>
            <w:vAlign w:val="center"/>
          </w:tcPr>
          <w:p>
            <w:pPr>
              <w:jc w:val="righ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1284" w:type="dxa"/>
            <w:noWrap/>
            <w:vAlign w:val="center"/>
          </w:tcPr>
          <w:p>
            <w:pPr>
              <w:jc w:val="righ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991" w:type="dxa"/>
            <w:noWrap/>
            <w:vAlign w:val="center"/>
          </w:tcPr>
          <w:p>
            <w:pPr>
              <w:widowControl/>
              <w:jc w:val="center"/>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摊销合计</w:t>
            </w:r>
          </w:p>
        </w:tc>
        <w:tc>
          <w:tcPr>
            <w:tcW w:w="1247" w:type="dxa"/>
            <w:noWrap/>
            <w:vAlign w:val="center"/>
          </w:tcPr>
          <w:p>
            <w:pPr>
              <w:jc w:val="righ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10.73 </w:t>
            </w:r>
          </w:p>
        </w:tc>
        <w:tc>
          <w:tcPr>
            <w:tcW w:w="1453" w:type="dxa"/>
            <w:noWrap/>
            <w:vAlign w:val="center"/>
          </w:tcPr>
          <w:p>
            <w:pPr>
              <w:jc w:val="righ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10.73 </w:t>
            </w:r>
          </w:p>
        </w:tc>
        <w:tc>
          <w:tcPr>
            <w:tcW w:w="1060" w:type="dxa"/>
            <w:noWrap/>
            <w:vAlign w:val="center"/>
          </w:tcPr>
          <w:p>
            <w:pPr>
              <w:jc w:val="righ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10.73 </w:t>
            </w:r>
          </w:p>
        </w:tc>
        <w:tc>
          <w:tcPr>
            <w:tcW w:w="1060" w:type="dxa"/>
            <w:noWrap/>
            <w:vAlign w:val="center"/>
          </w:tcPr>
          <w:p>
            <w:pPr>
              <w:jc w:val="righ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10.73 </w:t>
            </w:r>
          </w:p>
        </w:tc>
        <w:tc>
          <w:tcPr>
            <w:tcW w:w="1284" w:type="dxa"/>
            <w:noWrap/>
            <w:vAlign w:val="center"/>
          </w:tcPr>
          <w:p>
            <w:pPr>
              <w:jc w:val="righ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10.73 </w:t>
            </w:r>
          </w:p>
        </w:tc>
      </w:tr>
    </w:tbl>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（九）资产减值损失</w:t>
      </w:r>
    </w:p>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资产减值损失主要为当年增加计提的风险资产减值准备金，评估人员了解商业保理相关的会计核算处理方法和风险控制管理方法。经与企业访谈，参照企业坏账准备计提比例1%，资产减值损失按当年新增投放金额乘以1%进行预测。</w:t>
      </w:r>
    </w:p>
    <w:p>
      <w:pPr>
        <w:spacing w:line="360" w:lineRule="auto"/>
        <w:ind w:firstLine="2310" w:firstLineChars="11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kern w:val="2"/>
          <w:sz w:val="21"/>
          <w:szCs w:val="21"/>
          <w:lang w:val="en-US" w:eastAsia="zh-CN" w:bidi="ar-SA"/>
        </w:rPr>
        <w:t xml:space="preserve">表八 资产减值损失预测表                         </w:t>
      </w:r>
      <w:r>
        <w:rPr>
          <w:rFonts w:hint="eastAsia" w:ascii="宋体" w:hAnsi="宋体" w:eastAsia="宋体" w:cs="宋体"/>
          <w:color w:val="000000"/>
          <w:sz w:val="21"/>
          <w:szCs w:val="21"/>
        </w:rPr>
        <w:t>单位：万元</w:t>
      </w:r>
    </w:p>
    <w:tbl>
      <w:tblPr>
        <w:tblStyle w:val="3"/>
        <w:tblW w:w="0" w:type="auto"/>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247"/>
        <w:gridCol w:w="1453"/>
        <w:gridCol w:w="1060"/>
        <w:gridCol w:w="1060"/>
        <w:gridCol w:w="1284"/>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991" w:type="dxa"/>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科目</w:t>
            </w:r>
          </w:p>
        </w:tc>
        <w:tc>
          <w:tcPr>
            <w:tcW w:w="1247"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2019年度</w:t>
            </w:r>
          </w:p>
        </w:tc>
        <w:tc>
          <w:tcPr>
            <w:tcW w:w="1453"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2020年度</w:t>
            </w:r>
          </w:p>
        </w:tc>
        <w:tc>
          <w:tcPr>
            <w:tcW w:w="1060"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2021年度</w:t>
            </w:r>
          </w:p>
        </w:tc>
        <w:tc>
          <w:tcPr>
            <w:tcW w:w="1060"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2022年度</w:t>
            </w:r>
          </w:p>
        </w:tc>
        <w:tc>
          <w:tcPr>
            <w:tcW w:w="1284"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2023年度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991"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资产减值损失</w:t>
            </w:r>
          </w:p>
        </w:tc>
        <w:tc>
          <w:tcPr>
            <w:tcW w:w="1247"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-3.65</w:t>
            </w:r>
          </w:p>
        </w:tc>
        <w:tc>
          <w:tcPr>
            <w:tcW w:w="1453"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1,742.49</w:t>
            </w:r>
          </w:p>
        </w:tc>
        <w:tc>
          <w:tcPr>
            <w:tcW w:w="1060"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1,194.00</w:t>
            </w:r>
          </w:p>
        </w:tc>
        <w:tc>
          <w:tcPr>
            <w:tcW w:w="1060"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1,194.00</w:t>
            </w:r>
          </w:p>
        </w:tc>
        <w:tc>
          <w:tcPr>
            <w:tcW w:w="1284"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w:t>
            </w:r>
          </w:p>
        </w:tc>
      </w:tr>
    </w:tbl>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（十）营业外收支</w:t>
      </w:r>
    </w:p>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被评估单位历史年度营业外收支主要包括税费返还等。根据被评估单位与天津东疆保税港区管理委员会签订的协议，从开业年度（2013年）开始，增值税、企业所得税前4年按地方留存部分100%返还，后5年75%返还，印花税1-9年75%返还。2022年后，由于协议约定优惠时间到期，因此不再预测该收入。</w:t>
      </w:r>
    </w:p>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营业外支出偶然性较大且金额较小，因此不进行预测。</w:t>
      </w:r>
    </w:p>
    <w:p>
      <w:pPr>
        <w:spacing w:line="360" w:lineRule="auto"/>
        <w:ind w:firstLine="2520" w:firstLineChars="1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kern w:val="2"/>
          <w:sz w:val="21"/>
          <w:szCs w:val="21"/>
          <w:lang w:val="en-US" w:eastAsia="zh-CN" w:bidi="ar-SA"/>
        </w:rPr>
        <w:t xml:space="preserve">表九 营业外收支预测表                       </w:t>
      </w:r>
      <w:r>
        <w:rPr>
          <w:rFonts w:hint="eastAsia" w:ascii="宋体" w:hAnsi="宋体" w:eastAsia="宋体" w:cs="宋体"/>
          <w:color w:val="000000"/>
          <w:sz w:val="21"/>
          <w:szCs w:val="21"/>
        </w:rPr>
        <w:t>单位：万元</w:t>
      </w:r>
    </w:p>
    <w:tbl>
      <w:tblPr>
        <w:tblStyle w:val="3"/>
        <w:tblW w:w="0" w:type="auto"/>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247"/>
        <w:gridCol w:w="1425"/>
        <w:gridCol w:w="1134"/>
        <w:gridCol w:w="1134"/>
        <w:gridCol w:w="1164"/>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991" w:type="dxa"/>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科目</w:t>
            </w:r>
          </w:p>
        </w:tc>
        <w:tc>
          <w:tcPr>
            <w:tcW w:w="1247"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2019年度</w:t>
            </w:r>
          </w:p>
        </w:tc>
        <w:tc>
          <w:tcPr>
            <w:tcW w:w="1425"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2020年度</w:t>
            </w:r>
          </w:p>
        </w:tc>
        <w:tc>
          <w:tcPr>
            <w:tcW w:w="1134"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2021年度</w:t>
            </w:r>
          </w:p>
        </w:tc>
        <w:tc>
          <w:tcPr>
            <w:tcW w:w="1134"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2022年度</w:t>
            </w:r>
          </w:p>
        </w:tc>
        <w:tc>
          <w:tcPr>
            <w:tcW w:w="1164"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2023年度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991" w:type="dxa"/>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营业外收入</w:t>
            </w:r>
          </w:p>
        </w:tc>
        <w:tc>
          <w:tcPr>
            <w:tcW w:w="1247" w:type="dxa"/>
            <w:noWrap/>
            <w:vAlign w:val="center"/>
          </w:tcPr>
          <w:p>
            <w:pPr>
              <w:keepNext w:val="0"/>
              <w:keepLines w:val="0"/>
              <w:widowControl/>
              <w:suppressLineNumbers w:val="0"/>
              <w:jc w:val="center"/>
              <w:textAlignment w:val="center"/>
              <w:rPr>
                <w:rFonts w:hint="eastAsia" w:ascii="宋体" w:hAnsi="宋体" w:eastAsia="宋体" w:cs="宋体"/>
                <w:b w:val="0"/>
                <w:bCs/>
                <w:sz w:val="21"/>
                <w:szCs w:val="21"/>
              </w:rPr>
            </w:pPr>
            <w:r>
              <w:rPr>
                <w:rFonts w:hint="eastAsia" w:ascii="宋体" w:hAnsi="宋体" w:eastAsia="宋体" w:cs="宋体"/>
                <w:b w:val="0"/>
                <w:bCs/>
                <w:i w:val="0"/>
                <w:color w:val="000000"/>
                <w:kern w:val="0"/>
                <w:sz w:val="21"/>
                <w:szCs w:val="21"/>
                <w:u w:val="none"/>
                <w:lang w:val="en-US" w:eastAsia="zh-CN" w:bidi="ar"/>
              </w:rPr>
              <w:t>2020</w:t>
            </w:r>
          </w:p>
        </w:tc>
        <w:tc>
          <w:tcPr>
            <w:tcW w:w="1425" w:type="dxa"/>
            <w:noWrap/>
            <w:vAlign w:val="center"/>
          </w:tcPr>
          <w:p>
            <w:pPr>
              <w:keepNext w:val="0"/>
              <w:keepLines w:val="0"/>
              <w:widowControl/>
              <w:suppressLineNumbers w:val="0"/>
              <w:jc w:val="center"/>
              <w:textAlignment w:val="center"/>
              <w:rPr>
                <w:rFonts w:hint="eastAsia" w:ascii="宋体" w:hAnsi="宋体" w:eastAsia="宋体" w:cs="宋体"/>
                <w:b w:val="0"/>
                <w:bCs/>
                <w:sz w:val="21"/>
                <w:szCs w:val="21"/>
              </w:rPr>
            </w:pPr>
            <w:r>
              <w:rPr>
                <w:rFonts w:hint="eastAsia" w:ascii="宋体" w:hAnsi="宋体" w:eastAsia="宋体" w:cs="宋体"/>
                <w:b w:val="0"/>
                <w:bCs/>
                <w:i w:val="0"/>
                <w:color w:val="000000"/>
                <w:kern w:val="0"/>
                <w:sz w:val="21"/>
                <w:szCs w:val="21"/>
                <w:u w:val="none"/>
                <w:lang w:val="en-US" w:eastAsia="zh-CN" w:bidi="ar"/>
              </w:rPr>
              <w:t>2700</w:t>
            </w:r>
          </w:p>
        </w:tc>
        <w:tc>
          <w:tcPr>
            <w:tcW w:w="1134" w:type="dxa"/>
            <w:noWrap/>
            <w:vAlign w:val="center"/>
          </w:tcPr>
          <w:p>
            <w:pPr>
              <w:keepNext w:val="0"/>
              <w:keepLines w:val="0"/>
              <w:widowControl/>
              <w:suppressLineNumbers w:val="0"/>
              <w:jc w:val="center"/>
              <w:textAlignment w:val="center"/>
              <w:rPr>
                <w:rFonts w:hint="eastAsia" w:ascii="宋体" w:hAnsi="宋体" w:eastAsia="宋体" w:cs="宋体"/>
                <w:b w:val="0"/>
                <w:bCs/>
                <w:sz w:val="21"/>
                <w:szCs w:val="21"/>
              </w:rPr>
            </w:pPr>
            <w:r>
              <w:rPr>
                <w:rFonts w:hint="eastAsia" w:ascii="宋体" w:hAnsi="宋体" w:eastAsia="宋体" w:cs="宋体"/>
                <w:b w:val="0"/>
                <w:bCs/>
                <w:i w:val="0"/>
                <w:color w:val="000000"/>
                <w:kern w:val="0"/>
                <w:sz w:val="21"/>
                <w:szCs w:val="21"/>
                <w:u w:val="none"/>
                <w:lang w:val="en-US" w:eastAsia="zh-CN" w:bidi="ar"/>
              </w:rPr>
              <w:t>3000</w:t>
            </w:r>
          </w:p>
        </w:tc>
        <w:tc>
          <w:tcPr>
            <w:tcW w:w="1134"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w:t>
            </w:r>
          </w:p>
        </w:tc>
        <w:tc>
          <w:tcPr>
            <w:tcW w:w="1164"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w:t>
            </w:r>
          </w:p>
        </w:tc>
      </w:tr>
    </w:tbl>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（十一）所得税计算</w:t>
      </w:r>
    </w:p>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按照25%的比率进行计算。</w:t>
      </w:r>
    </w:p>
    <w:p>
      <w:pPr>
        <w:spacing w:line="360" w:lineRule="auto"/>
        <w:ind w:firstLine="420" w:firstLineChars="200"/>
        <w:jc w:val="right"/>
        <w:rPr>
          <w:rFonts w:ascii="Arial Narrow" w:hAnsi="Arial Narrow" w:eastAsia="仿宋_GB2312" w:cs="等线"/>
          <w:sz w:val="24"/>
          <w:szCs w:val="24"/>
        </w:rPr>
      </w:pPr>
      <w:r>
        <w:rPr>
          <w:rFonts w:hint="eastAsia" w:ascii="宋体" w:hAnsi="宋体" w:eastAsia="宋体" w:cs="宋体"/>
          <w:kern w:val="2"/>
          <w:sz w:val="21"/>
          <w:szCs w:val="21"/>
          <w:lang w:val="en-US" w:eastAsia="zh-CN" w:bidi="ar-SA"/>
        </w:rPr>
        <w:t xml:space="preserve">表十 营业外收支预测表                 </w:t>
      </w:r>
      <w:r>
        <w:rPr>
          <w:rFonts w:hint="eastAsia" w:ascii="宋体" w:hAnsi="宋体" w:eastAsia="宋体" w:cs="宋体"/>
          <w:sz w:val="21"/>
          <w:szCs w:val="21"/>
        </w:rPr>
        <w:t>单位：万元</w:t>
      </w:r>
    </w:p>
    <w:tbl>
      <w:tblPr>
        <w:tblStyle w:val="3"/>
        <w:tblW w:w="0" w:type="auto"/>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276"/>
        <w:gridCol w:w="1276"/>
        <w:gridCol w:w="1275"/>
        <w:gridCol w:w="1298"/>
        <w:gridCol w:w="1284"/>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686" w:type="dxa"/>
            <w:vAlign w:val="center"/>
          </w:tcPr>
          <w:p>
            <w:pPr>
              <w:widowControl/>
              <w:jc w:val="center"/>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科目</w:t>
            </w:r>
          </w:p>
        </w:tc>
        <w:tc>
          <w:tcPr>
            <w:tcW w:w="1276" w:type="dxa"/>
            <w:noWrap/>
            <w:vAlign w:val="center"/>
          </w:tcPr>
          <w:p>
            <w:pPr>
              <w:widowControl/>
              <w:jc w:val="center"/>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2019年度</w:t>
            </w:r>
          </w:p>
        </w:tc>
        <w:tc>
          <w:tcPr>
            <w:tcW w:w="1276" w:type="dxa"/>
            <w:noWrap/>
            <w:vAlign w:val="center"/>
          </w:tcPr>
          <w:p>
            <w:pPr>
              <w:widowControl/>
              <w:jc w:val="center"/>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2020年度</w:t>
            </w:r>
          </w:p>
        </w:tc>
        <w:tc>
          <w:tcPr>
            <w:tcW w:w="1275" w:type="dxa"/>
            <w:noWrap/>
            <w:vAlign w:val="center"/>
          </w:tcPr>
          <w:p>
            <w:pPr>
              <w:widowControl/>
              <w:jc w:val="center"/>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2021年度</w:t>
            </w:r>
          </w:p>
        </w:tc>
        <w:tc>
          <w:tcPr>
            <w:tcW w:w="1298" w:type="dxa"/>
            <w:noWrap/>
            <w:vAlign w:val="center"/>
          </w:tcPr>
          <w:p>
            <w:pPr>
              <w:widowControl/>
              <w:jc w:val="center"/>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2022年度</w:t>
            </w:r>
          </w:p>
        </w:tc>
        <w:tc>
          <w:tcPr>
            <w:tcW w:w="1284" w:type="dxa"/>
            <w:noWrap/>
            <w:vAlign w:val="center"/>
          </w:tcPr>
          <w:p>
            <w:pPr>
              <w:widowControl/>
              <w:jc w:val="center"/>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2023年度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686" w:type="dxa"/>
            <w:noWrap/>
            <w:vAlign w:val="center"/>
          </w:tcPr>
          <w:p>
            <w:pPr>
              <w:widowControl/>
              <w:jc w:val="center"/>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应纳所得额</w:t>
            </w:r>
          </w:p>
        </w:tc>
        <w:tc>
          <w:tcPr>
            <w:tcW w:w="1276" w:type="dxa"/>
            <w:noWrap/>
            <w:vAlign w:val="center"/>
          </w:tcPr>
          <w:p>
            <w:pPr>
              <w:keepNext w:val="0"/>
              <w:keepLines w:val="0"/>
              <w:widowControl/>
              <w:suppressLineNumbers w:val="0"/>
              <w:jc w:val="right"/>
              <w:textAlignment w:val="center"/>
              <w:rPr>
                <w:rFonts w:hint="eastAsia" w:ascii="宋体" w:hAnsi="宋体" w:eastAsia="宋体" w:cs="宋体"/>
                <w:b w:val="0"/>
                <w:bCs w:val="0"/>
                <w:sz w:val="21"/>
                <w:szCs w:val="21"/>
              </w:rPr>
            </w:pPr>
            <w:r>
              <w:rPr>
                <w:rFonts w:hint="eastAsia" w:ascii="宋体" w:hAnsi="宋体" w:eastAsia="宋体" w:cs="宋体"/>
                <w:b w:val="0"/>
                <w:bCs w:val="0"/>
                <w:i w:val="0"/>
                <w:color w:val="000000"/>
                <w:kern w:val="0"/>
                <w:sz w:val="21"/>
                <w:szCs w:val="21"/>
                <w:u w:val="none"/>
                <w:lang w:val="en-US" w:eastAsia="zh-CN" w:bidi="ar"/>
              </w:rPr>
              <w:t xml:space="preserve">17,492.60 </w:t>
            </w:r>
          </w:p>
        </w:tc>
        <w:tc>
          <w:tcPr>
            <w:tcW w:w="1276" w:type="dxa"/>
            <w:noWrap/>
            <w:vAlign w:val="center"/>
          </w:tcPr>
          <w:p>
            <w:pPr>
              <w:keepNext w:val="0"/>
              <w:keepLines w:val="0"/>
              <w:widowControl/>
              <w:suppressLineNumbers w:val="0"/>
              <w:jc w:val="right"/>
              <w:textAlignment w:val="center"/>
              <w:rPr>
                <w:rFonts w:hint="eastAsia" w:ascii="宋体" w:hAnsi="宋体" w:eastAsia="宋体" w:cs="宋体"/>
                <w:b w:val="0"/>
                <w:bCs w:val="0"/>
                <w:sz w:val="21"/>
                <w:szCs w:val="21"/>
              </w:rPr>
            </w:pPr>
            <w:r>
              <w:rPr>
                <w:rFonts w:hint="eastAsia" w:ascii="宋体" w:hAnsi="宋体" w:eastAsia="宋体" w:cs="宋体"/>
                <w:b w:val="0"/>
                <w:bCs w:val="0"/>
                <w:i w:val="0"/>
                <w:color w:val="000000"/>
                <w:kern w:val="0"/>
                <w:sz w:val="21"/>
                <w:szCs w:val="21"/>
                <w:u w:val="none"/>
                <w:lang w:val="en-US" w:eastAsia="zh-CN" w:bidi="ar"/>
              </w:rPr>
              <w:t xml:space="preserve">21,768.92 </w:t>
            </w:r>
          </w:p>
        </w:tc>
        <w:tc>
          <w:tcPr>
            <w:tcW w:w="1275" w:type="dxa"/>
            <w:noWrap/>
            <w:vAlign w:val="center"/>
          </w:tcPr>
          <w:p>
            <w:pPr>
              <w:keepNext w:val="0"/>
              <w:keepLines w:val="0"/>
              <w:widowControl/>
              <w:suppressLineNumbers w:val="0"/>
              <w:jc w:val="right"/>
              <w:textAlignment w:val="center"/>
              <w:rPr>
                <w:rFonts w:hint="eastAsia" w:ascii="宋体" w:hAnsi="宋体" w:eastAsia="宋体" w:cs="宋体"/>
                <w:b w:val="0"/>
                <w:bCs w:val="0"/>
                <w:sz w:val="21"/>
                <w:szCs w:val="21"/>
              </w:rPr>
            </w:pPr>
            <w:r>
              <w:rPr>
                <w:rFonts w:hint="eastAsia" w:ascii="宋体" w:hAnsi="宋体" w:eastAsia="宋体" w:cs="宋体"/>
                <w:b w:val="0"/>
                <w:bCs w:val="0"/>
                <w:i w:val="0"/>
                <w:color w:val="000000"/>
                <w:kern w:val="0"/>
                <w:sz w:val="21"/>
                <w:szCs w:val="21"/>
                <w:u w:val="none"/>
                <w:lang w:val="en-US" w:eastAsia="zh-CN" w:bidi="ar"/>
              </w:rPr>
              <w:t xml:space="preserve">22,911.84 </w:t>
            </w:r>
          </w:p>
        </w:tc>
        <w:tc>
          <w:tcPr>
            <w:tcW w:w="1298" w:type="dxa"/>
            <w:noWrap/>
            <w:vAlign w:val="center"/>
          </w:tcPr>
          <w:p>
            <w:pPr>
              <w:keepNext w:val="0"/>
              <w:keepLines w:val="0"/>
              <w:widowControl/>
              <w:suppressLineNumbers w:val="0"/>
              <w:jc w:val="right"/>
              <w:textAlignment w:val="center"/>
              <w:rPr>
                <w:rFonts w:hint="eastAsia" w:ascii="宋体" w:hAnsi="宋体" w:eastAsia="宋体" w:cs="宋体"/>
                <w:b w:val="0"/>
                <w:bCs w:val="0"/>
                <w:sz w:val="21"/>
                <w:szCs w:val="21"/>
              </w:rPr>
            </w:pPr>
            <w:r>
              <w:rPr>
                <w:rFonts w:hint="eastAsia" w:ascii="宋体" w:hAnsi="宋体" w:eastAsia="宋体" w:cs="宋体"/>
                <w:b w:val="0"/>
                <w:bCs w:val="0"/>
                <w:i w:val="0"/>
                <w:color w:val="000000"/>
                <w:kern w:val="0"/>
                <w:sz w:val="21"/>
                <w:szCs w:val="21"/>
                <w:u w:val="none"/>
                <w:lang w:val="en-US" w:eastAsia="zh-CN" w:bidi="ar"/>
              </w:rPr>
              <w:t xml:space="preserve">21,827.51 </w:t>
            </w:r>
          </w:p>
        </w:tc>
        <w:tc>
          <w:tcPr>
            <w:tcW w:w="1284" w:type="dxa"/>
            <w:noWrap/>
            <w:vAlign w:val="center"/>
          </w:tcPr>
          <w:p>
            <w:pPr>
              <w:keepNext w:val="0"/>
              <w:keepLines w:val="0"/>
              <w:widowControl/>
              <w:suppressLineNumbers w:val="0"/>
              <w:jc w:val="right"/>
              <w:textAlignment w:val="center"/>
              <w:rPr>
                <w:rFonts w:hint="eastAsia" w:ascii="宋体" w:hAnsi="宋体" w:eastAsia="宋体" w:cs="宋体"/>
                <w:b w:val="0"/>
                <w:bCs w:val="0"/>
                <w:sz w:val="21"/>
                <w:szCs w:val="21"/>
              </w:rPr>
            </w:pPr>
            <w:r>
              <w:rPr>
                <w:rFonts w:hint="eastAsia" w:ascii="宋体" w:hAnsi="宋体" w:eastAsia="宋体" w:cs="宋体"/>
                <w:b w:val="0"/>
                <w:bCs w:val="0"/>
                <w:i w:val="0"/>
                <w:color w:val="000000"/>
                <w:kern w:val="0"/>
                <w:sz w:val="21"/>
                <w:szCs w:val="21"/>
                <w:u w:val="none"/>
                <w:lang w:val="en-US" w:eastAsia="zh-CN" w:bidi="ar"/>
              </w:rPr>
              <w:t xml:space="preserve">23,246.41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jc w:val="center"/>
        </w:trPr>
        <w:tc>
          <w:tcPr>
            <w:tcW w:w="1686" w:type="dxa"/>
            <w:noWrap/>
            <w:vAlign w:val="center"/>
          </w:tcPr>
          <w:p>
            <w:pPr>
              <w:widowControl/>
              <w:jc w:val="center"/>
              <w:rPr>
                <w:rFonts w:hint="eastAsia" w:ascii="宋体" w:hAnsi="宋体" w:eastAsia="宋体" w:cs="宋体"/>
                <w:b w:val="0"/>
                <w:bCs w:val="0"/>
                <w:color w:val="000000"/>
                <w:kern w:val="0"/>
                <w:sz w:val="21"/>
                <w:szCs w:val="21"/>
              </w:rPr>
            </w:pPr>
            <w:r>
              <w:rPr>
                <w:rFonts w:hint="eastAsia" w:ascii="宋体" w:hAnsi="宋体" w:eastAsia="宋体" w:cs="宋体"/>
                <w:b w:val="0"/>
                <w:bCs w:val="0"/>
                <w:color w:val="000000"/>
                <w:kern w:val="0"/>
                <w:sz w:val="21"/>
                <w:szCs w:val="21"/>
              </w:rPr>
              <w:t>所得税</w:t>
            </w:r>
          </w:p>
        </w:tc>
        <w:tc>
          <w:tcPr>
            <w:tcW w:w="1276" w:type="dxa"/>
            <w:noWrap/>
            <w:vAlign w:val="center"/>
          </w:tcPr>
          <w:p>
            <w:pPr>
              <w:keepNext w:val="0"/>
              <w:keepLines w:val="0"/>
              <w:widowControl/>
              <w:suppressLineNumbers w:val="0"/>
              <w:jc w:val="right"/>
              <w:textAlignment w:val="center"/>
              <w:rPr>
                <w:rFonts w:hint="eastAsia" w:ascii="宋体" w:hAnsi="宋体" w:eastAsia="宋体" w:cs="宋体"/>
                <w:b w:val="0"/>
                <w:bCs w:val="0"/>
                <w:sz w:val="21"/>
                <w:szCs w:val="21"/>
              </w:rPr>
            </w:pPr>
            <w:r>
              <w:rPr>
                <w:rFonts w:hint="eastAsia" w:ascii="宋体" w:hAnsi="宋体" w:eastAsia="宋体" w:cs="宋体"/>
                <w:b w:val="0"/>
                <w:bCs w:val="0"/>
                <w:i w:val="0"/>
                <w:color w:val="000000"/>
                <w:kern w:val="0"/>
                <w:sz w:val="21"/>
                <w:szCs w:val="21"/>
                <w:u w:val="none"/>
                <w:lang w:val="en-US" w:eastAsia="zh-CN" w:bidi="ar"/>
              </w:rPr>
              <w:t xml:space="preserve">4,382.81 </w:t>
            </w:r>
          </w:p>
        </w:tc>
        <w:tc>
          <w:tcPr>
            <w:tcW w:w="1276" w:type="dxa"/>
            <w:noWrap/>
            <w:vAlign w:val="center"/>
          </w:tcPr>
          <w:p>
            <w:pPr>
              <w:keepNext w:val="0"/>
              <w:keepLines w:val="0"/>
              <w:widowControl/>
              <w:suppressLineNumbers w:val="0"/>
              <w:jc w:val="right"/>
              <w:textAlignment w:val="center"/>
              <w:rPr>
                <w:rFonts w:hint="eastAsia" w:ascii="宋体" w:hAnsi="宋体" w:eastAsia="宋体" w:cs="宋体"/>
                <w:b w:val="0"/>
                <w:bCs w:val="0"/>
                <w:sz w:val="21"/>
                <w:szCs w:val="21"/>
              </w:rPr>
            </w:pPr>
            <w:r>
              <w:rPr>
                <w:rFonts w:hint="eastAsia" w:ascii="宋体" w:hAnsi="宋体" w:eastAsia="宋体" w:cs="宋体"/>
                <w:b w:val="0"/>
                <w:bCs w:val="0"/>
                <w:i w:val="0"/>
                <w:color w:val="000000"/>
                <w:kern w:val="0"/>
                <w:sz w:val="21"/>
                <w:szCs w:val="21"/>
                <w:u w:val="none"/>
                <w:lang w:val="en-US" w:eastAsia="zh-CN" w:bidi="ar"/>
              </w:rPr>
              <w:t xml:space="preserve">5,460.20 </w:t>
            </w:r>
          </w:p>
        </w:tc>
        <w:tc>
          <w:tcPr>
            <w:tcW w:w="1275" w:type="dxa"/>
            <w:noWrap/>
            <w:vAlign w:val="center"/>
          </w:tcPr>
          <w:p>
            <w:pPr>
              <w:keepNext w:val="0"/>
              <w:keepLines w:val="0"/>
              <w:widowControl/>
              <w:suppressLineNumbers w:val="0"/>
              <w:jc w:val="right"/>
              <w:textAlignment w:val="center"/>
              <w:rPr>
                <w:rFonts w:hint="eastAsia" w:ascii="宋体" w:hAnsi="宋体" w:eastAsia="宋体" w:cs="宋体"/>
                <w:b w:val="0"/>
                <w:bCs w:val="0"/>
                <w:sz w:val="21"/>
                <w:szCs w:val="21"/>
              </w:rPr>
            </w:pPr>
            <w:r>
              <w:rPr>
                <w:rFonts w:hint="eastAsia" w:ascii="宋体" w:hAnsi="宋体" w:eastAsia="宋体" w:cs="宋体"/>
                <w:b w:val="0"/>
                <w:bCs w:val="0"/>
                <w:i w:val="0"/>
                <w:color w:val="000000"/>
                <w:kern w:val="0"/>
                <w:sz w:val="21"/>
                <w:szCs w:val="21"/>
                <w:u w:val="none"/>
                <w:lang w:val="en-US" w:eastAsia="zh-CN" w:bidi="ar"/>
              </w:rPr>
              <w:t xml:space="preserve">5,741.91 </w:t>
            </w:r>
          </w:p>
        </w:tc>
        <w:tc>
          <w:tcPr>
            <w:tcW w:w="1298" w:type="dxa"/>
            <w:noWrap/>
            <w:vAlign w:val="center"/>
          </w:tcPr>
          <w:p>
            <w:pPr>
              <w:keepNext w:val="0"/>
              <w:keepLines w:val="0"/>
              <w:widowControl/>
              <w:suppressLineNumbers w:val="0"/>
              <w:jc w:val="right"/>
              <w:textAlignment w:val="center"/>
              <w:rPr>
                <w:rFonts w:hint="eastAsia" w:ascii="宋体" w:hAnsi="宋体" w:eastAsia="宋体" w:cs="宋体"/>
                <w:b w:val="0"/>
                <w:bCs w:val="0"/>
                <w:sz w:val="21"/>
                <w:szCs w:val="21"/>
              </w:rPr>
            </w:pPr>
            <w:r>
              <w:rPr>
                <w:rFonts w:hint="eastAsia" w:ascii="宋体" w:hAnsi="宋体" w:eastAsia="宋体" w:cs="宋体"/>
                <w:b w:val="0"/>
                <w:bCs w:val="0"/>
                <w:i w:val="0"/>
                <w:color w:val="000000"/>
                <w:kern w:val="0"/>
                <w:sz w:val="21"/>
                <w:szCs w:val="21"/>
                <w:u w:val="none"/>
                <w:lang w:val="en-US" w:eastAsia="zh-CN" w:bidi="ar"/>
              </w:rPr>
              <w:t xml:space="preserve">5,456.88 </w:t>
            </w:r>
          </w:p>
        </w:tc>
        <w:tc>
          <w:tcPr>
            <w:tcW w:w="1284" w:type="dxa"/>
            <w:noWrap/>
            <w:vAlign w:val="center"/>
          </w:tcPr>
          <w:p>
            <w:pPr>
              <w:keepNext w:val="0"/>
              <w:keepLines w:val="0"/>
              <w:widowControl/>
              <w:suppressLineNumbers w:val="0"/>
              <w:jc w:val="right"/>
              <w:textAlignment w:val="center"/>
              <w:rPr>
                <w:rFonts w:hint="eastAsia" w:ascii="宋体" w:hAnsi="宋体" w:eastAsia="宋体" w:cs="宋体"/>
                <w:b w:val="0"/>
                <w:bCs w:val="0"/>
                <w:sz w:val="21"/>
                <w:szCs w:val="21"/>
              </w:rPr>
            </w:pPr>
            <w:r>
              <w:rPr>
                <w:rFonts w:hint="eastAsia" w:ascii="宋体" w:hAnsi="宋体" w:eastAsia="宋体" w:cs="宋体"/>
                <w:b w:val="0"/>
                <w:bCs w:val="0"/>
                <w:i w:val="0"/>
                <w:color w:val="000000"/>
                <w:kern w:val="0"/>
                <w:sz w:val="21"/>
                <w:szCs w:val="21"/>
                <w:u w:val="none"/>
                <w:lang w:val="en-US" w:eastAsia="zh-CN" w:bidi="ar"/>
              </w:rPr>
              <w:t xml:space="preserve">5,811.60 </w:t>
            </w:r>
          </w:p>
        </w:tc>
      </w:tr>
    </w:tbl>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（十二）权益增加额</w:t>
      </w:r>
    </w:p>
    <w:p>
      <w:pPr>
        <w:spacing w:line="360" w:lineRule="auto"/>
        <w:ind w:firstLine="480" w:firstLineChars="200"/>
        <w:rPr>
          <w:rFonts w:hint="eastAsia" w:ascii="Arial Narrow" w:hAnsi="Arial Narrow" w:eastAsia="宋体" w:cstheme="minorBidi"/>
          <w:b w:val="0"/>
          <w:bCs w:val="0"/>
          <w:kern w:val="2"/>
          <w:sz w:val="24"/>
          <w:szCs w:val="24"/>
          <w:lang w:val="en-US" w:eastAsia="zh-CN" w:bidi="ar-SA"/>
        </w:rPr>
      </w:pPr>
      <w:r>
        <w:rPr>
          <w:rFonts w:hint="eastAsia" w:ascii="Arial Narrow" w:hAnsi="Arial Narrow" w:eastAsia="宋体" w:cstheme="minorBidi"/>
          <w:b w:val="0"/>
          <w:bCs w:val="0"/>
          <w:kern w:val="2"/>
          <w:sz w:val="24"/>
          <w:szCs w:val="24"/>
          <w:lang w:val="en-US" w:eastAsia="zh-CN" w:bidi="ar-SA"/>
        </w:rPr>
        <w:t>商业保理行业是一个经营风险较大的行业，行业监管部门出台了相应的法规对经营风险进行防范，根据《关于商业保理试点有关工作的通知》规定，商业保理公司可在不超过净资产10倍范围内开展风险资产业务，根据上述数据测算，未来被评估单位投放规模与所有者权益变动如下：</w:t>
      </w:r>
    </w:p>
    <w:p>
      <w:pPr>
        <w:spacing w:line="360" w:lineRule="auto"/>
        <w:ind w:firstLine="420" w:firstLineChars="200"/>
        <w:jc w:val="right"/>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 xml:space="preserve"> 表十一 </w:t>
      </w:r>
      <w:r>
        <w:rPr>
          <w:rFonts w:hint="eastAsia" w:ascii="宋体" w:hAnsi="宋体" w:eastAsia="宋体" w:cs="宋体"/>
          <w:b w:val="0"/>
          <w:bCs w:val="0"/>
          <w:kern w:val="2"/>
          <w:sz w:val="21"/>
          <w:szCs w:val="21"/>
          <w:lang w:val="en-US" w:eastAsia="zh-CN" w:bidi="ar-SA"/>
        </w:rPr>
        <w:t>权益增加额预测表</w:t>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单位：人民币万元</w:t>
      </w:r>
    </w:p>
    <w:tbl>
      <w:tblPr>
        <w:tblStyle w:val="3"/>
        <w:tblW w:w="8591" w:type="dxa"/>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7"/>
        <w:gridCol w:w="1239"/>
        <w:gridCol w:w="1198"/>
        <w:gridCol w:w="1198"/>
        <w:gridCol w:w="1198"/>
        <w:gridCol w:w="1198"/>
        <w:gridCol w:w="1083"/>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7" w:type="dxa"/>
            <w:shd w:val="clear" w:color="auto" w:fill="auto"/>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项目</w:t>
            </w:r>
          </w:p>
        </w:tc>
        <w:tc>
          <w:tcPr>
            <w:tcW w:w="1239" w:type="dxa"/>
            <w:shd w:val="clear" w:color="auto" w:fill="auto"/>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2019年</w:t>
            </w:r>
          </w:p>
        </w:tc>
        <w:tc>
          <w:tcPr>
            <w:tcW w:w="1198" w:type="dxa"/>
            <w:shd w:val="clear" w:color="auto" w:fill="auto"/>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2020年</w:t>
            </w:r>
          </w:p>
        </w:tc>
        <w:tc>
          <w:tcPr>
            <w:tcW w:w="1198" w:type="dxa"/>
            <w:shd w:val="clear" w:color="auto" w:fill="auto"/>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2021年</w:t>
            </w:r>
          </w:p>
        </w:tc>
        <w:tc>
          <w:tcPr>
            <w:tcW w:w="1198" w:type="dxa"/>
            <w:shd w:val="clear" w:color="auto" w:fill="auto"/>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2022年</w:t>
            </w:r>
          </w:p>
        </w:tc>
        <w:tc>
          <w:tcPr>
            <w:tcW w:w="1198" w:type="dxa"/>
            <w:shd w:val="clear" w:color="auto" w:fill="auto"/>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2023年</w:t>
            </w:r>
          </w:p>
        </w:tc>
        <w:tc>
          <w:tcPr>
            <w:tcW w:w="1083" w:type="dxa"/>
            <w:shd w:val="clear" w:color="auto" w:fill="auto"/>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备注</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477" w:type="dxa"/>
            <w:shd w:val="clear" w:color="auto" w:fill="auto"/>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权益增加额</w:t>
            </w:r>
          </w:p>
        </w:tc>
        <w:tc>
          <w:tcPr>
            <w:tcW w:w="1239" w:type="dxa"/>
            <w:shd w:val="clear" w:color="auto" w:fill="auto"/>
            <w:vAlign w:val="center"/>
          </w:tcPr>
          <w:p>
            <w:pPr>
              <w:jc w:val="right"/>
              <w:rPr>
                <w:rFonts w:hint="eastAsia" w:ascii="宋体" w:hAnsi="宋体" w:eastAsia="宋体" w:cs="宋体"/>
                <w:sz w:val="21"/>
                <w:szCs w:val="21"/>
              </w:rPr>
            </w:pPr>
            <w:r>
              <w:rPr>
                <w:rFonts w:hint="eastAsia" w:ascii="宋体" w:hAnsi="宋体" w:eastAsia="宋体" w:cs="宋体"/>
                <w:sz w:val="21"/>
                <w:szCs w:val="21"/>
              </w:rPr>
              <w:t xml:space="preserve"> 13,412.69 </w:t>
            </w:r>
          </w:p>
        </w:tc>
        <w:tc>
          <w:tcPr>
            <w:tcW w:w="1198" w:type="dxa"/>
            <w:shd w:val="clear" w:color="auto" w:fill="auto"/>
            <w:vAlign w:val="center"/>
          </w:tcPr>
          <w:p>
            <w:pPr>
              <w:jc w:val="right"/>
              <w:rPr>
                <w:rFonts w:hint="eastAsia" w:ascii="宋体" w:hAnsi="宋体" w:eastAsia="宋体" w:cs="宋体"/>
                <w:sz w:val="21"/>
                <w:szCs w:val="21"/>
              </w:rPr>
            </w:pPr>
            <w:r>
              <w:rPr>
                <w:rFonts w:hint="eastAsia" w:ascii="宋体" w:hAnsi="宋体" w:eastAsia="宋体" w:cs="宋体"/>
                <w:sz w:val="21"/>
                <w:szCs w:val="21"/>
              </w:rPr>
              <w:t xml:space="preserve"> 9,152.56 </w:t>
            </w:r>
          </w:p>
        </w:tc>
        <w:tc>
          <w:tcPr>
            <w:tcW w:w="1198" w:type="dxa"/>
            <w:shd w:val="clear" w:color="auto" w:fill="auto"/>
            <w:vAlign w:val="center"/>
          </w:tcPr>
          <w:p>
            <w:pPr>
              <w:jc w:val="right"/>
              <w:rPr>
                <w:rFonts w:hint="eastAsia" w:ascii="宋体" w:hAnsi="宋体" w:eastAsia="宋体" w:cs="宋体"/>
                <w:sz w:val="21"/>
                <w:szCs w:val="21"/>
              </w:rPr>
            </w:pPr>
            <w:r>
              <w:rPr>
                <w:rFonts w:hint="eastAsia" w:ascii="宋体" w:hAnsi="宋体" w:eastAsia="宋体" w:cs="宋体"/>
                <w:sz w:val="21"/>
                <w:szCs w:val="21"/>
              </w:rPr>
              <w:t xml:space="preserve"> 1,756.01 </w:t>
            </w:r>
          </w:p>
        </w:tc>
        <w:tc>
          <w:tcPr>
            <w:tcW w:w="1198" w:type="dxa"/>
            <w:shd w:val="clear" w:color="auto" w:fill="auto"/>
            <w:vAlign w:val="center"/>
          </w:tcPr>
          <w:p>
            <w:pPr>
              <w:jc w:val="right"/>
              <w:rPr>
                <w:rFonts w:hint="eastAsia" w:ascii="宋体" w:hAnsi="宋体" w:eastAsia="宋体" w:cs="宋体"/>
                <w:sz w:val="21"/>
                <w:szCs w:val="21"/>
              </w:rPr>
            </w:pPr>
            <w:r>
              <w:rPr>
                <w:rFonts w:hint="eastAsia" w:ascii="宋体" w:hAnsi="宋体" w:eastAsia="宋体" w:cs="宋体"/>
                <w:sz w:val="21"/>
                <w:szCs w:val="21"/>
              </w:rPr>
              <w:t xml:space="preserve"> 1,640.04 </w:t>
            </w:r>
          </w:p>
        </w:tc>
        <w:tc>
          <w:tcPr>
            <w:tcW w:w="1198" w:type="dxa"/>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0</w:t>
            </w:r>
            <w:r>
              <w:rPr>
                <w:rFonts w:hint="eastAsia" w:ascii="宋体" w:hAnsi="宋体" w:eastAsia="宋体" w:cs="宋体"/>
                <w:sz w:val="21"/>
                <w:szCs w:val="21"/>
              </w:rPr>
              <w:t xml:space="preserve"> </w:t>
            </w:r>
          </w:p>
        </w:tc>
        <w:tc>
          <w:tcPr>
            <w:tcW w:w="1083" w:type="dxa"/>
            <w:shd w:val="clear" w:color="auto" w:fill="auto"/>
            <w:vAlign w:val="center"/>
          </w:tcPr>
          <w:p>
            <w:pPr>
              <w:jc w:val="right"/>
              <w:rPr>
                <w:rFonts w:hint="eastAsia" w:ascii="宋体" w:hAnsi="宋体" w:eastAsia="宋体" w:cs="宋体"/>
                <w:sz w:val="21"/>
                <w:szCs w:val="21"/>
              </w:rPr>
            </w:pPr>
          </w:p>
        </w:tc>
      </w:tr>
    </w:tbl>
    <w:p>
      <w:pPr>
        <w:spacing w:line="360" w:lineRule="auto"/>
        <w:ind w:firstLine="480" w:firstLineChars="200"/>
        <w:rPr>
          <w:rFonts w:hint="eastAsia" w:ascii="宋体" w:hAnsi="宋体" w:eastAsia="宋体" w:cs="宋体"/>
          <w:sz w:val="24"/>
        </w:rPr>
      </w:pPr>
      <w:r>
        <w:rPr>
          <w:rFonts w:hint="eastAsia" w:ascii="宋体" w:hAnsi="宋体" w:eastAsia="宋体" w:cs="宋体"/>
          <w:sz w:val="24"/>
          <w:lang w:eastAsia="zh-CN"/>
        </w:rPr>
        <w:t>（十三）</w:t>
      </w:r>
      <w:r>
        <w:rPr>
          <w:rFonts w:hint="eastAsia" w:ascii="宋体" w:hAnsi="宋体" w:eastAsia="宋体" w:cs="宋体"/>
          <w:sz w:val="24"/>
        </w:rPr>
        <w:t>折现率的确定</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本次评估采用资本资产定价模型（CAPM）确定折现率，计算公式如下：</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Ke=rf+MRP×βL+rc</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其中：rf：无风险报酬率；MRP：市场风险溢价；βL：权益的系统风险系数；</w:t>
      </w:r>
    </w:p>
    <w:p>
      <w:pPr>
        <w:spacing w:line="360" w:lineRule="auto"/>
        <w:rPr>
          <w:rFonts w:hint="eastAsia" w:ascii="宋体" w:hAnsi="宋体" w:eastAsia="宋体" w:cs="宋体"/>
          <w:color w:val="000000"/>
          <w:sz w:val="24"/>
        </w:rPr>
      </w:pPr>
      <w:r>
        <w:rPr>
          <w:rFonts w:hint="eastAsia" w:ascii="宋体" w:hAnsi="宋体" w:eastAsia="宋体" w:cs="宋体"/>
          <w:sz w:val="24"/>
        </w:rPr>
        <w:t xml:space="preserve"> rc：企业特定风险调整系数。</w:t>
      </w:r>
      <w:r>
        <w:rPr>
          <w:rFonts w:hint="eastAsia" w:ascii="宋体" w:hAnsi="宋体" w:eastAsia="宋体" w:cs="宋体"/>
          <w:sz w:val="24"/>
          <w:szCs w:val="24"/>
        </w:rPr>
        <w:t>国债收益率通常被认为是无风险的，因持有该债权到期不能兑付的风险很小，可以忽略不计。本次估值采用35只、剩余年限10年以上的国债于评估基准日（或近期）到期收益率平均值3.9936%作为无风险报酬率</w:t>
      </w:r>
      <w:r>
        <w:rPr>
          <w:rFonts w:hint="eastAsia" w:ascii="宋体" w:hAnsi="宋体" w:eastAsia="宋体" w:cs="宋体"/>
          <w:sz w:val="24"/>
          <w:szCs w:val="24"/>
          <w:lang w:eastAsia="zh-CN"/>
        </w:rPr>
        <w:t>。</w:t>
      </w:r>
      <w:r>
        <w:rPr>
          <w:rFonts w:hint="eastAsia" w:ascii="宋体" w:hAnsi="宋体" w:eastAsia="宋体" w:cs="宋体"/>
          <w:sz w:val="24"/>
        </w:rPr>
        <w:t>本次评估对于股权风险溢价的确定，我们采用美国纽约大学斯特恩商学院著名金融学教授、估值专家Aswath Damodaran 的方法，通过在成熟股票市场风险溢价的基础上进行信用违约风险息差调整，得到中国市场的风险溢价。根据Aswath Damodaran的计算结果，2019年1月中国市场风险溢价水平为6.94%，我们以此作为本次评估的市场风险溢价指标值。</w:t>
      </w:r>
      <w:r>
        <w:rPr>
          <w:rFonts w:hint="eastAsia" w:ascii="宋体" w:hAnsi="宋体" w:eastAsia="宋体" w:cs="宋体"/>
          <w:color w:val="000000"/>
          <w:sz w:val="24"/>
        </w:rPr>
        <w:t>β反映一种股票与市场同向变动的幅度，β指标计算模型为市场模型：R</w:t>
      </w:r>
      <w:r>
        <w:rPr>
          <w:rFonts w:hint="eastAsia" w:ascii="宋体" w:hAnsi="宋体" w:eastAsia="宋体" w:cs="宋体"/>
          <w:color w:val="000000"/>
          <w:sz w:val="24"/>
          <w:vertAlign w:val="subscript"/>
        </w:rPr>
        <w:t xml:space="preserve">i </w:t>
      </w:r>
      <w:r>
        <w:rPr>
          <w:rFonts w:hint="eastAsia" w:ascii="宋体" w:hAnsi="宋体" w:eastAsia="宋体" w:cs="宋体"/>
          <w:color w:val="000000"/>
          <w:sz w:val="24"/>
        </w:rPr>
        <w:t>= α + βR</w:t>
      </w:r>
      <w:r>
        <w:rPr>
          <w:rFonts w:hint="eastAsia" w:ascii="宋体" w:hAnsi="宋体" w:eastAsia="宋体" w:cs="宋体"/>
          <w:color w:val="000000"/>
          <w:sz w:val="24"/>
          <w:vertAlign w:val="subscript"/>
        </w:rPr>
        <w:t xml:space="preserve">m </w:t>
      </w:r>
      <w:r>
        <w:rPr>
          <w:rFonts w:hint="eastAsia" w:ascii="宋体" w:hAnsi="宋体" w:eastAsia="宋体" w:cs="宋体"/>
          <w:color w:val="000000"/>
          <w:sz w:val="24"/>
        </w:rPr>
        <w:t>+ ε</w:t>
      </w:r>
      <w:r>
        <w:rPr>
          <w:rFonts w:hint="eastAsia" w:ascii="宋体" w:hAnsi="宋体" w:eastAsia="宋体" w:cs="宋体"/>
          <w:color w:val="000000"/>
          <w:sz w:val="24"/>
          <w:lang w:eastAsia="zh-CN"/>
        </w:rPr>
        <w:t>。</w:t>
      </w:r>
      <w:r>
        <w:rPr>
          <w:rFonts w:hint="eastAsia" w:ascii="宋体" w:hAnsi="宋体" w:eastAsia="宋体" w:cs="宋体"/>
          <w:color w:val="000000"/>
          <w:sz w:val="24"/>
        </w:rPr>
        <w:t>在市场模型中，以市场回报率对股票回报率做回归求得β指标值，本说明中样本β指标的取值来源于Wind资讯平台。被评估单位β指标值的确定以选取的样本自Wind资讯平台取得的考虑财务杠杆的β指标值为基础，计算被评估单位所处行业业务板块的不考虑财务杠杆的β指标值，根据被评估单位的资本结构计算其考虑财务杠杆的β指标值。</w:t>
      </w:r>
    </w:p>
    <w:p>
      <w:pPr>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考虑财务杠杆的β指标值与不考</w:t>
      </w:r>
      <w:r>
        <w:rPr>
          <w:rFonts w:hint="eastAsia" w:ascii="宋体" w:hAnsi="宋体" w:eastAsia="宋体" w:cs="宋体"/>
          <w:color w:val="000000"/>
          <w:sz w:val="24"/>
          <w:lang w:eastAsia="zh-CN"/>
        </w:rPr>
        <w:t>虑</w:t>
      </w:r>
      <w:r>
        <w:rPr>
          <w:rFonts w:hint="eastAsia" w:ascii="宋体" w:hAnsi="宋体" w:eastAsia="宋体" w:cs="宋体"/>
          <w:color w:val="000000"/>
          <w:sz w:val="24"/>
        </w:rPr>
        <w:t>财务杠杆的β指标值换算公式如下：</w:t>
      </w:r>
    </w:p>
    <w:p>
      <w:pPr>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β</w:t>
      </w:r>
      <w:r>
        <w:rPr>
          <w:rFonts w:hint="eastAsia" w:ascii="宋体" w:hAnsi="宋体" w:eastAsia="宋体" w:cs="宋体"/>
          <w:color w:val="000000"/>
          <w:sz w:val="24"/>
          <w:vertAlign w:val="subscript"/>
        </w:rPr>
        <w:t>U</w:t>
      </w:r>
      <w:r>
        <w:rPr>
          <w:rFonts w:hint="eastAsia" w:ascii="宋体" w:hAnsi="宋体" w:eastAsia="宋体" w:cs="宋体"/>
          <w:color w:val="000000"/>
          <w:sz w:val="24"/>
        </w:rPr>
        <w:t xml:space="preserve"> =β</w:t>
      </w:r>
      <w:r>
        <w:rPr>
          <w:rFonts w:hint="eastAsia" w:ascii="宋体" w:hAnsi="宋体" w:eastAsia="宋体" w:cs="宋体"/>
          <w:color w:val="000000"/>
          <w:sz w:val="24"/>
          <w:vertAlign w:val="subscript"/>
        </w:rPr>
        <w:t>L</w:t>
      </w:r>
      <w:r>
        <w:rPr>
          <w:rFonts w:hint="eastAsia" w:ascii="宋体" w:hAnsi="宋体" w:eastAsia="宋体" w:cs="宋体"/>
          <w:color w:val="000000"/>
          <w:sz w:val="24"/>
        </w:rPr>
        <w:t xml:space="preserve"> /[1+（1-T） ×D/E]</w:t>
      </w:r>
    </w:p>
    <w:p>
      <w:pPr>
        <w:spacing w:line="360" w:lineRule="auto"/>
        <w:ind w:firstLine="480" w:firstLineChars="200"/>
        <w:rPr>
          <w:rFonts w:hint="eastAsia" w:ascii="宋体" w:hAnsi="宋体" w:eastAsia="宋体" w:cs="宋体"/>
          <w:color w:val="000000"/>
          <w:sz w:val="24"/>
          <w:lang w:eastAsia="zh-CN"/>
        </w:rPr>
      </w:pPr>
      <w:r>
        <w:rPr>
          <w:rFonts w:hint="eastAsia" w:ascii="宋体" w:hAnsi="宋体" w:eastAsia="宋体" w:cs="宋体"/>
          <w:color w:val="000000"/>
          <w:sz w:val="24"/>
        </w:rPr>
        <w:t>式中：β</w:t>
      </w:r>
      <w:r>
        <w:rPr>
          <w:rFonts w:hint="eastAsia" w:ascii="宋体" w:hAnsi="宋体" w:eastAsia="宋体" w:cs="宋体"/>
          <w:color w:val="000000"/>
          <w:sz w:val="24"/>
          <w:vertAlign w:val="subscript"/>
        </w:rPr>
        <w:t>L</w:t>
      </w:r>
      <w:r>
        <w:rPr>
          <w:rFonts w:hint="eastAsia" w:ascii="宋体" w:hAnsi="宋体" w:eastAsia="宋体" w:cs="宋体"/>
          <w:color w:val="000000"/>
          <w:sz w:val="24"/>
        </w:rPr>
        <w:t>：考虑财务杠杆的Beta；β</w:t>
      </w:r>
      <w:r>
        <w:rPr>
          <w:rFonts w:hint="eastAsia" w:ascii="宋体" w:hAnsi="宋体" w:eastAsia="宋体" w:cs="宋体"/>
          <w:color w:val="000000"/>
          <w:sz w:val="24"/>
          <w:vertAlign w:val="subscript"/>
        </w:rPr>
        <w:t>U</w:t>
      </w:r>
      <w:r>
        <w:rPr>
          <w:rFonts w:hint="eastAsia" w:ascii="宋体" w:hAnsi="宋体" w:eastAsia="宋体" w:cs="宋体"/>
          <w:color w:val="000000"/>
          <w:sz w:val="24"/>
        </w:rPr>
        <w:t>：不考虑财务杠杆的Beta；T：所得税率</w:t>
      </w:r>
      <w:r>
        <w:rPr>
          <w:rFonts w:hint="eastAsia" w:ascii="宋体" w:hAnsi="宋体" w:eastAsia="宋体" w:cs="宋体"/>
          <w:color w:val="000000"/>
          <w:sz w:val="24"/>
          <w:lang w:eastAsia="zh-CN"/>
        </w:rPr>
        <w:t>。</w:t>
      </w:r>
    </w:p>
    <w:p>
      <w:pPr>
        <w:spacing w:line="360" w:lineRule="auto"/>
        <w:ind w:firstLine="420" w:firstLineChars="200"/>
        <w:jc w:val="center"/>
        <w:rPr>
          <w:rFonts w:hint="eastAsia" w:ascii="Arial Narrow" w:hAnsi="Arial Narrow" w:eastAsia="仿宋_GB2312" w:cs="等线"/>
          <w:color w:val="000000"/>
          <w:sz w:val="24"/>
          <w:lang w:eastAsia="zh-CN"/>
        </w:rPr>
      </w:pPr>
      <w:r>
        <w:rPr>
          <w:rFonts w:hint="eastAsia" w:ascii="宋体" w:hAnsi="宋体" w:eastAsia="宋体" w:cs="宋体"/>
          <w:color w:val="000000"/>
          <w:sz w:val="21"/>
          <w:szCs w:val="21"/>
          <w:lang w:eastAsia="zh-CN"/>
        </w:rPr>
        <w:t>表十二：</w:t>
      </w:r>
      <w:r>
        <w:rPr>
          <w:rFonts w:hint="eastAsia" w:ascii="宋体" w:hAnsi="宋体" w:eastAsia="宋体" w:cs="宋体"/>
          <w:color w:val="000000"/>
          <w:sz w:val="21"/>
          <w:szCs w:val="21"/>
        </w:rPr>
        <w:t>β</w:t>
      </w:r>
      <w:r>
        <w:rPr>
          <w:rFonts w:hint="eastAsia" w:ascii="宋体" w:hAnsi="宋体" w:eastAsia="宋体" w:cs="宋体"/>
          <w:color w:val="000000"/>
          <w:sz w:val="21"/>
          <w:szCs w:val="21"/>
          <w:lang w:eastAsia="zh-CN"/>
        </w:rPr>
        <w:t>计算表</w:t>
      </w:r>
    </w:p>
    <w:tbl>
      <w:tblPr>
        <w:tblStyle w:val="3"/>
        <w:tblW w:w="0" w:type="auto"/>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1276"/>
        <w:gridCol w:w="1276"/>
        <w:gridCol w:w="1275"/>
        <w:gridCol w:w="993"/>
        <w:gridCol w:w="992"/>
        <w:gridCol w:w="1158"/>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jc w:val="center"/>
        </w:trPr>
        <w:tc>
          <w:tcPr>
            <w:tcW w:w="1113" w:type="dxa"/>
            <w:noWrap/>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对比公司名称</w:t>
            </w:r>
          </w:p>
        </w:tc>
        <w:tc>
          <w:tcPr>
            <w:tcW w:w="1276" w:type="dxa"/>
            <w:noWrap/>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股票代码</w:t>
            </w:r>
          </w:p>
        </w:tc>
        <w:tc>
          <w:tcPr>
            <w:tcW w:w="1276" w:type="dxa"/>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债权比例[D/（D+E）]</w:t>
            </w:r>
          </w:p>
        </w:tc>
        <w:tc>
          <w:tcPr>
            <w:tcW w:w="1275" w:type="dxa"/>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权益价值比例[E/（D+E）]</w:t>
            </w:r>
          </w:p>
        </w:tc>
        <w:tc>
          <w:tcPr>
            <w:tcW w:w="993" w:type="dxa"/>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所得税率%</w:t>
            </w:r>
          </w:p>
        </w:tc>
        <w:tc>
          <w:tcPr>
            <w:tcW w:w="992" w:type="dxa"/>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有财务杠杆贝塔（βL）</w:t>
            </w:r>
          </w:p>
        </w:tc>
        <w:tc>
          <w:tcPr>
            <w:tcW w:w="1158" w:type="dxa"/>
            <w:vAlign w:val="center"/>
          </w:tcPr>
          <w:p>
            <w:pPr>
              <w:widowControl/>
              <w:jc w:val="center"/>
              <w:rPr>
                <w:rFonts w:hint="eastAsia" w:ascii="宋体" w:hAnsi="宋体" w:eastAsia="宋体" w:cs="宋体"/>
                <w:kern w:val="0"/>
                <w:sz w:val="21"/>
                <w:szCs w:val="21"/>
              </w:rPr>
            </w:pPr>
            <w:r>
              <w:rPr>
                <w:rFonts w:hint="eastAsia" w:ascii="宋体" w:hAnsi="宋体" w:eastAsia="宋体" w:cs="宋体"/>
                <w:kern w:val="0"/>
                <w:sz w:val="21"/>
                <w:szCs w:val="21"/>
              </w:rPr>
              <w:t>无财务杠杆贝塔（βU）</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13"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法尔胜</w:t>
            </w:r>
          </w:p>
        </w:tc>
        <w:tc>
          <w:tcPr>
            <w:tcW w:w="1276"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000890.SZ</w:t>
            </w:r>
          </w:p>
        </w:tc>
        <w:tc>
          <w:tcPr>
            <w:tcW w:w="1276"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54.73%</w:t>
            </w:r>
          </w:p>
        </w:tc>
        <w:tc>
          <w:tcPr>
            <w:tcW w:w="1275"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45.27%</w:t>
            </w:r>
          </w:p>
        </w:tc>
        <w:tc>
          <w:tcPr>
            <w:tcW w:w="993" w:type="dxa"/>
            <w:noWrap/>
            <w:vAlign w:val="center"/>
          </w:tcPr>
          <w:p>
            <w:pPr>
              <w:widowControl/>
              <w:jc w:val="right"/>
              <w:rPr>
                <w:rFonts w:hint="eastAsia" w:ascii="宋体" w:hAnsi="宋体" w:eastAsia="宋体" w:cs="宋体"/>
                <w:kern w:val="0"/>
                <w:sz w:val="21"/>
                <w:szCs w:val="21"/>
              </w:rPr>
            </w:pPr>
            <w:r>
              <w:rPr>
                <w:rFonts w:hint="eastAsia" w:ascii="宋体" w:hAnsi="宋体" w:eastAsia="宋体" w:cs="宋体"/>
                <w:kern w:val="0"/>
                <w:sz w:val="21"/>
                <w:szCs w:val="21"/>
              </w:rPr>
              <w:t>25%</w:t>
            </w:r>
          </w:p>
        </w:tc>
        <w:tc>
          <w:tcPr>
            <w:tcW w:w="992"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 xml:space="preserve">0.6723 </w:t>
            </w:r>
          </w:p>
        </w:tc>
        <w:tc>
          <w:tcPr>
            <w:tcW w:w="1158"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 xml:space="preserve">0.3526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13"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宝德股份</w:t>
            </w:r>
          </w:p>
        </w:tc>
        <w:tc>
          <w:tcPr>
            <w:tcW w:w="1276"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300023.SZ</w:t>
            </w:r>
          </w:p>
        </w:tc>
        <w:tc>
          <w:tcPr>
            <w:tcW w:w="1276"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64.83%</w:t>
            </w:r>
          </w:p>
        </w:tc>
        <w:tc>
          <w:tcPr>
            <w:tcW w:w="1275"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35.17%</w:t>
            </w:r>
          </w:p>
        </w:tc>
        <w:tc>
          <w:tcPr>
            <w:tcW w:w="993" w:type="dxa"/>
            <w:noWrap/>
            <w:vAlign w:val="center"/>
          </w:tcPr>
          <w:p>
            <w:pPr>
              <w:widowControl/>
              <w:jc w:val="right"/>
              <w:rPr>
                <w:rFonts w:hint="eastAsia" w:ascii="宋体" w:hAnsi="宋体" w:eastAsia="宋体" w:cs="宋体"/>
                <w:kern w:val="0"/>
                <w:sz w:val="21"/>
                <w:szCs w:val="21"/>
              </w:rPr>
            </w:pPr>
            <w:r>
              <w:rPr>
                <w:rFonts w:hint="eastAsia" w:ascii="宋体" w:hAnsi="宋体" w:eastAsia="宋体" w:cs="宋体"/>
                <w:kern w:val="0"/>
                <w:sz w:val="21"/>
                <w:szCs w:val="21"/>
              </w:rPr>
              <w:t>15%</w:t>
            </w:r>
          </w:p>
        </w:tc>
        <w:tc>
          <w:tcPr>
            <w:tcW w:w="992"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 xml:space="preserve">1.2758 </w:t>
            </w:r>
          </w:p>
        </w:tc>
        <w:tc>
          <w:tcPr>
            <w:tcW w:w="1158"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 xml:space="preserve">0.4970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13"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新力金融</w:t>
            </w:r>
          </w:p>
        </w:tc>
        <w:tc>
          <w:tcPr>
            <w:tcW w:w="1276"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600318.SH</w:t>
            </w:r>
          </w:p>
        </w:tc>
        <w:tc>
          <w:tcPr>
            <w:tcW w:w="1276"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40.39%</w:t>
            </w:r>
          </w:p>
        </w:tc>
        <w:tc>
          <w:tcPr>
            <w:tcW w:w="1275"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59.61%</w:t>
            </w:r>
          </w:p>
        </w:tc>
        <w:tc>
          <w:tcPr>
            <w:tcW w:w="993" w:type="dxa"/>
            <w:noWrap/>
            <w:vAlign w:val="center"/>
          </w:tcPr>
          <w:p>
            <w:pPr>
              <w:widowControl/>
              <w:jc w:val="right"/>
              <w:rPr>
                <w:rFonts w:hint="eastAsia" w:ascii="宋体" w:hAnsi="宋体" w:eastAsia="宋体" w:cs="宋体"/>
                <w:kern w:val="0"/>
                <w:sz w:val="21"/>
                <w:szCs w:val="21"/>
              </w:rPr>
            </w:pPr>
            <w:r>
              <w:rPr>
                <w:rFonts w:hint="eastAsia" w:ascii="宋体" w:hAnsi="宋体" w:eastAsia="宋体" w:cs="宋体"/>
                <w:kern w:val="0"/>
                <w:sz w:val="21"/>
                <w:szCs w:val="21"/>
              </w:rPr>
              <w:t>25%</w:t>
            </w:r>
          </w:p>
        </w:tc>
        <w:tc>
          <w:tcPr>
            <w:tcW w:w="992"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 xml:space="preserve">0.6386 </w:t>
            </w:r>
          </w:p>
        </w:tc>
        <w:tc>
          <w:tcPr>
            <w:tcW w:w="1158" w:type="dxa"/>
            <w:noWrap/>
            <w:vAlign w:val="center"/>
          </w:tcPr>
          <w:p>
            <w:pPr>
              <w:jc w:val="right"/>
              <w:rPr>
                <w:rFonts w:hint="eastAsia" w:ascii="宋体" w:hAnsi="宋体" w:eastAsia="宋体" w:cs="宋体"/>
                <w:sz w:val="21"/>
                <w:szCs w:val="21"/>
              </w:rPr>
            </w:pPr>
            <w:r>
              <w:rPr>
                <w:rFonts w:hint="eastAsia" w:ascii="宋体" w:hAnsi="宋体" w:eastAsia="宋体" w:cs="宋体"/>
                <w:sz w:val="21"/>
                <w:szCs w:val="21"/>
              </w:rPr>
              <w:t xml:space="preserve">0.4234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13" w:type="dxa"/>
            <w:noWrap/>
            <w:vAlign w:val="center"/>
          </w:tcPr>
          <w:p>
            <w:pPr>
              <w:jc w:val="center"/>
              <w:rPr>
                <w:rFonts w:hint="eastAsia" w:ascii="宋体" w:hAnsi="宋体" w:eastAsia="宋体" w:cs="宋体"/>
                <w:sz w:val="21"/>
                <w:szCs w:val="21"/>
              </w:rPr>
            </w:pPr>
            <w:r>
              <w:rPr>
                <w:rFonts w:hint="eastAsia" w:ascii="宋体" w:hAnsi="宋体" w:eastAsia="宋体" w:cs="宋体"/>
                <w:sz w:val="21"/>
                <w:szCs w:val="21"/>
              </w:rPr>
              <w:t>平均值</w:t>
            </w:r>
          </w:p>
        </w:tc>
        <w:tc>
          <w:tcPr>
            <w:tcW w:w="1276" w:type="dxa"/>
            <w:noWrap/>
            <w:vAlign w:val="center"/>
          </w:tcPr>
          <w:p>
            <w:pPr>
              <w:widowControl/>
              <w:jc w:val="center"/>
              <w:rPr>
                <w:rFonts w:hint="eastAsia" w:ascii="宋体" w:hAnsi="宋体" w:eastAsia="宋体" w:cs="宋体"/>
                <w:color w:val="000000"/>
                <w:kern w:val="0"/>
                <w:sz w:val="21"/>
                <w:szCs w:val="21"/>
              </w:rPr>
            </w:pPr>
          </w:p>
        </w:tc>
        <w:tc>
          <w:tcPr>
            <w:tcW w:w="1276" w:type="dxa"/>
            <w:noWrap/>
            <w:vAlign w:val="center"/>
          </w:tcPr>
          <w:p>
            <w:pPr>
              <w:widowControl/>
              <w:jc w:val="right"/>
              <w:rPr>
                <w:rFonts w:hint="eastAsia" w:ascii="宋体" w:hAnsi="宋体" w:eastAsia="宋体" w:cs="宋体"/>
                <w:kern w:val="0"/>
                <w:sz w:val="21"/>
                <w:szCs w:val="21"/>
              </w:rPr>
            </w:pPr>
            <w:r>
              <w:rPr>
                <w:rFonts w:hint="eastAsia" w:ascii="宋体" w:hAnsi="宋体" w:eastAsia="宋体" w:cs="宋体"/>
                <w:kern w:val="0"/>
                <w:sz w:val="21"/>
                <w:szCs w:val="21"/>
              </w:rPr>
              <w:t xml:space="preserve">53.32% </w:t>
            </w:r>
          </w:p>
        </w:tc>
        <w:tc>
          <w:tcPr>
            <w:tcW w:w="1275" w:type="dxa"/>
            <w:noWrap/>
            <w:vAlign w:val="center"/>
          </w:tcPr>
          <w:p>
            <w:pPr>
              <w:widowControl/>
              <w:jc w:val="right"/>
              <w:rPr>
                <w:rFonts w:hint="eastAsia" w:ascii="宋体" w:hAnsi="宋体" w:eastAsia="宋体" w:cs="宋体"/>
                <w:kern w:val="0"/>
                <w:sz w:val="21"/>
                <w:szCs w:val="21"/>
              </w:rPr>
            </w:pPr>
            <w:r>
              <w:rPr>
                <w:rFonts w:hint="eastAsia" w:ascii="宋体" w:hAnsi="宋体" w:eastAsia="宋体" w:cs="宋体"/>
                <w:kern w:val="0"/>
                <w:sz w:val="21"/>
                <w:szCs w:val="21"/>
              </w:rPr>
              <w:t xml:space="preserve">46.48% </w:t>
            </w:r>
          </w:p>
        </w:tc>
        <w:tc>
          <w:tcPr>
            <w:tcW w:w="993" w:type="dxa"/>
            <w:noWrap/>
            <w:vAlign w:val="center"/>
          </w:tcPr>
          <w:p>
            <w:pPr>
              <w:widowControl/>
              <w:jc w:val="right"/>
              <w:rPr>
                <w:rFonts w:hint="eastAsia" w:ascii="宋体" w:hAnsi="宋体" w:eastAsia="宋体" w:cs="宋体"/>
                <w:color w:val="000000"/>
                <w:kern w:val="0"/>
                <w:sz w:val="21"/>
                <w:szCs w:val="21"/>
              </w:rPr>
            </w:pPr>
          </w:p>
        </w:tc>
        <w:tc>
          <w:tcPr>
            <w:tcW w:w="992" w:type="dxa"/>
            <w:noWrap/>
            <w:vAlign w:val="center"/>
          </w:tcPr>
          <w:p>
            <w:pPr>
              <w:widowControl/>
              <w:jc w:val="right"/>
              <w:rPr>
                <w:rFonts w:hint="eastAsia" w:ascii="宋体" w:hAnsi="宋体" w:eastAsia="宋体" w:cs="宋体"/>
                <w:color w:val="000000"/>
                <w:kern w:val="0"/>
                <w:sz w:val="21"/>
                <w:szCs w:val="21"/>
              </w:rPr>
            </w:pPr>
          </w:p>
        </w:tc>
        <w:tc>
          <w:tcPr>
            <w:tcW w:w="1158" w:type="dxa"/>
            <w:noWrap/>
            <w:vAlign w:val="center"/>
          </w:tcPr>
          <w:p>
            <w:pPr>
              <w:widowControl/>
              <w:jc w:val="righ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0.4243</w:t>
            </w:r>
          </w:p>
        </w:tc>
      </w:tr>
    </w:tbl>
    <w:p>
      <w:pPr>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lang w:bidi="ar"/>
        </w:rPr>
        <w:t>由于选取样本上市公司与被评估单位经营环境不同，同时考虑被评估单位自身经营风险，考虑企业特有风险调整为2</w:t>
      </w:r>
      <w:r>
        <w:rPr>
          <w:rFonts w:hint="eastAsia" w:ascii="宋体" w:hAnsi="宋体" w:eastAsia="宋体" w:cs="宋体"/>
          <w:color w:val="000000"/>
          <w:sz w:val="24"/>
          <w:szCs w:val="24"/>
          <w:lang w:val="en-US" w:eastAsia="zh-CN" w:bidi="ar"/>
        </w:rPr>
        <w:t>.5</w:t>
      </w:r>
      <w:r>
        <w:rPr>
          <w:rFonts w:hint="eastAsia" w:ascii="宋体" w:hAnsi="宋体" w:eastAsia="宋体" w:cs="宋体"/>
          <w:color w:val="000000"/>
          <w:sz w:val="24"/>
          <w:szCs w:val="24"/>
          <w:lang w:bidi="ar"/>
        </w:rPr>
        <w:t>%。</w:t>
      </w:r>
      <w:r>
        <w:rPr>
          <w:rFonts w:hint="eastAsia" w:ascii="宋体" w:hAnsi="宋体" w:eastAsia="宋体" w:cs="宋体"/>
          <w:color w:val="000000"/>
          <w:sz w:val="24"/>
          <w:szCs w:val="24"/>
        </w:rPr>
        <w:t>通过以上计算，依据KE = R</w:t>
      </w:r>
      <w:r>
        <w:rPr>
          <w:rFonts w:hint="eastAsia" w:ascii="宋体" w:hAnsi="宋体" w:eastAsia="宋体" w:cs="宋体"/>
          <w:color w:val="000000"/>
          <w:sz w:val="24"/>
          <w:szCs w:val="24"/>
          <w:vertAlign w:val="subscript"/>
        </w:rPr>
        <w:t>F</w:t>
      </w:r>
      <w:r>
        <w:rPr>
          <w:rFonts w:hint="eastAsia" w:ascii="宋体" w:hAnsi="宋体" w:eastAsia="宋体" w:cs="宋体"/>
          <w:color w:val="000000"/>
          <w:sz w:val="24"/>
          <w:szCs w:val="24"/>
        </w:rPr>
        <w:t xml:space="preserve"> +β（R</w:t>
      </w:r>
      <w:r>
        <w:rPr>
          <w:rFonts w:hint="eastAsia" w:ascii="宋体" w:hAnsi="宋体" w:eastAsia="宋体" w:cs="宋体"/>
          <w:color w:val="000000"/>
          <w:sz w:val="24"/>
          <w:szCs w:val="24"/>
          <w:vertAlign w:val="subscript"/>
        </w:rPr>
        <w:t>M</w:t>
      </w:r>
      <w:r>
        <w:rPr>
          <w:rFonts w:hint="eastAsia" w:ascii="宋体" w:hAnsi="宋体" w:eastAsia="宋体" w:cs="宋体"/>
          <w:color w:val="000000"/>
          <w:sz w:val="24"/>
          <w:szCs w:val="24"/>
        </w:rPr>
        <w:t>-R</w:t>
      </w:r>
      <w:r>
        <w:rPr>
          <w:rFonts w:hint="eastAsia" w:ascii="宋体" w:hAnsi="宋体" w:eastAsia="宋体" w:cs="宋体"/>
          <w:color w:val="000000"/>
          <w:sz w:val="24"/>
          <w:szCs w:val="24"/>
          <w:vertAlign w:val="subscript"/>
        </w:rPr>
        <w:t>F</w:t>
      </w:r>
      <w:r>
        <w:rPr>
          <w:rFonts w:hint="eastAsia" w:ascii="宋体" w:hAnsi="宋体" w:eastAsia="宋体" w:cs="宋体"/>
          <w:color w:val="000000"/>
          <w:sz w:val="24"/>
          <w:szCs w:val="24"/>
        </w:rPr>
        <w:t>）+α，计算被评估单位2019年至2023年度股权资本成本为11.</w:t>
      </w:r>
      <w:r>
        <w:rPr>
          <w:rFonts w:hint="eastAsia" w:ascii="宋体" w:hAnsi="宋体" w:eastAsia="宋体" w:cs="宋体"/>
          <w:color w:val="000000"/>
          <w:sz w:val="24"/>
          <w:szCs w:val="24"/>
          <w:lang w:val="en-US" w:eastAsia="zh-CN"/>
        </w:rPr>
        <w:t>96</w:t>
      </w:r>
      <w:r>
        <w:rPr>
          <w:rFonts w:hint="eastAsia" w:ascii="宋体" w:hAnsi="宋体" w:eastAsia="宋体" w:cs="宋体"/>
          <w:color w:val="000000"/>
          <w:sz w:val="24"/>
          <w:szCs w:val="24"/>
        </w:rPr>
        <w:t>%。</w:t>
      </w:r>
    </w:p>
    <w:p>
      <w:pPr>
        <w:keepNext/>
        <w:keepLines/>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outlineLvl w:val="2"/>
        <w:rPr>
          <w:rFonts w:hint="eastAsia" w:ascii="宋体" w:hAnsi="宋体" w:eastAsia="宋体" w:cs="宋体"/>
          <w:b w:val="0"/>
          <w:bCs w:val="0"/>
          <w:sz w:val="24"/>
          <w:szCs w:val="20"/>
        </w:rPr>
      </w:pPr>
      <w:bookmarkStart w:id="0" w:name="_Toc10968861"/>
      <w:bookmarkStart w:id="1" w:name="_Toc1552303"/>
      <w:r>
        <w:rPr>
          <w:rFonts w:hint="eastAsia" w:ascii="宋体" w:hAnsi="宋体" w:eastAsia="宋体" w:cs="宋体"/>
          <w:b w:val="0"/>
          <w:bCs w:val="0"/>
          <w:sz w:val="24"/>
          <w:szCs w:val="20"/>
          <w:lang w:eastAsia="zh-CN"/>
        </w:rPr>
        <w:t>（十四）</w:t>
      </w:r>
      <w:r>
        <w:rPr>
          <w:rFonts w:hint="eastAsia" w:ascii="宋体" w:hAnsi="宋体" w:eastAsia="宋体" w:cs="宋体"/>
          <w:b w:val="0"/>
          <w:bCs w:val="0"/>
          <w:sz w:val="24"/>
          <w:szCs w:val="20"/>
        </w:rPr>
        <w:t>评估值测算过程与结果</w:t>
      </w:r>
      <w:bookmarkEnd w:id="0"/>
      <w:bookmarkEnd w:id="1"/>
    </w:p>
    <w:p>
      <w:pPr>
        <w:tabs>
          <w:tab w:val="left" w:pos="840"/>
          <w:tab w:val="left" w:pos="1050"/>
        </w:tabs>
        <w:spacing w:line="36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根据以上估算，我们对被评估单位业务价值进行估算，2019年至2023年度具体估算结果</w:t>
      </w:r>
      <w:r>
        <w:rPr>
          <w:rFonts w:hint="eastAsia" w:ascii="宋体" w:hAnsi="宋体" w:eastAsia="宋体" w:cs="宋体"/>
          <w:color w:val="000000"/>
          <w:sz w:val="24"/>
          <w:szCs w:val="24"/>
          <w:lang w:eastAsia="zh-CN"/>
        </w:rPr>
        <w:t>如下</w:t>
      </w:r>
      <w:r>
        <w:rPr>
          <w:rFonts w:hint="eastAsia" w:ascii="宋体" w:hAnsi="宋体" w:eastAsia="宋体" w:cs="宋体"/>
          <w:color w:val="000000"/>
          <w:sz w:val="24"/>
          <w:szCs w:val="24"/>
        </w:rPr>
        <w:t>：</w:t>
      </w:r>
    </w:p>
    <w:p>
      <w:pPr>
        <w:tabs>
          <w:tab w:val="left" w:pos="840"/>
          <w:tab w:val="left" w:pos="1050"/>
        </w:tabs>
        <w:spacing w:line="360" w:lineRule="auto"/>
        <w:ind w:firstLine="2730" w:firstLineChars="1300"/>
        <w:rPr>
          <w:rFonts w:ascii="Arial Narrow" w:hAnsi="Arial Narrow" w:eastAsia="仿宋_GB2312" w:cs="等线"/>
          <w:color w:val="000000"/>
        </w:rPr>
      </w:pPr>
      <w:r>
        <w:rPr>
          <w:rFonts w:hint="eastAsia" w:ascii="宋体" w:hAnsi="宋体" w:eastAsia="宋体" w:cs="宋体"/>
          <w:color w:val="000000"/>
          <w:lang w:eastAsia="zh-CN"/>
        </w:rPr>
        <w:t>表十三</w:t>
      </w:r>
      <w:r>
        <w:rPr>
          <w:rFonts w:hint="eastAsia" w:ascii="宋体" w:hAnsi="宋体" w:eastAsia="宋体" w:cs="宋体"/>
          <w:color w:val="000000"/>
          <w:lang w:val="en-US" w:eastAsia="zh-CN"/>
        </w:rPr>
        <w:t xml:space="preserve"> 测算结果表                          </w:t>
      </w:r>
      <w:r>
        <w:rPr>
          <w:rFonts w:hint="eastAsia" w:ascii="宋体" w:hAnsi="宋体" w:eastAsia="宋体" w:cs="宋体"/>
          <w:color w:val="000000"/>
        </w:rPr>
        <w:t>单位：万元</w:t>
      </w:r>
    </w:p>
    <w:tbl>
      <w:tblPr>
        <w:tblStyle w:val="3"/>
        <w:tblW w:w="8659" w:type="dxa"/>
        <w:jc w:val="right"/>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3"/>
        <w:gridCol w:w="1134"/>
        <w:gridCol w:w="1123"/>
        <w:gridCol w:w="1134"/>
        <w:gridCol w:w="1134"/>
        <w:gridCol w:w="1134"/>
        <w:gridCol w:w="1287"/>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blHeader/>
          <w:jc w:val="right"/>
        </w:trPr>
        <w:tc>
          <w:tcPr>
            <w:tcW w:w="1713" w:type="dxa"/>
            <w:shd w:val="clear" w:color="000000" w:fill="FFFFFF"/>
            <w:noWrap/>
            <w:vAlign w:val="center"/>
          </w:tcPr>
          <w:p>
            <w:pPr>
              <w:widowControl/>
              <w:jc w:val="center"/>
              <w:rPr>
                <w:rFonts w:hint="eastAsia" w:ascii="宋体" w:hAnsi="宋体" w:eastAsia="宋体" w:cs="宋体"/>
                <w:kern w:val="0"/>
                <w:sz w:val="20"/>
                <w:szCs w:val="20"/>
              </w:rPr>
            </w:pPr>
            <w:r>
              <w:rPr>
                <w:rFonts w:hint="eastAsia" w:ascii="宋体" w:hAnsi="宋体" w:eastAsia="宋体" w:cs="宋体"/>
                <w:kern w:val="0"/>
                <w:sz w:val="20"/>
                <w:szCs w:val="20"/>
              </w:rPr>
              <w:t>项目</w:t>
            </w:r>
          </w:p>
        </w:tc>
        <w:tc>
          <w:tcPr>
            <w:tcW w:w="1134" w:type="dxa"/>
            <w:shd w:val="clear" w:color="000000" w:fill="FFFFFF"/>
            <w:noWrap/>
            <w:vAlign w:val="center"/>
          </w:tcPr>
          <w:p>
            <w:pPr>
              <w:widowControl/>
              <w:jc w:val="center"/>
              <w:rPr>
                <w:rFonts w:hint="eastAsia" w:ascii="宋体" w:hAnsi="宋体" w:eastAsia="宋体" w:cs="宋体"/>
                <w:kern w:val="0"/>
                <w:sz w:val="20"/>
                <w:szCs w:val="20"/>
              </w:rPr>
            </w:pPr>
            <w:r>
              <w:rPr>
                <w:rFonts w:hint="eastAsia" w:ascii="宋体" w:hAnsi="宋体" w:eastAsia="宋体" w:cs="宋体"/>
                <w:kern w:val="0"/>
                <w:sz w:val="20"/>
                <w:szCs w:val="20"/>
              </w:rPr>
              <w:t>2019年度</w:t>
            </w:r>
          </w:p>
        </w:tc>
        <w:tc>
          <w:tcPr>
            <w:tcW w:w="1123" w:type="dxa"/>
            <w:shd w:val="clear" w:color="000000" w:fill="FFFFFF"/>
            <w:noWrap/>
            <w:vAlign w:val="center"/>
          </w:tcPr>
          <w:p>
            <w:pPr>
              <w:widowControl/>
              <w:jc w:val="center"/>
              <w:rPr>
                <w:rFonts w:hint="eastAsia" w:ascii="宋体" w:hAnsi="宋体" w:eastAsia="宋体" w:cs="宋体"/>
                <w:kern w:val="0"/>
                <w:sz w:val="20"/>
                <w:szCs w:val="20"/>
              </w:rPr>
            </w:pPr>
            <w:r>
              <w:rPr>
                <w:rFonts w:hint="eastAsia" w:ascii="宋体" w:hAnsi="宋体" w:eastAsia="宋体" w:cs="宋体"/>
                <w:kern w:val="0"/>
                <w:sz w:val="20"/>
                <w:szCs w:val="20"/>
              </w:rPr>
              <w:t>2020年度</w:t>
            </w:r>
          </w:p>
        </w:tc>
        <w:tc>
          <w:tcPr>
            <w:tcW w:w="1134" w:type="dxa"/>
            <w:shd w:val="clear" w:color="000000" w:fill="FFFFFF"/>
            <w:noWrap/>
            <w:vAlign w:val="center"/>
          </w:tcPr>
          <w:p>
            <w:pPr>
              <w:widowControl/>
              <w:jc w:val="center"/>
              <w:rPr>
                <w:rFonts w:hint="eastAsia" w:ascii="宋体" w:hAnsi="宋体" w:eastAsia="宋体" w:cs="宋体"/>
                <w:kern w:val="0"/>
                <w:sz w:val="20"/>
                <w:szCs w:val="20"/>
              </w:rPr>
            </w:pPr>
            <w:r>
              <w:rPr>
                <w:rFonts w:hint="eastAsia" w:ascii="宋体" w:hAnsi="宋体" w:eastAsia="宋体" w:cs="宋体"/>
                <w:kern w:val="0"/>
                <w:sz w:val="20"/>
                <w:szCs w:val="20"/>
              </w:rPr>
              <w:t>2021年度</w:t>
            </w:r>
          </w:p>
        </w:tc>
        <w:tc>
          <w:tcPr>
            <w:tcW w:w="1134" w:type="dxa"/>
            <w:shd w:val="clear" w:color="000000" w:fill="FFFFFF"/>
            <w:noWrap/>
            <w:vAlign w:val="center"/>
          </w:tcPr>
          <w:p>
            <w:pPr>
              <w:widowControl/>
              <w:jc w:val="center"/>
              <w:rPr>
                <w:rFonts w:hint="eastAsia" w:ascii="宋体" w:hAnsi="宋体" w:eastAsia="宋体" w:cs="宋体"/>
                <w:kern w:val="0"/>
                <w:sz w:val="20"/>
                <w:szCs w:val="20"/>
              </w:rPr>
            </w:pPr>
            <w:r>
              <w:rPr>
                <w:rFonts w:hint="eastAsia" w:ascii="宋体" w:hAnsi="宋体" w:eastAsia="宋体" w:cs="宋体"/>
                <w:kern w:val="0"/>
                <w:sz w:val="20"/>
                <w:szCs w:val="20"/>
              </w:rPr>
              <w:t>2022年度</w:t>
            </w:r>
          </w:p>
        </w:tc>
        <w:tc>
          <w:tcPr>
            <w:tcW w:w="1134" w:type="dxa"/>
            <w:shd w:val="clear" w:color="000000" w:fill="FFFFFF"/>
            <w:noWrap/>
            <w:vAlign w:val="center"/>
          </w:tcPr>
          <w:p>
            <w:pPr>
              <w:widowControl/>
              <w:jc w:val="center"/>
              <w:rPr>
                <w:rFonts w:hint="eastAsia" w:ascii="宋体" w:hAnsi="宋体" w:eastAsia="宋体" w:cs="宋体"/>
                <w:kern w:val="0"/>
                <w:sz w:val="20"/>
                <w:szCs w:val="20"/>
              </w:rPr>
            </w:pPr>
            <w:r>
              <w:rPr>
                <w:rFonts w:hint="eastAsia" w:ascii="宋体" w:hAnsi="宋体" w:eastAsia="宋体" w:cs="宋体"/>
                <w:kern w:val="0"/>
                <w:sz w:val="20"/>
                <w:szCs w:val="20"/>
              </w:rPr>
              <w:t>2023年度</w:t>
            </w:r>
          </w:p>
        </w:tc>
        <w:tc>
          <w:tcPr>
            <w:tcW w:w="1287" w:type="dxa"/>
            <w:shd w:val="clear" w:color="000000" w:fill="FFFFFF"/>
            <w:noWrap/>
            <w:vAlign w:val="center"/>
          </w:tcPr>
          <w:p>
            <w:pPr>
              <w:widowControl/>
              <w:jc w:val="center"/>
              <w:rPr>
                <w:rFonts w:hint="eastAsia" w:ascii="宋体" w:hAnsi="宋体" w:eastAsia="宋体" w:cs="宋体"/>
                <w:kern w:val="0"/>
                <w:sz w:val="20"/>
                <w:szCs w:val="20"/>
              </w:rPr>
            </w:pPr>
            <w:r>
              <w:rPr>
                <w:rFonts w:hint="eastAsia" w:ascii="宋体" w:hAnsi="宋体" w:eastAsia="宋体" w:cs="宋体"/>
                <w:kern w:val="0"/>
                <w:sz w:val="20"/>
                <w:szCs w:val="20"/>
              </w:rPr>
              <w:t>稳定增长年度</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right"/>
        </w:trPr>
        <w:tc>
          <w:tcPr>
            <w:tcW w:w="1713" w:type="dxa"/>
            <w:shd w:val="clear" w:color="000000" w:fill="FFFFFF"/>
            <w:noWrap/>
            <w:vAlign w:val="center"/>
          </w:tcPr>
          <w:p>
            <w:pPr>
              <w:widowControl/>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股权自由现金流</w:t>
            </w:r>
          </w:p>
        </w:tc>
        <w:tc>
          <w:tcPr>
            <w:tcW w:w="1134" w:type="dxa"/>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0"/>
                <w:szCs w:val="20"/>
              </w:rPr>
            </w:pPr>
            <w:r>
              <w:rPr>
                <w:rFonts w:hint="eastAsia" w:ascii="宋体" w:hAnsi="宋体" w:eastAsia="宋体" w:cs="宋体"/>
                <w:i w:val="0"/>
                <w:color w:val="000000"/>
                <w:kern w:val="0"/>
                <w:sz w:val="20"/>
                <w:szCs w:val="20"/>
                <w:u w:val="none"/>
                <w:lang w:val="en-US" w:eastAsia="zh-CN" w:bidi="ar"/>
              </w:rPr>
              <w:t xml:space="preserve">0.00 </w:t>
            </w:r>
          </w:p>
        </w:tc>
        <w:tc>
          <w:tcPr>
            <w:tcW w:w="1123" w:type="dxa"/>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0"/>
                <w:szCs w:val="20"/>
              </w:rPr>
            </w:pPr>
            <w:r>
              <w:rPr>
                <w:rFonts w:hint="eastAsia" w:ascii="宋体" w:hAnsi="宋体" w:eastAsia="宋体" w:cs="宋体"/>
                <w:i w:val="0"/>
                <w:color w:val="000000"/>
                <w:kern w:val="0"/>
                <w:sz w:val="20"/>
                <w:szCs w:val="20"/>
                <w:u w:val="none"/>
                <w:lang w:val="en-US" w:eastAsia="zh-CN" w:bidi="ar"/>
              </w:rPr>
              <w:t xml:space="preserve">7,347.01 </w:t>
            </w:r>
          </w:p>
        </w:tc>
        <w:tc>
          <w:tcPr>
            <w:tcW w:w="1134" w:type="dxa"/>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0"/>
                <w:szCs w:val="20"/>
              </w:rPr>
            </w:pPr>
            <w:r>
              <w:rPr>
                <w:rFonts w:hint="eastAsia" w:ascii="宋体" w:hAnsi="宋体" w:eastAsia="宋体" w:cs="宋体"/>
                <w:i w:val="0"/>
                <w:color w:val="000000"/>
                <w:kern w:val="0"/>
                <w:sz w:val="20"/>
                <w:szCs w:val="20"/>
                <w:u w:val="none"/>
                <w:lang w:val="en-US" w:eastAsia="zh-CN" w:bidi="ar"/>
              </w:rPr>
              <w:t xml:space="preserve">15,465.49 </w:t>
            </w:r>
          </w:p>
        </w:tc>
        <w:tc>
          <w:tcPr>
            <w:tcW w:w="1134" w:type="dxa"/>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0"/>
                <w:szCs w:val="20"/>
              </w:rPr>
            </w:pPr>
            <w:r>
              <w:rPr>
                <w:rFonts w:hint="eastAsia" w:ascii="宋体" w:hAnsi="宋体" w:eastAsia="宋体" w:cs="宋体"/>
                <w:i w:val="0"/>
                <w:color w:val="000000"/>
                <w:kern w:val="0"/>
                <w:sz w:val="20"/>
                <w:szCs w:val="20"/>
                <w:u w:val="none"/>
                <w:lang w:val="en-US" w:eastAsia="zh-CN" w:bidi="ar"/>
              </w:rPr>
              <w:t xml:space="preserve">14,733.57 </w:t>
            </w:r>
          </w:p>
        </w:tc>
        <w:tc>
          <w:tcPr>
            <w:tcW w:w="1134" w:type="dxa"/>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0"/>
                <w:szCs w:val="20"/>
              </w:rPr>
            </w:pPr>
            <w:r>
              <w:rPr>
                <w:rFonts w:hint="eastAsia" w:ascii="宋体" w:hAnsi="宋体" w:eastAsia="宋体" w:cs="宋体"/>
                <w:i w:val="0"/>
                <w:color w:val="000000"/>
                <w:kern w:val="0"/>
                <w:sz w:val="20"/>
                <w:szCs w:val="20"/>
                <w:u w:val="none"/>
                <w:lang w:val="en-US" w:eastAsia="zh-CN" w:bidi="ar"/>
              </w:rPr>
              <w:t xml:space="preserve">15,691.33 </w:t>
            </w:r>
          </w:p>
        </w:tc>
        <w:tc>
          <w:tcPr>
            <w:tcW w:w="1287" w:type="dxa"/>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0"/>
                <w:szCs w:val="20"/>
              </w:rPr>
            </w:pPr>
            <w:r>
              <w:rPr>
                <w:rFonts w:hint="eastAsia" w:ascii="宋体" w:hAnsi="宋体" w:eastAsia="宋体" w:cs="宋体"/>
                <w:i w:val="0"/>
                <w:color w:val="000000"/>
                <w:kern w:val="0"/>
                <w:sz w:val="20"/>
                <w:szCs w:val="20"/>
                <w:u w:val="none"/>
                <w:lang w:val="en-US" w:eastAsia="zh-CN" w:bidi="ar"/>
              </w:rPr>
              <w:t xml:space="preserve">15,691.33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right"/>
        </w:trPr>
        <w:tc>
          <w:tcPr>
            <w:tcW w:w="1713" w:type="dxa"/>
            <w:shd w:val="clear" w:color="000000" w:fill="FFFFFF"/>
            <w:noWrap/>
            <w:vAlign w:val="center"/>
          </w:tcPr>
          <w:p>
            <w:pPr>
              <w:widowControl/>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折现率</w:t>
            </w:r>
          </w:p>
        </w:tc>
        <w:tc>
          <w:tcPr>
            <w:tcW w:w="1134" w:type="dxa"/>
            <w:shd w:val="clear" w:color="000000" w:fill="FFFFFF"/>
            <w:noWrap/>
            <w:vAlign w:val="center"/>
          </w:tcPr>
          <w:p>
            <w:pPr>
              <w:jc w:val="right"/>
              <w:rPr>
                <w:rFonts w:hint="eastAsia" w:ascii="宋体" w:hAnsi="宋体" w:eastAsia="宋体" w:cs="宋体"/>
                <w:sz w:val="20"/>
                <w:szCs w:val="20"/>
              </w:rPr>
            </w:pPr>
            <w:r>
              <w:rPr>
                <w:rFonts w:hint="eastAsia" w:ascii="宋体" w:hAnsi="宋体" w:eastAsia="宋体" w:cs="宋体"/>
                <w:sz w:val="20"/>
                <w:szCs w:val="20"/>
              </w:rPr>
              <w:t>11.</w:t>
            </w:r>
            <w:r>
              <w:rPr>
                <w:rFonts w:hint="eastAsia" w:ascii="宋体" w:hAnsi="宋体" w:eastAsia="宋体" w:cs="宋体"/>
                <w:sz w:val="20"/>
                <w:szCs w:val="20"/>
                <w:lang w:val="en-US" w:eastAsia="zh-CN"/>
              </w:rPr>
              <w:t>9</w:t>
            </w:r>
            <w:r>
              <w:rPr>
                <w:rFonts w:hint="eastAsia" w:ascii="宋体" w:hAnsi="宋体" w:eastAsia="宋体" w:cs="宋体"/>
                <w:sz w:val="20"/>
                <w:szCs w:val="20"/>
              </w:rPr>
              <w:t>6%</w:t>
            </w:r>
          </w:p>
        </w:tc>
        <w:tc>
          <w:tcPr>
            <w:tcW w:w="1123" w:type="dxa"/>
            <w:shd w:val="clear" w:color="000000" w:fill="FFFFFF"/>
            <w:noWrap/>
            <w:vAlign w:val="center"/>
          </w:tcPr>
          <w:p>
            <w:pPr>
              <w:jc w:val="right"/>
              <w:rPr>
                <w:rFonts w:hint="eastAsia" w:ascii="宋体" w:hAnsi="宋体" w:eastAsia="宋体" w:cs="宋体"/>
                <w:sz w:val="20"/>
                <w:szCs w:val="20"/>
              </w:rPr>
            </w:pPr>
            <w:r>
              <w:rPr>
                <w:rFonts w:hint="eastAsia" w:ascii="宋体" w:hAnsi="宋体" w:eastAsia="宋体" w:cs="宋体"/>
                <w:sz w:val="20"/>
                <w:szCs w:val="20"/>
              </w:rPr>
              <w:t>11.</w:t>
            </w:r>
            <w:r>
              <w:rPr>
                <w:rFonts w:hint="eastAsia" w:ascii="宋体" w:hAnsi="宋体" w:eastAsia="宋体" w:cs="宋体"/>
                <w:sz w:val="20"/>
                <w:szCs w:val="20"/>
                <w:lang w:val="en-US" w:eastAsia="zh-CN"/>
              </w:rPr>
              <w:t>9</w:t>
            </w:r>
            <w:r>
              <w:rPr>
                <w:rFonts w:hint="eastAsia" w:ascii="宋体" w:hAnsi="宋体" w:eastAsia="宋体" w:cs="宋体"/>
                <w:sz w:val="20"/>
                <w:szCs w:val="20"/>
              </w:rPr>
              <w:t>6%</w:t>
            </w:r>
          </w:p>
        </w:tc>
        <w:tc>
          <w:tcPr>
            <w:tcW w:w="1134" w:type="dxa"/>
            <w:shd w:val="clear" w:color="000000" w:fill="FFFFFF"/>
            <w:noWrap/>
            <w:vAlign w:val="center"/>
          </w:tcPr>
          <w:p>
            <w:pPr>
              <w:jc w:val="right"/>
              <w:rPr>
                <w:rFonts w:hint="eastAsia" w:ascii="宋体" w:hAnsi="宋体" w:eastAsia="宋体" w:cs="宋体"/>
                <w:sz w:val="20"/>
                <w:szCs w:val="20"/>
              </w:rPr>
            </w:pPr>
            <w:r>
              <w:rPr>
                <w:rFonts w:hint="eastAsia" w:ascii="宋体" w:hAnsi="宋体" w:eastAsia="宋体" w:cs="宋体"/>
                <w:sz w:val="20"/>
                <w:szCs w:val="20"/>
              </w:rPr>
              <w:t>11.</w:t>
            </w:r>
            <w:r>
              <w:rPr>
                <w:rFonts w:hint="eastAsia" w:ascii="宋体" w:hAnsi="宋体" w:eastAsia="宋体" w:cs="宋体"/>
                <w:sz w:val="20"/>
                <w:szCs w:val="20"/>
                <w:lang w:val="en-US" w:eastAsia="zh-CN"/>
              </w:rPr>
              <w:t>9</w:t>
            </w:r>
            <w:r>
              <w:rPr>
                <w:rFonts w:hint="eastAsia" w:ascii="宋体" w:hAnsi="宋体" w:eastAsia="宋体" w:cs="宋体"/>
                <w:sz w:val="20"/>
                <w:szCs w:val="20"/>
              </w:rPr>
              <w:t>6%</w:t>
            </w:r>
          </w:p>
        </w:tc>
        <w:tc>
          <w:tcPr>
            <w:tcW w:w="1134" w:type="dxa"/>
            <w:shd w:val="clear" w:color="000000" w:fill="FFFFFF"/>
            <w:noWrap/>
            <w:vAlign w:val="center"/>
          </w:tcPr>
          <w:p>
            <w:pPr>
              <w:jc w:val="right"/>
              <w:rPr>
                <w:rFonts w:hint="eastAsia" w:ascii="宋体" w:hAnsi="宋体" w:eastAsia="宋体" w:cs="宋体"/>
                <w:sz w:val="20"/>
                <w:szCs w:val="20"/>
              </w:rPr>
            </w:pPr>
            <w:r>
              <w:rPr>
                <w:rFonts w:hint="eastAsia" w:ascii="宋体" w:hAnsi="宋体" w:eastAsia="宋体" w:cs="宋体"/>
                <w:sz w:val="20"/>
                <w:szCs w:val="20"/>
              </w:rPr>
              <w:t>11.</w:t>
            </w:r>
            <w:r>
              <w:rPr>
                <w:rFonts w:hint="eastAsia" w:ascii="宋体" w:hAnsi="宋体" w:eastAsia="宋体" w:cs="宋体"/>
                <w:sz w:val="20"/>
                <w:szCs w:val="20"/>
                <w:lang w:val="en-US" w:eastAsia="zh-CN"/>
              </w:rPr>
              <w:t>9</w:t>
            </w:r>
            <w:r>
              <w:rPr>
                <w:rFonts w:hint="eastAsia" w:ascii="宋体" w:hAnsi="宋体" w:eastAsia="宋体" w:cs="宋体"/>
                <w:sz w:val="20"/>
                <w:szCs w:val="20"/>
              </w:rPr>
              <w:t>6%</w:t>
            </w:r>
          </w:p>
        </w:tc>
        <w:tc>
          <w:tcPr>
            <w:tcW w:w="1134" w:type="dxa"/>
            <w:shd w:val="clear" w:color="000000" w:fill="FFFFFF"/>
            <w:noWrap/>
            <w:vAlign w:val="center"/>
          </w:tcPr>
          <w:p>
            <w:pPr>
              <w:jc w:val="right"/>
              <w:rPr>
                <w:rFonts w:hint="eastAsia" w:ascii="宋体" w:hAnsi="宋体" w:eastAsia="宋体" w:cs="宋体"/>
                <w:sz w:val="20"/>
                <w:szCs w:val="20"/>
              </w:rPr>
            </w:pPr>
            <w:r>
              <w:rPr>
                <w:rFonts w:hint="eastAsia" w:ascii="宋体" w:hAnsi="宋体" w:eastAsia="宋体" w:cs="宋体"/>
                <w:sz w:val="20"/>
                <w:szCs w:val="20"/>
              </w:rPr>
              <w:t>11.</w:t>
            </w:r>
            <w:r>
              <w:rPr>
                <w:rFonts w:hint="eastAsia" w:ascii="宋体" w:hAnsi="宋体" w:eastAsia="宋体" w:cs="宋体"/>
                <w:sz w:val="20"/>
                <w:szCs w:val="20"/>
                <w:lang w:val="en-US" w:eastAsia="zh-CN"/>
              </w:rPr>
              <w:t>9</w:t>
            </w:r>
            <w:r>
              <w:rPr>
                <w:rFonts w:hint="eastAsia" w:ascii="宋体" w:hAnsi="宋体" w:eastAsia="宋体" w:cs="宋体"/>
                <w:sz w:val="20"/>
                <w:szCs w:val="20"/>
              </w:rPr>
              <w:t>6%</w:t>
            </w:r>
          </w:p>
        </w:tc>
        <w:tc>
          <w:tcPr>
            <w:tcW w:w="1287" w:type="dxa"/>
            <w:shd w:val="clear" w:color="000000" w:fill="FFFFFF"/>
            <w:noWrap/>
            <w:vAlign w:val="center"/>
          </w:tcPr>
          <w:p>
            <w:pPr>
              <w:jc w:val="right"/>
              <w:rPr>
                <w:rFonts w:hint="eastAsia" w:ascii="宋体" w:hAnsi="宋体" w:eastAsia="宋体" w:cs="宋体"/>
                <w:sz w:val="20"/>
                <w:szCs w:val="20"/>
              </w:rPr>
            </w:pPr>
            <w:r>
              <w:rPr>
                <w:rFonts w:hint="eastAsia" w:ascii="宋体" w:hAnsi="宋体" w:eastAsia="宋体" w:cs="宋体"/>
                <w:sz w:val="20"/>
                <w:szCs w:val="20"/>
              </w:rPr>
              <w:t>11.</w:t>
            </w:r>
            <w:r>
              <w:rPr>
                <w:rFonts w:hint="eastAsia" w:ascii="宋体" w:hAnsi="宋体" w:eastAsia="宋体" w:cs="宋体"/>
                <w:sz w:val="20"/>
                <w:szCs w:val="20"/>
                <w:lang w:val="en-US" w:eastAsia="zh-CN"/>
              </w:rPr>
              <w:t>9</w:t>
            </w:r>
            <w:r>
              <w:rPr>
                <w:rFonts w:hint="eastAsia" w:ascii="宋体" w:hAnsi="宋体" w:eastAsia="宋体" w:cs="宋体"/>
                <w:sz w:val="20"/>
                <w:szCs w:val="20"/>
              </w:rPr>
              <w:t>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right"/>
        </w:trPr>
        <w:tc>
          <w:tcPr>
            <w:tcW w:w="1713" w:type="dxa"/>
            <w:shd w:val="clear" w:color="000000" w:fill="FFFFFF"/>
            <w:noWrap/>
            <w:vAlign w:val="center"/>
          </w:tcPr>
          <w:p>
            <w:pPr>
              <w:widowControl/>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预测期价值</w:t>
            </w:r>
          </w:p>
        </w:tc>
        <w:tc>
          <w:tcPr>
            <w:tcW w:w="1134" w:type="dxa"/>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0"/>
                <w:szCs w:val="20"/>
              </w:rPr>
            </w:pPr>
            <w:r>
              <w:rPr>
                <w:rFonts w:hint="eastAsia" w:ascii="宋体" w:hAnsi="宋体" w:eastAsia="宋体" w:cs="宋体"/>
                <w:i w:val="0"/>
                <w:color w:val="000000"/>
                <w:kern w:val="0"/>
                <w:sz w:val="20"/>
                <w:szCs w:val="20"/>
                <w:u w:val="none"/>
                <w:lang w:val="en-US" w:eastAsia="zh-CN" w:bidi="ar"/>
              </w:rPr>
              <w:t xml:space="preserve">0.00 </w:t>
            </w:r>
          </w:p>
        </w:tc>
        <w:tc>
          <w:tcPr>
            <w:tcW w:w="1123" w:type="dxa"/>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0"/>
                <w:szCs w:val="20"/>
              </w:rPr>
            </w:pPr>
            <w:r>
              <w:rPr>
                <w:rFonts w:hint="eastAsia" w:ascii="宋体" w:hAnsi="宋体" w:eastAsia="宋体" w:cs="宋体"/>
                <w:i w:val="0"/>
                <w:color w:val="000000"/>
                <w:kern w:val="0"/>
                <w:sz w:val="20"/>
                <w:szCs w:val="20"/>
                <w:u w:val="none"/>
                <w:lang w:val="en-US" w:eastAsia="zh-CN" w:bidi="ar"/>
              </w:rPr>
              <w:t xml:space="preserve">6,201.61 </w:t>
            </w:r>
          </w:p>
        </w:tc>
        <w:tc>
          <w:tcPr>
            <w:tcW w:w="1134" w:type="dxa"/>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0"/>
                <w:szCs w:val="20"/>
              </w:rPr>
            </w:pPr>
            <w:r>
              <w:rPr>
                <w:rFonts w:hint="eastAsia" w:ascii="宋体" w:hAnsi="宋体" w:eastAsia="宋体" w:cs="宋体"/>
                <w:i w:val="0"/>
                <w:color w:val="000000"/>
                <w:kern w:val="0"/>
                <w:sz w:val="20"/>
                <w:szCs w:val="20"/>
                <w:u w:val="none"/>
                <w:lang w:val="en-US" w:eastAsia="zh-CN" w:bidi="ar"/>
              </w:rPr>
              <w:t xml:space="preserve">11,659.43 </w:t>
            </w:r>
          </w:p>
        </w:tc>
        <w:tc>
          <w:tcPr>
            <w:tcW w:w="1134" w:type="dxa"/>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0"/>
                <w:szCs w:val="20"/>
              </w:rPr>
            </w:pPr>
            <w:r>
              <w:rPr>
                <w:rFonts w:hint="eastAsia" w:ascii="宋体" w:hAnsi="宋体" w:eastAsia="宋体" w:cs="宋体"/>
                <w:i w:val="0"/>
                <w:color w:val="000000"/>
                <w:kern w:val="0"/>
                <w:sz w:val="20"/>
                <w:szCs w:val="20"/>
                <w:u w:val="none"/>
                <w:lang w:val="en-US" w:eastAsia="zh-CN" w:bidi="ar"/>
              </w:rPr>
              <w:t xml:space="preserve">9,921.59 </w:t>
            </w:r>
          </w:p>
        </w:tc>
        <w:tc>
          <w:tcPr>
            <w:tcW w:w="1134" w:type="dxa"/>
            <w:shd w:val="clear" w:color="000000" w:fill="FFFFFF"/>
            <w:noWrap/>
            <w:vAlign w:val="center"/>
          </w:tcPr>
          <w:p>
            <w:pPr>
              <w:keepNext w:val="0"/>
              <w:keepLines w:val="0"/>
              <w:widowControl/>
              <w:suppressLineNumbers w:val="0"/>
              <w:jc w:val="right"/>
              <w:textAlignment w:val="center"/>
              <w:rPr>
                <w:rFonts w:hint="eastAsia" w:ascii="宋体" w:hAnsi="宋体" w:eastAsia="宋体" w:cs="宋体"/>
                <w:sz w:val="20"/>
                <w:szCs w:val="20"/>
              </w:rPr>
            </w:pPr>
            <w:r>
              <w:rPr>
                <w:rFonts w:hint="eastAsia" w:ascii="宋体" w:hAnsi="宋体" w:eastAsia="宋体" w:cs="宋体"/>
                <w:i w:val="0"/>
                <w:color w:val="000000"/>
                <w:kern w:val="0"/>
                <w:sz w:val="20"/>
                <w:szCs w:val="20"/>
                <w:u w:val="none"/>
                <w:lang w:val="en-US" w:eastAsia="zh-CN" w:bidi="ar"/>
              </w:rPr>
              <w:t xml:space="preserve">9,438.33 </w:t>
            </w:r>
          </w:p>
        </w:tc>
        <w:tc>
          <w:tcPr>
            <w:tcW w:w="1287" w:type="dxa"/>
            <w:shd w:val="clear" w:color="000000" w:fill="FFFFFF"/>
            <w:noWrap/>
            <w:vAlign w:val="center"/>
          </w:tcPr>
          <w:p>
            <w:pPr>
              <w:keepNext w:val="0"/>
              <w:keepLines w:val="0"/>
              <w:widowControl/>
              <w:suppressLineNumbers w:val="0"/>
              <w:jc w:val="right"/>
              <w:textAlignment w:val="center"/>
              <w:rPr>
                <w:rFonts w:hint="eastAsia" w:ascii="宋体" w:hAnsi="宋体" w:eastAsia="宋体" w:cs="宋体"/>
                <w:i w:val="0"/>
                <w:color w:val="000000"/>
                <w:kern w:val="2"/>
                <w:sz w:val="20"/>
                <w:szCs w:val="20"/>
                <w:u w:val="none"/>
                <w:lang w:val="en-US" w:eastAsia="zh-CN" w:bidi="ar-SA"/>
              </w:rPr>
            </w:pPr>
            <w:r>
              <w:rPr>
                <w:rFonts w:hint="eastAsia" w:ascii="宋体" w:hAnsi="宋体" w:eastAsia="宋体" w:cs="宋体"/>
                <w:i w:val="0"/>
                <w:color w:val="000000"/>
                <w:kern w:val="0"/>
                <w:sz w:val="20"/>
                <w:szCs w:val="20"/>
                <w:u w:val="none"/>
                <w:lang w:val="en-US" w:eastAsia="zh-CN" w:bidi="ar"/>
              </w:rPr>
              <w:t xml:space="preserve">78,916.41 </w:t>
            </w:r>
          </w:p>
        </w:tc>
      </w:tr>
    </w:tbl>
    <w:p>
      <w:pPr>
        <w:keepNext/>
        <w:keepLines/>
        <w:numPr>
          <w:ilvl w:val="0"/>
          <w:numId w:val="0"/>
        </w:numPr>
        <w:spacing w:before="260" w:line="360" w:lineRule="auto"/>
        <w:ind w:left="420" w:leftChars="0"/>
        <w:outlineLvl w:val="2"/>
        <w:rPr>
          <w:rFonts w:hint="eastAsia" w:ascii="宋体" w:hAnsi="宋体" w:eastAsia="宋体" w:cs="宋体"/>
          <w:b w:val="0"/>
          <w:bCs w:val="0"/>
          <w:sz w:val="24"/>
          <w:szCs w:val="20"/>
        </w:rPr>
      </w:pPr>
      <w:bookmarkStart w:id="2" w:name="_Toc10968862"/>
      <w:bookmarkStart w:id="3" w:name="_Toc1552304"/>
      <w:r>
        <w:rPr>
          <w:rFonts w:hint="eastAsia" w:ascii="宋体" w:hAnsi="宋体" w:eastAsia="宋体" w:cs="宋体"/>
          <w:b w:val="0"/>
          <w:bCs w:val="0"/>
          <w:sz w:val="24"/>
          <w:szCs w:val="20"/>
          <w:lang w:eastAsia="zh-CN"/>
        </w:rPr>
        <w:t>（十五）</w:t>
      </w:r>
      <w:r>
        <w:rPr>
          <w:rFonts w:hint="eastAsia" w:ascii="宋体" w:hAnsi="宋体" w:eastAsia="宋体" w:cs="宋体"/>
          <w:b w:val="0"/>
          <w:bCs w:val="0"/>
          <w:sz w:val="24"/>
          <w:szCs w:val="20"/>
        </w:rPr>
        <w:t>非经营性、溢余资产、负债的评估</w:t>
      </w:r>
      <w:bookmarkEnd w:id="2"/>
      <w:bookmarkEnd w:id="3"/>
    </w:p>
    <w:p>
      <w:pPr>
        <w:numPr>
          <w:ilvl w:val="0"/>
          <w:numId w:val="0"/>
        </w:numPr>
        <w:tabs>
          <w:tab w:val="left" w:pos="840"/>
          <w:tab w:val="left" w:pos="1050"/>
        </w:tabs>
        <w:spacing w:line="360" w:lineRule="auto"/>
        <w:ind w:left="480" w:leftChars="0"/>
        <w:outlineLvl w:val="3"/>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非经营性、溢余资产价值的估算</w:t>
      </w:r>
    </w:p>
    <w:p>
      <w:pPr>
        <w:tabs>
          <w:tab w:val="left" w:pos="840"/>
          <w:tab w:val="left" w:pos="1050"/>
        </w:tabs>
        <w:spacing w:line="360" w:lineRule="auto"/>
        <w:ind w:firstLine="480" w:firstLineChars="20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2018年12月31日，</w:t>
      </w:r>
      <w:r>
        <w:rPr>
          <w:rFonts w:hint="eastAsia" w:ascii="宋体" w:hAnsi="宋体" w:eastAsia="宋体" w:cs="宋体"/>
          <w:b w:val="0"/>
          <w:bCs w:val="0"/>
          <w:color w:val="000000"/>
          <w:sz w:val="24"/>
          <w:szCs w:val="24"/>
          <w:lang w:eastAsia="zh-CN"/>
        </w:rPr>
        <w:t>K</w:t>
      </w:r>
      <w:r>
        <w:rPr>
          <w:rFonts w:hint="eastAsia" w:ascii="宋体" w:hAnsi="宋体" w:eastAsia="宋体" w:cs="宋体"/>
          <w:b w:val="0"/>
          <w:bCs w:val="0"/>
          <w:color w:val="000000"/>
          <w:sz w:val="24"/>
          <w:szCs w:val="24"/>
        </w:rPr>
        <w:t>公司持有的非经营性、溢余资产包括可供出售金融资产等，具体情况见下表：</w:t>
      </w:r>
    </w:p>
    <w:p>
      <w:pPr>
        <w:tabs>
          <w:tab w:val="left" w:pos="840"/>
          <w:tab w:val="left" w:pos="1050"/>
        </w:tabs>
        <w:spacing w:line="360" w:lineRule="auto"/>
        <w:ind w:firstLine="1050" w:firstLineChars="500"/>
        <w:rPr>
          <w:rFonts w:hint="eastAsia" w:ascii="宋体" w:hAnsi="宋体" w:eastAsia="宋体" w:cs="宋体"/>
          <w:b w:val="0"/>
          <w:bCs w:val="0"/>
          <w:color w:val="000000"/>
          <w:sz w:val="24"/>
          <w:szCs w:val="24"/>
        </w:rPr>
      </w:pPr>
      <w:r>
        <w:rPr>
          <w:rFonts w:hint="eastAsia" w:ascii="宋体" w:hAnsi="宋体" w:eastAsia="宋体" w:cs="宋体"/>
          <w:color w:val="000000"/>
          <w:lang w:eastAsia="zh-CN"/>
        </w:rPr>
        <w:t>表十四</w:t>
      </w:r>
      <w:r>
        <w:rPr>
          <w:rFonts w:hint="eastAsia" w:ascii="宋体" w:hAnsi="宋体" w:eastAsia="宋体" w:cs="宋体"/>
          <w:color w:val="000000"/>
          <w:lang w:val="en-US" w:eastAsia="zh-CN"/>
        </w:rPr>
        <w:t xml:space="preserve"> </w:t>
      </w:r>
      <w:r>
        <w:rPr>
          <w:rFonts w:hint="eastAsia" w:ascii="宋体" w:hAnsi="宋体" w:eastAsia="宋体" w:cs="宋体"/>
          <w:b w:val="0"/>
          <w:bCs w:val="0"/>
          <w:sz w:val="24"/>
          <w:szCs w:val="24"/>
        </w:rPr>
        <w:t>非经营性、溢余资产</w:t>
      </w:r>
      <w:r>
        <w:rPr>
          <w:rFonts w:hint="eastAsia" w:ascii="宋体" w:hAnsi="宋体" w:eastAsia="宋体" w:cs="宋体"/>
          <w:b w:val="0"/>
          <w:bCs w:val="0"/>
          <w:sz w:val="24"/>
          <w:szCs w:val="24"/>
          <w:lang w:eastAsia="zh-CN"/>
        </w:rPr>
        <w:t>测算</w:t>
      </w:r>
      <w:r>
        <w:rPr>
          <w:rFonts w:hint="eastAsia" w:ascii="宋体" w:hAnsi="宋体" w:eastAsia="宋体" w:cs="宋体"/>
          <w:color w:val="000000"/>
          <w:lang w:val="en-US" w:eastAsia="zh-CN"/>
        </w:rPr>
        <w:t xml:space="preserve">表                        </w:t>
      </w:r>
      <w:r>
        <w:rPr>
          <w:rFonts w:hint="eastAsia" w:ascii="宋体" w:hAnsi="宋体" w:eastAsia="宋体" w:cs="宋体"/>
          <w:color w:val="000000"/>
        </w:rPr>
        <w:t>单位：万元</w:t>
      </w:r>
    </w:p>
    <w:tbl>
      <w:tblPr>
        <w:tblStyle w:val="3"/>
        <w:tblW w:w="9134" w:type="dxa"/>
        <w:jc w:val="center"/>
        <w:tblLayout w:type="autofit"/>
        <w:tblCellMar>
          <w:top w:w="0" w:type="dxa"/>
          <w:left w:w="108" w:type="dxa"/>
          <w:bottom w:w="0" w:type="dxa"/>
          <w:right w:w="108" w:type="dxa"/>
        </w:tblCellMar>
      </w:tblPr>
      <w:tblGrid>
        <w:gridCol w:w="3340"/>
        <w:gridCol w:w="1276"/>
        <w:gridCol w:w="1134"/>
        <w:gridCol w:w="1701"/>
        <w:gridCol w:w="1683"/>
      </w:tblGrid>
      <w:tr>
        <w:tblPrEx>
          <w:tblCellMar>
            <w:top w:w="0" w:type="dxa"/>
            <w:left w:w="108" w:type="dxa"/>
            <w:bottom w:w="0" w:type="dxa"/>
            <w:right w:w="108" w:type="dxa"/>
          </w:tblCellMar>
        </w:tblPrEx>
        <w:trPr>
          <w:trHeight w:val="270" w:hRule="atLeast"/>
          <w:tblHeader/>
          <w:jc w:val="center"/>
        </w:trPr>
        <w:tc>
          <w:tcPr>
            <w:tcW w:w="33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被投资单位</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投资日期</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持股比例</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账面价值（万元）</w:t>
            </w:r>
          </w:p>
        </w:tc>
        <w:tc>
          <w:tcPr>
            <w:tcW w:w="168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评估价值（万元）</w:t>
            </w:r>
          </w:p>
        </w:tc>
      </w:tr>
      <w:tr>
        <w:tblPrEx>
          <w:tblCellMar>
            <w:top w:w="0" w:type="dxa"/>
            <w:left w:w="108" w:type="dxa"/>
            <w:bottom w:w="0" w:type="dxa"/>
            <w:right w:w="108" w:type="dxa"/>
          </w:tblCellMar>
        </w:tblPrEx>
        <w:trPr>
          <w:trHeight w:val="270" w:hRule="atLeast"/>
          <w:jc w:val="center"/>
        </w:trPr>
        <w:tc>
          <w:tcPr>
            <w:tcW w:w="3340" w:type="dxa"/>
            <w:tcBorders>
              <w:top w:val="nil"/>
              <w:left w:val="single" w:color="auto" w:sz="4" w:space="0"/>
              <w:bottom w:val="single" w:color="auto" w:sz="4" w:space="0"/>
              <w:right w:val="single" w:color="auto" w:sz="4" w:space="0"/>
            </w:tcBorders>
            <w:shd w:val="clear" w:color="auto" w:fill="auto"/>
            <w:noWrap/>
            <w:vAlign w:val="center"/>
          </w:tcPr>
          <w:p>
            <w:pPr>
              <w:ind w:firstLine="1260" w:firstLineChars="600"/>
              <w:jc w:val="center"/>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sz w:val="21"/>
                <w:szCs w:val="21"/>
              </w:rPr>
              <w:t>公司</w:t>
            </w:r>
          </w:p>
        </w:tc>
        <w:tc>
          <w:tcPr>
            <w:tcW w:w="1276" w:type="dxa"/>
            <w:tcBorders>
              <w:top w:val="nil"/>
              <w:left w:val="nil"/>
              <w:bottom w:val="single" w:color="auto" w:sz="4" w:space="0"/>
              <w:right w:val="single" w:color="auto" w:sz="4" w:space="0"/>
            </w:tcBorders>
            <w:shd w:val="clear" w:color="auto" w:fill="auto"/>
            <w:noWrap/>
            <w:vAlign w:val="center"/>
          </w:tcPr>
          <w:p>
            <w:pPr>
              <w:jc w:val="center"/>
              <w:rPr>
                <w:rFonts w:hint="eastAsia" w:ascii="宋体" w:hAnsi="宋体" w:eastAsia="宋体" w:cs="宋体"/>
                <w:sz w:val="21"/>
                <w:szCs w:val="21"/>
                <w:lang w:val="en-US" w:eastAsia="zh-CN"/>
              </w:rPr>
            </w:pPr>
            <w:r>
              <w:rPr>
                <w:rFonts w:hint="eastAsia" w:ascii="宋体" w:hAnsi="宋体" w:eastAsia="宋体" w:cs="宋体"/>
                <w:sz w:val="21"/>
                <w:szCs w:val="21"/>
              </w:rPr>
              <w:t>2018</w:t>
            </w:r>
            <w:r>
              <w:rPr>
                <w:rFonts w:hint="eastAsia" w:ascii="宋体" w:hAnsi="宋体" w:eastAsia="宋体" w:cs="宋体"/>
                <w:sz w:val="21"/>
                <w:szCs w:val="21"/>
                <w:lang w:val="en-US" w:eastAsia="zh-CN"/>
              </w:rPr>
              <w:t>/7</w:t>
            </w:r>
            <w:r>
              <w:rPr>
                <w:rFonts w:hint="eastAsia" w:ascii="宋体" w:hAnsi="宋体" w:eastAsia="宋体" w:cs="宋体"/>
                <w:sz w:val="21"/>
                <w:szCs w:val="21"/>
              </w:rPr>
              <w:t>/</w:t>
            </w:r>
            <w:r>
              <w:rPr>
                <w:rFonts w:hint="eastAsia" w:ascii="宋体" w:hAnsi="宋体" w:eastAsia="宋体" w:cs="宋体"/>
                <w:sz w:val="21"/>
                <w:szCs w:val="21"/>
                <w:lang w:val="en-US" w:eastAsia="zh-CN"/>
              </w:rPr>
              <w:t>25</w:t>
            </w:r>
          </w:p>
        </w:tc>
        <w:tc>
          <w:tcPr>
            <w:tcW w:w="1134" w:type="dxa"/>
            <w:tcBorders>
              <w:top w:val="nil"/>
              <w:left w:val="nil"/>
              <w:bottom w:val="single" w:color="auto" w:sz="4" w:space="0"/>
              <w:right w:val="single" w:color="auto" w:sz="4" w:space="0"/>
            </w:tcBorders>
            <w:shd w:val="clear" w:color="auto" w:fill="auto"/>
            <w:noWrap/>
            <w:vAlign w:val="center"/>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10</w:t>
            </w:r>
            <w:r>
              <w:rPr>
                <w:rFonts w:hint="eastAsia" w:ascii="宋体" w:hAnsi="宋体" w:eastAsia="宋体" w:cs="宋体"/>
                <w:sz w:val="21"/>
                <w:szCs w:val="21"/>
              </w:rPr>
              <w:t>.8</w:t>
            </w:r>
            <w:r>
              <w:rPr>
                <w:rFonts w:hint="eastAsia" w:ascii="宋体" w:hAnsi="宋体" w:eastAsia="宋体" w:cs="宋体"/>
                <w:sz w:val="21"/>
                <w:szCs w:val="21"/>
                <w:lang w:val="en-US" w:eastAsia="zh-CN"/>
              </w:rPr>
              <w:t>3</w:t>
            </w:r>
            <w:r>
              <w:rPr>
                <w:rFonts w:hint="eastAsia" w:ascii="宋体" w:hAnsi="宋体" w:eastAsia="宋体" w:cs="宋体"/>
                <w:sz w:val="21"/>
                <w:szCs w:val="21"/>
              </w:rPr>
              <w:t>%</w:t>
            </w:r>
          </w:p>
        </w:tc>
        <w:tc>
          <w:tcPr>
            <w:tcW w:w="1701" w:type="dxa"/>
            <w:tcBorders>
              <w:top w:val="nil"/>
              <w:left w:val="nil"/>
              <w:bottom w:val="single" w:color="auto" w:sz="4" w:space="0"/>
              <w:right w:val="single" w:color="auto" w:sz="4" w:space="0"/>
            </w:tcBorders>
            <w:shd w:val="clear" w:color="auto" w:fill="auto"/>
            <w:noWrap/>
            <w:vAlign w:val="center"/>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5</w:t>
            </w:r>
            <w:r>
              <w:rPr>
                <w:rFonts w:hint="eastAsia" w:ascii="宋体" w:hAnsi="宋体" w:eastAsia="宋体" w:cs="宋体"/>
                <w:sz w:val="21"/>
                <w:szCs w:val="21"/>
              </w:rPr>
              <w:t>7,500.00</w:t>
            </w:r>
          </w:p>
        </w:tc>
        <w:tc>
          <w:tcPr>
            <w:tcW w:w="1683" w:type="dxa"/>
            <w:tcBorders>
              <w:top w:val="nil"/>
              <w:left w:val="nil"/>
              <w:bottom w:val="single" w:color="auto" w:sz="4" w:space="0"/>
              <w:right w:val="single" w:color="auto" w:sz="4" w:space="0"/>
            </w:tcBorders>
            <w:shd w:val="clear" w:color="auto" w:fill="auto"/>
            <w:noWrap/>
            <w:vAlign w:val="center"/>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6</w:t>
            </w:r>
            <w:r>
              <w:rPr>
                <w:rFonts w:hint="eastAsia" w:ascii="宋体" w:hAnsi="宋体" w:eastAsia="宋体" w:cs="宋体"/>
                <w:sz w:val="21"/>
                <w:szCs w:val="21"/>
              </w:rPr>
              <w:t>2,204.86</w:t>
            </w:r>
          </w:p>
        </w:tc>
      </w:tr>
    </w:tbl>
    <w:p>
      <w:pPr>
        <w:tabs>
          <w:tab w:val="left" w:pos="840"/>
          <w:tab w:val="left" w:pos="1050"/>
        </w:tabs>
        <w:spacing w:line="360" w:lineRule="auto"/>
        <w:ind w:firstLine="480" w:firstLineChars="20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w:t>
      </w:r>
      <w:r>
        <w:rPr>
          <w:rFonts w:hint="eastAsia" w:ascii="宋体" w:hAnsi="宋体" w:eastAsia="宋体" w:cs="宋体"/>
          <w:b w:val="0"/>
          <w:bCs w:val="0"/>
          <w:color w:val="000000"/>
          <w:sz w:val="24"/>
          <w:szCs w:val="24"/>
        </w:rPr>
        <w:t>非经营性、溢余负债价值的估算</w:t>
      </w:r>
    </w:p>
    <w:p>
      <w:pPr>
        <w:tabs>
          <w:tab w:val="left" w:pos="840"/>
          <w:tab w:val="left" w:pos="1050"/>
        </w:tabs>
        <w:spacing w:line="360" w:lineRule="auto"/>
        <w:ind w:firstLine="480" w:firstLineChars="20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被评估单位溢余负债为递延所得税负债，金额为</w:t>
      </w:r>
      <w:r>
        <w:rPr>
          <w:rFonts w:hint="eastAsia" w:ascii="宋体" w:hAnsi="宋体" w:eastAsia="宋体" w:cs="宋体"/>
          <w:b w:val="0"/>
          <w:bCs w:val="0"/>
          <w:color w:val="000000"/>
          <w:sz w:val="24"/>
          <w:szCs w:val="24"/>
          <w:lang w:val="en-US" w:eastAsia="zh-CN"/>
        </w:rPr>
        <w:t>265.25</w:t>
      </w:r>
      <w:r>
        <w:rPr>
          <w:rFonts w:hint="eastAsia" w:ascii="宋体" w:hAnsi="宋体" w:eastAsia="宋体" w:cs="宋体"/>
          <w:b w:val="0"/>
          <w:bCs w:val="0"/>
          <w:color w:val="000000"/>
          <w:sz w:val="24"/>
          <w:szCs w:val="24"/>
        </w:rPr>
        <w:t>万元。</w:t>
      </w:r>
    </w:p>
    <w:p>
      <w:pPr>
        <w:tabs>
          <w:tab w:val="left" w:pos="840"/>
          <w:tab w:val="left" w:pos="1050"/>
        </w:tabs>
        <w:spacing w:line="360" w:lineRule="auto"/>
        <w:ind w:firstLine="480" w:firstLineChars="200"/>
        <w:rPr>
          <w:rFonts w:hint="eastAsia" w:ascii="宋体" w:hAnsi="宋体" w:eastAsia="宋体" w:cs="宋体"/>
          <w:b w:val="0"/>
          <w:bCs w:val="0"/>
          <w:color w:val="000000"/>
          <w:sz w:val="24"/>
          <w:szCs w:val="24"/>
        </w:rPr>
      </w:pPr>
      <w:bookmarkStart w:id="4" w:name="_Toc10968863"/>
      <w:bookmarkStart w:id="5" w:name="_Toc1552305"/>
      <w:r>
        <w:rPr>
          <w:rFonts w:hint="eastAsia" w:ascii="宋体" w:hAnsi="宋体" w:eastAsia="宋体" w:cs="宋体"/>
          <w:b w:val="0"/>
          <w:bCs w:val="0"/>
          <w:color w:val="000000"/>
          <w:sz w:val="24"/>
          <w:szCs w:val="24"/>
          <w:lang w:eastAsia="zh-CN"/>
        </w:rPr>
        <w:t>（十六）</w:t>
      </w:r>
      <w:r>
        <w:rPr>
          <w:rFonts w:hint="eastAsia" w:ascii="宋体" w:hAnsi="宋体" w:eastAsia="宋体" w:cs="宋体"/>
          <w:b w:val="0"/>
          <w:bCs w:val="0"/>
          <w:color w:val="000000"/>
          <w:sz w:val="24"/>
          <w:szCs w:val="24"/>
        </w:rPr>
        <w:t>股东全部权益的市场价值确定</w:t>
      </w:r>
      <w:bookmarkEnd w:id="4"/>
      <w:bookmarkEnd w:id="5"/>
    </w:p>
    <w:p>
      <w:pPr>
        <w:tabs>
          <w:tab w:val="left" w:pos="840"/>
          <w:tab w:val="left" w:pos="1050"/>
        </w:tabs>
        <w:spacing w:line="360" w:lineRule="auto"/>
        <w:ind w:firstLine="480" w:firstLineChars="20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通过以上测算，根据公式股东全部权益的市场价值=主营业务价值+其他资产价值，最终计算</w:t>
      </w:r>
      <w:r>
        <w:rPr>
          <w:rFonts w:hint="eastAsia" w:ascii="宋体" w:hAnsi="宋体" w:eastAsia="宋体" w:cs="宋体"/>
          <w:b w:val="0"/>
          <w:bCs w:val="0"/>
          <w:color w:val="000000"/>
          <w:sz w:val="24"/>
          <w:szCs w:val="24"/>
          <w:lang w:eastAsia="zh-CN"/>
        </w:rPr>
        <w:t>K公司</w:t>
      </w:r>
      <w:r>
        <w:rPr>
          <w:rFonts w:hint="eastAsia" w:ascii="宋体" w:hAnsi="宋体" w:eastAsia="宋体" w:cs="宋体"/>
          <w:b w:val="0"/>
          <w:bCs w:val="0"/>
          <w:color w:val="000000"/>
          <w:sz w:val="24"/>
          <w:szCs w:val="24"/>
        </w:rPr>
        <w:t xml:space="preserve">评估基准日股东全部权益的市场价值为178,076.98万元。 </w:t>
      </w:r>
    </w:p>
    <w:p>
      <w:pPr>
        <w:numPr>
          <w:ilvl w:val="0"/>
          <w:numId w:val="0"/>
        </w:numPr>
        <w:spacing w:line="360" w:lineRule="auto"/>
        <w:ind w:left="420" w:leftChars="0"/>
        <w:rPr>
          <w:rFonts w:ascii="宋体" w:hAnsi="宋体" w:eastAsia="宋体" w:cs="宋体"/>
          <w:sz w:val="24"/>
          <w:szCs w:val="24"/>
        </w:rPr>
      </w:pPr>
      <w:r>
        <w:rPr>
          <w:rFonts w:hint="eastAsia" w:ascii="宋体" w:hAnsi="宋体" w:eastAsia="宋体" w:cs="宋体"/>
          <w:sz w:val="24"/>
          <w:szCs w:val="24"/>
          <w:lang w:eastAsia="zh-CN"/>
        </w:rPr>
        <w:t>三、</w:t>
      </w:r>
      <w:r>
        <w:rPr>
          <w:rFonts w:ascii="宋体" w:hAnsi="宋体" w:eastAsia="宋体" w:cs="宋体"/>
          <w:sz w:val="24"/>
          <w:szCs w:val="24"/>
        </w:rPr>
        <w:t xml:space="preserve">研究启示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eastAsia="宋体" w:cs="等线"/>
          <w:color w:val="000000"/>
          <w:szCs w:val="24"/>
          <w:lang w:eastAsia="zh-CN"/>
        </w:rPr>
      </w:pPr>
      <w:r>
        <w:rPr>
          <w:rFonts w:ascii="宋体" w:hAnsi="宋体" w:eastAsia="宋体" w:cs="宋体"/>
          <w:sz w:val="24"/>
          <w:szCs w:val="24"/>
        </w:rPr>
        <w:t>基于</w:t>
      </w:r>
      <w:r>
        <w:rPr>
          <w:rFonts w:hint="eastAsia" w:ascii="宋体" w:hAnsi="宋体" w:eastAsia="宋体" w:cs="宋体"/>
          <w:sz w:val="24"/>
          <w:szCs w:val="24"/>
          <w:lang w:eastAsia="zh-CN"/>
        </w:rPr>
        <w:t>股权自由现金流模型</w:t>
      </w:r>
      <w:r>
        <w:rPr>
          <w:rFonts w:ascii="宋体" w:hAnsi="宋体" w:eastAsia="宋体" w:cs="宋体"/>
          <w:sz w:val="24"/>
          <w:szCs w:val="24"/>
        </w:rPr>
        <w:t>估值方法对</w:t>
      </w:r>
      <w:r>
        <w:rPr>
          <w:rFonts w:hint="eastAsia" w:ascii="宋体" w:hAnsi="宋体" w:eastAsia="宋体" w:cs="宋体"/>
          <w:sz w:val="24"/>
          <w:szCs w:val="24"/>
          <w:lang w:val="en-US" w:eastAsia="zh-CN"/>
        </w:rPr>
        <w:t>K公司</w:t>
      </w:r>
      <w:r>
        <w:rPr>
          <w:rFonts w:ascii="宋体" w:hAnsi="宋体" w:eastAsia="宋体" w:cs="宋体"/>
          <w:sz w:val="24"/>
          <w:szCs w:val="24"/>
        </w:rPr>
        <w:t>价值评估，研究表明，</w:t>
      </w:r>
      <w:r>
        <w:rPr>
          <w:rFonts w:hint="eastAsia" w:ascii="宋体" w:hAnsi="宋体" w:eastAsia="宋体" w:cs="宋体"/>
          <w:sz w:val="24"/>
          <w:szCs w:val="24"/>
          <w:lang w:eastAsia="zh-CN"/>
        </w:rPr>
        <w:t>股权自由现金流量</w:t>
      </w:r>
      <w:r>
        <w:rPr>
          <w:rFonts w:ascii="宋体" w:hAnsi="宋体" w:eastAsia="宋体" w:cs="宋体"/>
          <w:sz w:val="24"/>
          <w:szCs w:val="24"/>
        </w:rPr>
        <w:t>对于</w:t>
      </w:r>
      <w:r>
        <w:rPr>
          <w:rFonts w:hint="eastAsia" w:ascii="宋体" w:hAnsi="宋体" w:eastAsia="宋体" w:cs="宋体"/>
          <w:sz w:val="24"/>
          <w:szCs w:val="24"/>
          <w:lang w:eastAsia="zh-CN"/>
        </w:rPr>
        <w:t>商业保理公司</w:t>
      </w:r>
      <w:r>
        <w:rPr>
          <w:rFonts w:ascii="宋体" w:hAnsi="宋体" w:eastAsia="宋体" w:cs="宋体"/>
          <w:sz w:val="24"/>
          <w:szCs w:val="24"/>
        </w:rPr>
        <w:t>自身来说非常重要。商业</w:t>
      </w:r>
      <w:r>
        <w:rPr>
          <w:rFonts w:hint="eastAsia" w:ascii="宋体" w:hAnsi="宋体" w:eastAsia="宋体" w:cs="宋体"/>
          <w:sz w:val="24"/>
          <w:szCs w:val="24"/>
          <w:lang w:eastAsia="zh-CN"/>
        </w:rPr>
        <w:t>保理</w:t>
      </w:r>
      <w:r>
        <w:rPr>
          <w:rFonts w:ascii="宋体" w:hAnsi="宋体" w:eastAsia="宋体" w:cs="宋体"/>
          <w:sz w:val="24"/>
          <w:szCs w:val="24"/>
        </w:rPr>
        <w:t>作为我国</w:t>
      </w:r>
      <w:r>
        <w:rPr>
          <w:rFonts w:hint="eastAsia" w:ascii="宋体" w:hAnsi="宋体" w:eastAsia="宋体" w:cs="宋体"/>
          <w:sz w:val="24"/>
          <w:szCs w:val="24"/>
          <w:lang w:eastAsia="zh-CN"/>
        </w:rPr>
        <w:t>保理行业</w:t>
      </w:r>
      <w:r>
        <w:rPr>
          <w:rFonts w:ascii="宋体" w:hAnsi="宋体" w:eastAsia="宋体" w:cs="宋体"/>
          <w:sz w:val="24"/>
          <w:szCs w:val="24"/>
        </w:rPr>
        <w:t>的一个重要组成部分，既要发挥其服务贸易融资的功能，也要注重</w:t>
      </w:r>
      <w:r>
        <w:rPr>
          <w:rFonts w:hint="eastAsia" w:ascii="宋体" w:hAnsi="宋体" w:eastAsia="宋体" w:cs="宋体"/>
          <w:sz w:val="24"/>
          <w:szCs w:val="24"/>
          <w:lang w:eastAsia="zh-CN"/>
        </w:rPr>
        <w:t>商业保理公司</w:t>
      </w:r>
      <w:r>
        <w:rPr>
          <w:rFonts w:ascii="宋体" w:hAnsi="宋体" w:eastAsia="宋体" w:cs="宋体"/>
          <w:sz w:val="24"/>
          <w:szCs w:val="24"/>
        </w:rPr>
        <w:t>自身的发展壮大。</w:t>
      </w:r>
      <w:r>
        <w:rPr>
          <w:rFonts w:hint="eastAsia" w:ascii="宋体" w:hAnsi="宋体" w:eastAsia="宋体" w:cs="宋体"/>
          <w:sz w:val="24"/>
          <w:szCs w:val="24"/>
          <w:lang w:eastAsia="zh-CN"/>
        </w:rPr>
        <w:t>正确地对商业保理公司进行价值评估，显得尤为重要。</w:t>
      </w:r>
    </w:p>
    <w:p>
      <w:pPr>
        <w:widowControl/>
        <w:jc w:val="left"/>
        <w:rPr>
          <w:rFonts w:ascii="Arial Narrow" w:hAnsi="Arial Narrow" w:eastAsia="仿宋_GB2312" w:cs="等线"/>
          <w:color w:val="000000"/>
          <w:sz w:val="24"/>
        </w:rPr>
      </w:pPr>
      <w:r>
        <w:rPr>
          <w:rFonts w:eastAsia="仿宋_GB2312" w:cs="等线"/>
          <w:color w:val="000000"/>
          <w:szCs w:val="24"/>
        </w:rPr>
        <w:br w:type="page"/>
      </w:r>
    </w:p>
    <w:p>
      <w:pPr>
        <w:spacing w:line="360" w:lineRule="auto"/>
        <w:ind w:firstLine="480" w:firstLineChars="200"/>
        <w:rPr>
          <w:rFonts w:ascii="宋体" w:hAnsi="宋体" w:eastAsia="宋体" w:cs="宋体"/>
          <w:sz w:val="24"/>
          <w:szCs w:val="24"/>
        </w:rPr>
      </w:pP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参考文献</w:t>
      </w:r>
    </w:p>
    <w:p>
      <w:pPr>
        <w:numPr>
          <w:ilvl w:val="0"/>
          <w:numId w:val="3"/>
        </w:numPr>
        <w:spacing w:line="360" w:lineRule="auto"/>
        <w:ind w:firstLine="480" w:firstLineChars="200"/>
        <w:rPr>
          <w:rFonts w:ascii="宋体" w:hAnsi="宋体" w:eastAsia="宋体" w:cs="宋体"/>
          <w:sz w:val="24"/>
          <w:szCs w:val="24"/>
        </w:rPr>
      </w:pPr>
      <w:r>
        <w:rPr>
          <w:rFonts w:ascii="宋体" w:hAnsi="宋体" w:eastAsia="宋体" w:cs="宋体"/>
          <w:sz w:val="24"/>
          <w:szCs w:val="24"/>
        </w:rPr>
        <w:t>韩家平，关于保理业务的几点认识，孔炯炯等主编，商业保理概论，复旦大学出版社，2016 年。</w:t>
      </w:r>
    </w:p>
    <w:p>
      <w:pPr>
        <w:numPr>
          <w:numId w:val="0"/>
        </w:numPr>
        <w:spacing w:line="360" w:lineRule="auto"/>
        <w:rPr>
          <w:rFonts w:ascii="宋体" w:hAnsi="宋体" w:eastAsia="宋体" w:cs="宋体"/>
          <w:sz w:val="24"/>
          <w:szCs w:val="24"/>
        </w:rPr>
      </w:pPr>
    </w:p>
    <w:p>
      <w:pPr>
        <w:numPr>
          <w:numId w:val="0"/>
        </w:numPr>
        <w:spacing w:line="360" w:lineRule="auto"/>
        <w:ind w:firstLine="480" w:firstLineChars="200"/>
        <w:rPr>
          <w:rFonts w:hint="eastAsia" w:ascii="宋体" w:hAnsi="宋体" w:eastAsia="宋体" w:cs="宋体"/>
          <w:sz w:val="24"/>
          <w:szCs w:val="24"/>
          <w:lang w:eastAsia="zh-CN"/>
        </w:rPr>
      </w:pPr>
      <w:bookmarkStart w:id="6" w:name="_GoBack"/>
      <w:bookmarkEnd w:id="6"/>
      <w:r>
        <w:rPr>
          <w:rFonts w:hint="eastAsia" w:ascii="宋体" w:hAnsi="宋体" w:eastAsia="宋体" w:cs="宋体"/>
          <w:sz w:val="24"/>
          <w:szCs w:val="24"/>
        </w:rPr>
        <w:t>作者简介：</w:t>
      </w:r>
      <w:r>
        <w:rPr>
          <w:rFonts w:hint="eastAsia" w:ascii="宋体" w:hAnsi="宋体" w:eastAsia="宋体" w:cs="宋体"/>
          <w:sz w:val="24"/>
          <w:szCs w:val="24"/>
          <w:lang w:eastAsia="zh-CN"/>
        </w:rPr>
        <w:t>杨洋</w:t>
      </w:r>
      <w:r>
        <w:rPr>
          <w:rFonts w:hint="eastAsia" w:ascii="宋体" w:hAnsi="宋体" w:eastAsia="宋体" w:cs="宋体"/>
          <w:sz w:val="24"/>
          <w:szCs w:val="24"/>
        </w:rPr>
        <w:t>(</w:t>
      </w:r>
      <w:r>
        <w:rPr>
          <w:rFonts w:hint="eastAsia" w:ascii="宋体" w:hAnsi="宋体" w:eastAsia="宋体" w:cs="宋体"/>
          <w:sz w:val="24"/>
          <w:szCs w:val="24"/>
          <w:lang w:val="en-US" w:eastAsia="zh-CN"/>
        </w:rPr>
        <w:t>1990</w:t>
      </w:r>
      <w:r>
        <w:rPr>
          <w:rFonts w:hint="eastAsia" w:ascii="宋体" w:hAnsi="宋体" w:eastAsia="宋体" w:cs="宋体"/>
          <w:sz w:val="24"/>
          <w:szCs w:val="24"/>
        </w:rPr>
        <w:t>-)，</w:t>
      </w:r>
      <w:r>
        <w:rPr>
          <w:rFonts w:hint="eastAsia" w:ascii="宋体" w:hAnsi="宋体" w:eastAsia="宋体" w:cs="宋体"/>
          <w:sz w:val="24"/>
          <w:szCs w:val="24"/>
          <w:lang w:eastAsia="zh-CN"/>
        </w:rPr>
        <w:t>男</w:t>
      </w:r>
      <w:r>
        <w:rPr>
          <w:rFonts w:hint="eastAsia" w:ascii="宋体" w:hAnsi="宋体" w:eastAsia="宋体" w:cs="宋体"/>
          <w:sz w:val="24"/>
          <w:szCs w:val="24"/>
        </w:rPr>
        <w:t>(汉族)，</w:t>
      </w:r>
      <w:r>
        <w:rPr>
          <w:rFonts w:hint="eastAsia" w:ascii="宋体" w:hAnsi="宋体" w:eastAsia="宋体" w:cs="宋体"/>
          <w:sz w:val="24"/>
          <w:szCs w:val="24"/>
          <w:lang w:eastAsia="zh-CN"/>
        </w:rPr>
        <w:t>重庆市</w:t>
      </w:r>
      <w:r>
        <w:rPr>
          <w:rFonts w:hint="eastAsia" w:ascii="宋体" w:hAnsi="宋体" w:eastAsia="宋体" w:cs="宋体"/>
          <w:sz w:val="24"/>
          <w:szCs w:val="24"/>
        </w:rPr>
        <w:t>，</w:t>
      </w:r>
      <w:r>
        <w:rPr>
          <w:rFonts w:hint="eastAsia" w:ascii="宋体" w:hAnsi="宋体" w:eastAsia="宋体" w:cs="宋体"/>
          <w:sz w:val="24"/>
          <w:szCs w:val="24"/>
          <w:lang w:eastAsia="zh-CN"/>
        </w:rPr>
        <w:t>重庆工商大学融智学院助教</w:t>
      </w:r>
      <w:r>
        <w:rPr>
          <w:rFonts w:hint="eastAsia" w:ascii="宋体" w:hAnsi="宋体" w:eastAsia="宋体" w:cs="宋体"/>
          <w:sz w:val="24"/>
          <w:szCs w:val="24"/>
        </w:rPr>
        <w:t>，</w:t>
      </w:r>
      <w:r>
        <w:rPr>
          <w:rFonts w:hint="eastAsia" w:ascii="宋体" w:hAnsi="宋体" w:eastAsia="宋体" w:cs="宋体"/>
          <w:sz w:val="24"/>
          <w:szCs w:val="24"/>
          <w:lang w:eastAsia="zh-CN"/>
        </w:rPr>
        <w:t>注册房地产估价师，资产评估师。研究方向：企业价值评估，房地产评估</w:t>
      </w:r>
      <w:r>
        <w:rPr>
          <w:rFonts w:hint="eastAsia" w:ascii="宋体" w:hAnsi="宋体" w:eastAsia="宋体" w:cs="宋体"/>
          <w:sz w:val="24"/>
          <w:szCs w:val="24"/>
        </w:rPr>
        <w:t>。</w:t>
      </w:r>
    </w:p>
    <w:p>
      <w:pPr>
        <w:numPr>
          <w:ilvl w:val="0"/>
          <w:numId w:val="0"/>
        </w:numPr>
        <w:spacing w:line="360" w:lineRule="auto"/>
        <w:rPr>
          <w:rFonts w:ascii="Arial Narrow" w:hAnsi="Arial Narrow" w:eastAsia="仿宋_GB2312" w:cs="等线"/>
          <w:sz w:val="24"/>
        </w:rPr>
      </w:pPr>
    </w:p>
    <w:p>
      <w:pPr>
        <w:numPr>
          <w:ilvl w:val="0"/>
          <w:numId w:val="0"/>
        </w:numPr>
        <w:spacing w:line="360" w:lineRule="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2010609030101010101"/>
    <w:charset w:val="86"/>
    <w:family w:val="modern"/>
    <w:pitch w:val="default"/>
    <w:sig w:usb0="00000000" w:usb1="00000000" w:usb2="00000010" w:usb3="00000000" w:csb0="00040000" w:csb1="00000000"/>
  </w:font>
  <w:font w:name="等线">
    <w:altName w:val="Arial Unicode MS"/>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31473"/>
    <w:multiLevelType w:val="singleLevel"/>
    <w:tmpl w:val="45331473"/>
    <w:lvl w:ilvl="0" w:tentative="0">
      <w:start w:val="1"/>
      <w:numFmt w:val="decimal"/>
      <w:suff w:val="space"/>
      <w:lvlText w:val="%1."/>
      <w:lvlJc w:val="left"/>
    </w:lvl>
  </w:abstractNum>
  <w:abstractNum w:abstractNumId="1">
    <w:nsid w:val="52A3B589"/>
    <w:multiLevelType w:val="singleLevel"/>
    <w:tmpl w:val="52A3B589"/>
    <w:lvl w:ilvl="0" w:tentative="0">
      <w:start w:val="2"/>
      <w:numFmt w:val="chineseCounting"/>
      <w:suff w:val="nothing"/>
      <w:lvlText w:val="%1、"/>
      <w:lvlJc w:val="left"/>
      <w:rPr>
        <w:rFonts w:hint="eastAsia"/>
      </w:rPr>
    </w:lvl>
  </w:abstractNum>
  <w:abstractNum w:abstractNumId="2">
    <w:nsid w:val="7C7C72F1"/>
    <w:multiLevelType w:val="multilevel"/>
    <w:tmpl w:val="7C7C72F1"/>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428AC"/>
    <w:rsid w:val="08A268C5"/>
    <w:rsid w:val="0F6A363D"/>
    <w:rsid w:val="1256060F"/>
    <w:rsid w:val="150B6D76"/>
    <w:rsid w:val="26E0455F"/>
    <w:rsid w:val="28701196"/>
    <w:rsid w:val="28B10657"/>
    <w:rsid w:val="2BE62C01"/>
    <w:rsid w:val="2EE431C6"/>
    <w:rsid w:val="329B6432"/>
    <w:rsid w:val="32F4570A"/>
    <w:rsid w:val="375065B8"/>
    <w:rsid w:val="37C6380F"/>
    <w:rsid w:val="3880182C"/>
    <w:rsid w:val="39A461F7"/>
    <w:rsid w:val="3BF5787E"/>
    <w:rsid w:val="3C4D6987"/>
    <w:rsid w:val="3FA767ED"/>
    <w:rsid w:val="4AE06733"/>
    <w:rsid w:val="54D02997"/>
    <w:rsid w:val="572D58E9"/>
    <w:rsid w:val="5A1E73A9"/>
    <w:rsid w:val="5D6B72A0"/>
    <w:rsid w:val="5EB96B8B"/>
    <w:rsid w:val="5F6B0B7E"/>
    <w:rsid w:val="681F6E19"/>
    <w:rsid w:val="6FC92E32"/>
    <w:rsid w:val="718471A2"/>
    <w:rsid w:val="749351C6"/>
    <w:rsid w:val="77C74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pPr>
  </w:style>
  <w:style w:type="paragraph" w:customStyle="1" w:styleId="5">
    <w:name w:val="zw"/>
    <w:basedOn w:val="1"/>
    <w:qFormat/>
    <w:uiPriority w:val="0"/>
    <w:pPr>
      <w:adjustRightInd w:val="0"/>
      <w:spacing w:line="360" w:lineRule="auto"/>
      <w:ind w:firstLine="482"/>
      <w:textAlignment w:val="baseline"/>
    </w:pPr>
    <w:rPr>
      <w:rFonts w:ascii="Arial Narrow" w:hAnsi="Arial Narrow" w:eastAsia="仿宋_GB2312"/>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2019-12-23T08:28:00Z</dcterms:created>
  <dc:creator>Administrator</dc:creator>
  <cp:lastModifiedBy>Administrator</cp:lastModifiedBy>
  <dcterms:modified xsi:type="dcterms:W3CDTF">2019-12-27T02:33:25Z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