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219B" w:rsidRDefault="00EF6A94">
      <w:pPr>
        <w:spacing w:line="400" w:lineRule="exact"/>
        <w:jc w:val="center"/>
        <w:rPr>
          <w:rFonts w:ascii="黑体" w:eastAsia="黑体" w:hAnsi="黑体" w:cs="黑体"/>
          <w:b/>
          <w:sz w:val="30"/>
          <w:szCs w:val="30"/>
        </w:rPr>
      </w:pPr>
      <w:r>
        <w:rPr>
          <w:rFonts w:ascii="黑体" w:eastAsia="黑体" w:hAnsi="黑体" w:cs="黑体" w:hint="eastAsia"/>
          <w:b/>
          <w:sz w:val="30"/>
          <w:szCs w:val="30"/>
        </w:rPr>
        <w:t>流程化护理在恶淋巴</w:t>
      </w:r>
      <w:proofErr w:type="gramStart"/>
      <w:r>
        <w:rPr>
          <w:rFonts w:ascii="黑体" w:eastAsia="黑体" w:hAnsi="黑体" w:cs="黑体" w:hint="eastAsia"/>
          <w:b/>
          <w:sz w:val="30"/>
          <w:szCs w:val="30"/>
        </w:rPr>
        <w:t>瘤利妥昔单抗靶向治疗</w:t>
      </w:r>
      <w:proofErr w:type="gramEnd"/>
      <w:r>
        <w:rPr>
          <w:rFonts w:ascii="黑体" w:eastAsia="黑体" w:hAnsi="黑体" w:cs="黑体" w:hint="eastAsia"/>
          <w:b/>
          <w:sz w:val="30"/>
          <w:szCs w:val="30"/>
        </w:rPr>
        <w:t>中的应用研究</w:t>
      </w:r>
    </w:p>
    <w:p w:rsidR="0042219B" w:rsidRDefault="00EF6A94">
      <w:pPr>
        <w:spacing w:line="400" w:lineRule="exact"/>
        <w:jc w:val="center"/>
        <w:rPr>
          <w:rFonts w:ascii="楷体_GB2312" w:eastAsia="楷体_GB2312" w:hAnsi="楷体_GB2312" w:cs="楷体_GB2312"/>
          <w:bCs/>
          <w:sz w:val="24"/>
        </w:rPr>
      </w:pPr>
      <w:r>
        <w:rPr>
          <w:rFonts w:ascii="楷体_GB2312" w:eastAsia="楷体_GB2312" w:hAnsi="楷体_GB2312" w:cs="楷体_GB2312" w:hint="eastAsia"/>
          <w:bCs/>
          <w:sz w:val="24"/>
        </w:rPr>
        <w:t>刘琼</w:t>
      </w:r>
      <w:r>
        <w:rPr>
          <w:rFonts w:ascii="楷体_GB2312" w:eastAsia="楷体_GB2312" w:hAnsi="楷体_GB2312" w:cs="楷体_GB2312" w:hint="eastAsia"/>
          <w:bCs/>
          <w:sz w:val="24"/>
          <w:vertAlign w:val="superscript"/>
        </w:rPr>
        <w:t>1</w:t>
      </w:r>
      <w:r>
        <w:rPr>
          <w:rFonts w:ascii="楷体_GB2312" w:eastAsia="楷体_GB2312" w:hAnsi="楷体_GB2312" w:cs="楷体_GB2312" w:hint="eastAsia"/>
          <w:bCs/>
          <w:sz w:val="24"/>
        </w:rPr>
        <w:t>，信红亚</w:t>
      </w:r>
      <w:r>
        <w:rPr>
          <w:rFonts w:ascii="楷体_GB2312" w:eastAsia="楷体_GB2312" w:hAnsi="楷体_GB2312" w:cs="楷体_GB2312" w:hint="eastAsia"/>
          <w:bCs/>
          <w:sz w:val="24"/>
          <w:vertAlign w:val="superscript"/>
        </w:rPr>
        <w:t>2</w:t>
      </w:r>
      <w:r>
        <w:rPr>
          <w:rFonts w:ascii="楷体_GB2312" w:eastAsia="楷体_GB2312" w:hAnsi="楷体_GB2312" w:cs="楷体_GB2312" w:hint="eastAsia"/>
          <w:bCs/>
          <w:sz w:val="24"/>
        </w:rPr>
        <w:t>*，欧阳玉燕</w:t>
      </w:r>
      <w:r>
        <w:rPr>
          <w:rFonts w:ascii="楷体_GB2312" w:eastAsia="楷体_GB2312" w:hAnsi="楷体_GB2312" w:cs="楷体_GB2312" w:hint="eastAsia"/>
          <w:bCs/>
          <w:sz w:val="24"/>
          <w:vertAlign w:val="superscript"/>
        </w:rPr>
        <w:t>3</w:t>
      </w:r>
    </w:p>
    <w:p w:rsidR="0042219B" w:rsidRDefault="00EF6A94">
      <w:pPr>
        <w:spacing w:line="400" w:lineRule="exact"/>
        <w:jc w:val="center"/>
        <w:rPr>
          <w:rFonts w:ascii="楷体_GB2312" w:eastAsia="楷体_GB2312" w:hAnsi="楷体_GB2312" w:cs="楷体_GB2312"/>
          <w:bCs/>
          <w:sz w:val="24"/>
        </w:rPr>
      </w:pPr>
      <w:r>
        <w:rPr>
          <w:rFonts w:ascii="楷体_GB2312" w:eastAsia="楷体_GB2312" w:hAnsi="楷体_GB2312" w:cs="楷体_GB2312" w:hint="eastAsia"/>
          <w:bCs/>
          <w:sz w:val="24"/>
        </w:rPr>
        <w:t>(1,2,3中南大学湘雅医院血液科</w:t>
      </w:r>
      <w:proofErr w:type="gramStart"/>
      <w:r>
        <w:rPr>
          <w:rFonts w:ascii="楷体_GB2312" w:eastAsia="楷体_GB2312" w:hAnsi="楷体_GB2312" w:cs="楷体_GB2312" w:hint="eastAsia"/>
          <w:bCs/>
          <w:sz w:val="24"/>
        </w:rPr>
        <w:t>淋巴瘤亚专科</w:t>
      </w:r>
      <w:proofErr w:type="gramEnd"/>
      <w:r>
        <w:rPr>
          <w:rFonts w:ascii="楷体_GB2312" w:eastAsia="楷体_GB2312" w:hAnsi="楷体_GB2312" w:cs="楷体_GB2312" w:hint="eastAsia"/>
          <w:bCs/>
          <w:sz w:val="24"/>
        </w:rPr>
        <w:t>，湖南 长沙 410000)</w:t>
      </w:r>
    </w:p>
    <w:p w:rsidR="0042219B" w:rsidRDefault="00EF6A94">
      <w:pPr>
        <w:spacing w:line="400" w:lineRule="exact"/>
        <w:rPr>
          <w:rFonts w:ascii="楷体_GB2312" w:eastAsia="楷体_GB2312" w:hAnsi="楷体_GB2312" w:cs="楷体_GB2312"/>
          <w:szCs w:val="21"/>
        </w:rPr>
      </w:pPr>
      <w:r>
        <w:rPr>
          <w:rFonts w:ascii="楷体_GB2312" w:eastAsia="楷体_GB2312" w:hAnsi="楷体_GB2312" w:cs="楷体_GB2312" w:hint="eastAsia"/>
          <w:b/>
          <w:bCs/>
          <w:szCs w:val="21"/>
        </w:rPr>
        <w:t>摘要：目的</w:t>
      </w:r>
      <w:r>
        <w:rPr>
          <w:rFonts w:ascii="楷体_GB2312" w:eastAsia="楷体_GB2312" w:hAnsi="楷体_GB2312" w:cs="楷体_GB2312" w:hint="eastAsia"/>
          <w:szCs w:val="21"/>
        </w:rPr>
        <w:t xml:space="preserve"> 探讨和分析流程化护理在恶淋巴</w:t>
      </w:r>
      <w:proofErr w:type="gramStart"/>
      <w:r>
        <w:rPr>
          <w:rFonts w:ascii="楷体_GB2312" w:eastAsia="楷体_GB2312" w:hAnsi="楷体_GB2312" w:cs="楷体_GB2312" w:hint="eastAsia"/>
          <w:szCs w:val="21"/>
        </w:rPr>
        <w:t>瘤利妥昔单抗靶向治疗</w:t>
      </w:r>
      <w:proofErr w:type="gramEnd"/>
      <w:r>
        <w:rPr>
          <w:rFonts w:ascii="楷体_GB2312" w:eastAsia="楷体_GB2312" w:hAnsi="楷体_GB2312" w:cs="楷体_GB2312" w:hint="eastAsia"/>
          <w:szCs w:val="21"/>
        </w:rPr>
        <w:t>中的应用价值。</w:t>
      </w:r>
      <w:r>
        <w:rPr>
          <w:rFonts w:ascii="楷体_GB2312" w:eastAsia="楷体_GB2312" w:hAnsi="楷体_GB2312" w:cs="楷体_GB2312" w:hint="eastAsia"/>
          <w:b/>
          <w:bCs/>
          <w:szCs w:val="21"/>
        </w:rPr>
        <w:t>方法</w:t>
      </w:r>
      <w:r>
        <w:rPr>
          <w:rFonts w:ascii="楷体_GB2312" w:eastAsia="楷体_GB2312" w:hAnsi="楷体_GB2312" w:cs="楷体_GB2312" w:hint="eastAsia"/>
          <w:szCs w:val="21"/>
        </w:rPr>
        <w:t xml:space="preserve"> 选择我院2017年1月～2018年12月期间所收治的恶性淋巴瘤</w:t>
      </w:r>
      <w:proofErr w:type="gramStart"/>
      <w:r>
        <w:rPr>
          <w:rFonts w:ascii="楷体_GB2312" w:eastAsia="楷体_GB2312" w:hAnsi="楷体_GB2312" w:cs="楷体_GB2312" w:hint="eastAsia"/>
          <w:szCs w:val="21"/>
        </w:rPr>
        <w:t>利妥昔单抗靶向治疗</w:t>
      </w:r>
      <w:proofErr w:type="gramEnd"/>
      <w:r>
        <w:rPr>
          <w:rFonts w:ascii="楷体_GB2312" w:eastAsia="楷体_GB2312" w:hAnsi="楷体_GB2312" w:cs="楷体_GB2312" w:hint="eastAsia"/>
          <w:szCs w:val="21"/>
        </w:rPr>
        <w:t>患者100例，采用随机数字表法分为观察组和对照组，对照组采用一般常规护理，观察组则采用流程化护理方案，并分别对两组患者的临床治疗情况，负性情绪变化情况及不良反应情况进行比较和分析。</w:t>
      </w:r>
      <w:r>
        <w:rPr>
          <w:rFonts w:ascii="楷体_GB2312" w:eastAsia="楷体_GB2312" w:hAnsi="楷体_GB2312" w:cs="楷体_GB2312" w:hint="eastAsia"/>
          <w:b/>
          <w:bCs/>
          <w:szCs w:val="21"/>
        </w:rPr>
        <w:t>结果</w:t>
      </w:r>
      <w:r w:rsidR="004A3C45">
        <w:rPr>
          <w:rFonts w:ascii="楷体_GB2312" w:eastAsia="楷体_GB2312" w:hAnsi="楷体_GB2312" w:cs="楷体_GB2312" w:hint="eastAsia"/>
          <w:b/>
          <w:bCs/>
          <w:szCs w:val="21"/>
        </w:rPr>
        <w:t xml:space="preserve"> </w:t>
      </w:r>
      <w:r w:rsidR="004A3C45" w:rsidRPr="00DC36F2">
        <w:rPr>
          <w:rFonts w:ascii="楷体_GB2312" w:eastAsia="楷体_GB2312" w:hAnsi="楷体_GB2312" w:cs="楷体_GB2312" w:hint="eastAsia"/>
          <w:szCs w:val="21"/>
        </w:rPr>
        <w:t>与对照组比较，</w:t>
      </w:r>
      <w:r>
        <w:rPr>
          <w:rFonts w:ascii="楷体_GB2312" w:eastAsia="楷体_GB2312" w:hAnsi="楷体_GB2312" w:cs="楷体_GB2312" w:hint="eastAsia"/>
          <w:szCs w:val="21"/>
        </w:rPr>
        <w:t>观察组首次靶</w:t>
      </w:r>
      <w:proofErr w:type="gramStart"/>
      <w:r>
        <w:rPr>
          <w:rFonts w:ascii="楷体_GB2312" w:eastAsia="楷体_GB2312" w:hAnsi="楷体_GB2312" w:cs="楷体_GB2312" w:hint="eastAsia"/>
          <w:szCs w:val="21"/>
        </w:rPr>
        <w:t>向治疗</w:t>
      </w:r>
      <w:proofErr w:type="gramEnd"/>
      <w:r>
        <w:rPr>
          <w:rFonts w:ascii="楷体_GB2312" w:eastAsia="楷体_GB2312" w:hAnsi="楷体_GB2312" w:cs="楷体_GB2312" w:hint="eastAsia"/>
          <w:szCs w:val="21"/>
        </w:rPr>
        <w:t>滴注成功率98.04%（50/51），既定治疗方案顺利完成率96.08%（49/51）均明显提高，而滴注期间不良反应发生率7.84%（4/51）则明显降低，差异均具有统计学意义（P＜0.05）；</w:t>
      </w:r>
      <w:r w:rsidR="004A3C45" w:rsidRPr="00DC36F2">
        <w:rPr>
          <w:rFonts w:ascii="楷体_GB2312" w:eastAsia="楷体_GB2312" w:hAnsi="楷体_GB2312" w:cs="楷体_GB2312" w:hint="eastAsia"/>
          <w:szCs w:val="21"/>
        </w:rPr>
        <w:t>与对照组比较，</w:t>
      </w:r>
      <w:r>
        <w:rPr>
          <w:rFonts w:ascii="楷体_GB2312" w:eastAsia="楷体_GB2312" w:hAnsi="楷体_GB2312" w:cs="楷体_GB2312" w:hint="eastAsia"/>
          <w:szCs w:val="21"/>
        </w:rPr>
        <w:t>观察</w:t>
      </w:r>
      <w:proofErr w:type="gramStart"/>
      <w:r>
        <w:rPr>
          <w:rFonts w:ascii="楷体_GB2312" w:eastAsia="楷体_GB2312" w:hAnsi="楷体_GB2312" w:cs="楷体_GB2312" w:hint="eastAsia"/>
          <w:szCs w:val="21"/>
        </w:rPr>
        <w:t>组治疗</w:t>
      </w:r>
      <w:proofErr w:type="gramEnd"/>
      <w:r>
        <w:rPr>
          <w:rFonts w:ascii="楷体_GB2312" w:eastAsia="楷体_GB2312" w:hAnsi="楷体_GB2312" w:cs="楷体_GB2312" w:hint="eastAsia"/>
          <w:szCs w:val="21"/>
        </w:rPr>
        <w:t>后的SAS评分值（35.38±4.64）分和SDS评分值（37.98±4.90）分均明显降低，差异均具有统计学意义（P＜0.05）；</w:t>
      </w:r>
      <w:r w:rsidR="004A3C45" w:rsidRPr="00DC36F2">
        <w:rPr>
          <w:rFonts w:ascii="楷体_GB2312" w:eastAsia="楷体_GB2312" w:hAnsi="楷体_GB2312" w:cs="楷体_GB2312" w:hint="eastAsia"/>
          <w:szCs w:val="21"/>
        </w:rPr>
        <w:t>与对照组比较，</w:t>
      </w:r>
      <w:r>
        <w:rPr>
          <w:rFonts w:ascii="楷体_GB2312" w:eastAsia="楷体_GB2312" w:hAnsi="楷体_GB2312" w:cs="楷体_GB2312" w:hint="eastAsia"/>
          <w:szCs w:val="21"/>
        </w:rPr>
        <w:t>观察</w:t>
      </w:r>
      <w:proofErr w:type="gramStart"/>
      <w:r>
        <w:rPr>
          <w:rFonts w:ascii="楷体_GB2312" w:eastAsia="楷体_GB2312" w:hAnsi="楷体_GB2312" w:cs="楷体_GB2312" w:hint="eastAsia"/>
          <w:szCs w:val="21"/>
        </w:rPr>
        <w:t>组治疗</w:t>
      </w:r>
      <w:proofErr w:type="gramEnd"/>
      <w:r>
        <w:rPr>
          <w:rFonts w:ascii="楷体_GB2312" w:eastAsia="楷体_GB2312" w:hAnsi="楷体_GB2312" w:cs="楷体_GB2312" w:hint="eastAsia"/>
          <w:szCs w:val="21"/>
        </w:rPr>
        <w:t>后恶心呕吐，皮疹瘙痒，寒战发热，血压下降等不良反应总发生率9.80%（5/51）明显降低，差异均具有统计学意义（P＜0.05）。</w:t>
      </w:r>
      <w:r>
        <w:rPr>
          <w:rFonts w:ascii="楷体_GB2312" w:eastAsia="楷体_GB2312" w:hAnsi="楷体_GB2312" w:cs="楷体_GB2312" w:hint="eastAsia"/>
          <w:b/>
          <w:bCs/>
          <w:szCs w:val="21"/>
        </w:rPr>
        <w:t>结论</w:t>
      </w:r>
      <w:r>
        <w:rPr>
          <w:rFonts w:ascii="楷体_GB2312" w:eastAsia="楷体_GB2312" w:hAnsi="楷体_GB2312" w:cs="楷体_GB2312" w:hint="eastAsia"/>
          <w:szCs w:val="21"/>
        </w:rPr>
        <w:t xml:space="preserve"> 流程化护理对于保证恶淋巴</w:t>
      </w:r>
      <w:proofErr w:type="gramStart"/>
      <w:r>
        <w:rPr>
          <w:rFonts w:ascii="楷体_GB2312" w:eastAsia="楷体_GB2312" w:hAnsi="楷体_GB2312" w:cs="楷体_GB2312" w:hint="eastAsia"/>
          <w:szCs w:val="21"/>
        </w:rPr>
        <w:t>瘤利妥昔单抗靶向治疗</w:t>
      </w:r>
      <w:proofErr w:type="gramEnd"/>
      <w:r>
        <w:rPr>
          <w:rFonts w:ascii="楷体_GB2312" w:eastAsia="楷体_GB2312" w:hAnsi="楷体_GB2312" w:cs="楷体_GB2312" w:hint="eastAsia"/>
          <w:szCs w:val="21"/>
        </w:rPr>
        <w:t>的顺利进行，降低相关不良反应及改善心理状况均呈现出十分重要的辅助治疗价值。</w:t>
      </w:r>
    </w:p>
    <w:p w:rsidR="0042219B" w:rsidRDefault="00EF6A94">
      <w:pPr>
        <w:spacing w:line="400" w:lineRule="exact"/>
        <w:rPr>
          <w:rFonts w:ascii="楷体_GB2312" w:eastAsia="楷体_GB2312" w:hAnsi="楷体_GB2312" w:cs="楷体_GB2312"/>
          <w:szCs w:val="21"/>
        </w:rPr>
      </w:pPr>
      <w:r>
        <w:rPr>
          <w:rFonts w:ascii="楷体_GB2312" w:eastAsia="楷体_GB2312" w:hAnsi="楷体_GB2312" w:cs="楷体_GB2312" w:hint="eastAsia"/>
          <w:b/>
          <w:szCs w:val="21"/>
        </w:rPr>
        <w:t>关键词：</w:t>
      </w:r>
      <w:r>
        <w:rPr>
          <w:rFonts w:ascii="楷体_GB2312" w:eastAsia="楷体_GB2312" w:hAnsi="楷体_GB2312" w:cs="楷体_GB2312" w:hint="eastAsia"/>
          <w:szCs w:val="21"/>
        </w:rPr>
        <w:t>流程化护理；恶淋巴瘤；</w:t>
      </w:r>
      <w:proofErr w:type="gramStart"/>
      <w:r>
        <w:rPr>
          <w:rFonts w:ascii="楷体_GB2312" w:eastAsia="楷体_GB2312" w:hAnsi="楷体_GB2312" w:cs="楷体_GB2312" w:hint="eastAsia"/>
          <w:szCs w:val="21"/>
        </w:rPr>
        <w:t>利妥昔</w:t>
      </w:r>
      <w:proofErr w:type="gramEnd"/>
    </w:p>
    <w:p w:rsidR="0042219B" w:rsidRDefault="00EF6A94">
      <w:pPr>
        <w:spacing w:line="400" w:lineRule="exact"/>
        <w:jc w:val="center"/>
        <w:rPr>
          <w:b/>
          <w:szCs w:val="21"/>
        </w:rPr>
      </w:pPr>
      <w:r>
        <w:rPr>
          <w:rFonts w:eastAsia="Times New Roman"/>
          <w:b/>
          <w:szCs w:val="21"/>
        </w:rPr>
        <w:t>Application research of process nursing on targeted therapy of rituximab in malignant lymphoma</w:t>
      </w:r>
    </w:p>
    <w:p w:rsidR="0042219B" w:rsidRDefault="00EF6A94">
      <w:pPr>
        <w:spacing w:line="400" w:lineRule="exact"/>
        <w:rPr>
          <w:szCs w:val="21"/>
        </w:rPr>
      </w:pPr>
      <w:r>
        <w:rPr>
          <w:rFonts w:eastAsia="Times New Roman"/>
          <w:b/>
          <w:szCs w:val="21"/>
        </w:rPr>
        <w:t xml:space="preserve">Abstract: Objective: </w:t>
      </w:r>
      <w:r>
        <w:rPr>
          <w:rFonts w:eastAsia="Times New Roman"/>
          <w:szCs w:val="21"/>
        </w:rPr>
        <w:t xml:space="preserve">To probe into the application value of process nursing on targeted therapy of rituximab in malignant lymphoma. </w:t>
      </w:r>
      <w:r>
        <w:rPr>
          <w:rFonts w:eastAsia="Times New Roman"/>
          <w:b/>
          <w:szCs w:val="21"/>
        </w:rPr>
        <w:t>Methods:</w:t>
      </w:r>
      <w:r>
        <w:rPr>
          <w:rFonts w:eastAsia="Times New Roman"/>
          <w:szCs w:val="21"/>
        </w:rPr>
        <w:t xml:space="preserve"> From January 2017 to December 2018, 100 malignant lymphoma patients with targeted therapy for rituximab were selected in our hospital. The patients were divided into observation group and the control group with random numbers table. The patients in control group were received general routine nursing. The patients in observation group were received process nursing program. The clinical treatment, negative emotional changes and adverse reactions of the patien</w:t>
      </w:r>
      <w:r>
        <w:rPr>
          <w:rFonts w:hint="eastAsia"/>
          <w:szCs w:val="21"/>
        </w:rPr>
        <w:t>t</w:t>
      </w:r>
      <w:r>
        <w:rPr>
          <w:rFonts w:eastAsia="Times New Roman"/>
          <w:szCs w:val="21"/>
        </w:rPr>
        <w:t xml:space="preserve">s in two groups were compared and </w:t>
      </w:r>
      <w:proofErr w:type="spellStart"/>
      <w:r>
        <w:rPr>
          <w:rFonts w:eastAsia="Times New Roman"/>
          <w:szCs w:val="21"/>
        </w:rPr>
        <w:t>analyzed.</w:t>
      </w:r>
      <w:r>
        <w:rPr>
          <w:rFonts w:eastAsia="Times New Roman"/>
          <w:b/>
          <w:szCs w:val="21"/>
        </w:rPr>
        <w:t>Results</w:t>
      </w:r>
      <w:proofErr w:type="spellEnd"/>
      <w:r>
        <w:rPr>
          <w:rFonts w:eastAsia="Times New Roman"/>
          <w:b/>
          <w:szCs w:val="21"/>
        </w:rPr>
        <w:t>:</w:t>
      </w:r>
      <w:r>
        <w:rPr>
          <w:rFonts w:eastAsia="Times New Roman"/>
          <w:szCs w:val="21"/>
        </w:rPr>
        <w:t xml:space="preserve"> </w:t>
      </w:r>
      <w:r w:rsidRPr="00DC36F2">
        <w:rPr>
          <w:rFonts w:eastAsia="Times New Roman"/>
          <w:szCs w:val="21"/>
        </w:rPr>
        <w:t>Compared with control group, the patients in observation group, the success rate of the first target</w:t>
      </w:r>
      <w:r>
        <w:rPr>
          <w:rFonts w:eastAsia="Times New Roman"/>
          <w:szCs w:val="21"/>
        </w:rPr>
        <w:t>ed therapy instillation was 98.04% (50/51), and the successful completion rate of the established treatment program was 96.08% (49/51), there were increased significantly, while the incidence of adverse reactions during the instillation was 7.84% (4/51), there was decreased significantly, the difference was significant statistically (</w:t>
      </w:r>
      <w:r>
        <w:rPr>
          <w:rFonts w:eastAsia="Times New Roman"/>
          <w:i/>
          <w:szCs w:val="21"/>
        </w:rPr>
        <w:t>P</w:t>
      </w:r>
      <w:r>
        <w:rPr>
          <w:rFonts w:eastAsia="Times New Roman"/>
          <w:szCs w:val="21"/>
        </w:rPr>
        <w:t>＜0.05)</w:t>
      </w:r>
      <w:r w:rsidRPr="00DC36F2">
        <w:rPr>
          <w:rFonts w:eastAsia="Times New Roman"/>
          <w:szCs w:val="21"/>
        </w:rPr>
        <w:t>; Compared with control group, t</w:t>
      </w:r>
      <w:r>
        <w:rPr>
          <w:rFonts w:eastAsia="Times New Roman"/>
          <w:szCs w:val="21"/>
        </w:rPr>
        <w:t>he patients in observation group, after treatment, the SAS scores were(35.38±4.64) points and SDS scores were (37.98±4.90) points, there were decreased significantly, the difference was significant statistically (</w:t>
      </w:r>
      <w:r>
        <w:rPr>
          <w:rFonts w:eastAsia="Times New Roman"/>
          <w:i/>
          <w:szCs w:val="21"/>
        </w:rPr>
        <w:t>P</w:t>
      </w:r>
      <w:r>
        <w:rPr>
          <w:rFonts w:eastAsia="Times New Roman"/>
          <w:szCs w:val="21"/>
        </w:rPr>
        <w:t xml:space="preserve">＜0.05); </w:t>
      </w:r>
      <w:r w:rsidRPr="00DC36F2">
        <w:rPr>
          <w:rFonts w:eastAsia="Times New Roman"/>
          <w:szCs w:val="21"/>
        </w:rPr>
        <w:t>Compared with control group, the pa</w:t>
      </w:r>
      <w:r>
        <w:rPr>
          <w:rFonts w:eastAsia="Times New Roman"/>
          <w:szCs w:val="21"/>
        </w:rPr>
        <w:t xml:space="preserve">tients in observation group, after treatment, </w:t>
      </w:r>
      <w:proofErr w:type="spellStart"/>
      <w:r>
        <w:rPr>
          <w:rFonts w:eastAsia="Times New Roman"/>
          <w:szCs w:val="21"/>
        </w:rPr>
        <w:t>thetotal</w:t>
      </w:r>
      <w:proofErr w:type="spellEnd"/>
      <w:r>
        <w:rPr>
          <w:rFonts w:eastAsia="Times New Roman"/>
          <w:szCs w:val="21"/>
        </w:rPr>
        <w:t xml:space="preserve"> incidence </w:t>
      </w:r>
      <w:r>
        <w:rPr>
          <w:rFonts w:eastAsia="Times New Roman"/>
          <w:szCs w:val="21"/>
        </w:rPr>
        <w:lastRenderedPageBreak/>
        <w:t xml:space="preserve">of reactions was9.80% (5/51), include </w:t>
      </w:r>
      <w:proofErr w:type="spellStart"/>
      <w:r>
        <w:rPr>
          <w:rFonts w:eastAsia="Times New Roman"/>
          <w:szCs w:val="21"/>
        </w:rPr>
        <w:t>dnausea</w:t>
      </w:r>
      <w:proofErr w:type="spellEnd"/>
      <w:r>
        <w:rPr>
          <w:rFonts w:eastAsia="Times New Roman"/>
          <w:szCs w:val="21"/>
        </w:rPr>
        <w:t xml:space="preserve"> and vomiting, rash itching, chills, fever, blood pressure, there was reduced significantly ,the difference was significant statistically (</w:t>
      </w:r>
      <w:r>
        <w:rPr>
          <w:rFonts w:eastAsia="Times New Roman"/>
          <w:i/>
          <w:szCs w:val="21"/>
        </w:rPr>
        <w:t>P</w:t>
      </w:r>
      <w:r>
        <w:rPr>
          <w:rFonts w:eastAsia="Times New Roman"/>
          <w:szCs w:val="21"/>
        </w:rPr>
        <w:t>＜0.05). C</w:t>
      </w:r>
      <w:r>
        <w:rPr>
          <w:rFonts w:eastAsia="Times New Roman"/>
          <w:b/>
          <w:szCs w:val="21"/>
        </w:rPr>
        <w:t>onclusions:</w:t>
      </w:r>
      <w:r>
        <w:rPr>
          <w:rFonts w:eastAsia="Times New Roman"/>
          <w:szCs w:val="21"/>
        </w:rPr>
        <w:t xml:space="preserve"> Process nursing has very important auxiliary treatment value for ensuring the smooth progress, reducing related adverse reactions and improving psychological </w:t>
      </w:r>
      <w:proofErr w:type="spellStart"/>
      <w:r>
        <w:rPr>
          <w:rFonts w:eastAsia="Times New Roman"/>
          <w:szCs w:val="21"/>
        </w:rPr>
        <w:t>statusof</w:t>
      </w:r>
      <w:proofErr w:type="spellEnd"/>
      <w:r>
        <w:rPr>
          <w:rFonts w:eastAsia="Times New Roman"/>
          <w:szCs w:val="21"/>
        </w:rPr>
        <w:t xml:space="preserve"> targeted therapy for rituximab in malignant lymphoma.</w:t>
      </w:r>
    </w:p>
    <w:p w:rsidR="0042219B" w:rsidRDefault="00EF6A94">
      <w:pPr>
        <w:spacing w:line="400" w:lineRule="exact"/>
        <w:rPr>
          <w:szCs w:val="21"/>
        </w:rPr>
      </w:pPr>
      <w:r>
        <w:rPr>
          <w:rFonts w:eastAsia="Times New Roman"/>
          <w:b/>
          <w:szCs w:val="21"/>
        </w:rPr>
        <w:t xml:space="preserve">Key words: </w:t>
      </w:r>
      <w:r>
        <w:rPr>
          <w:rFonts w:eastAsia="Times New Roman"/>
          <w:szCs w:val="21"/>
        </w:rPr>
        <w:t>process nursing; lymphoma; rituximab</w:t>
      </w:r>
    </w:p>
    <w:p w:rsidR="0042219B" w:rsidRDefault="00EF6A94">
      <w:pPr>
        <w:spacing w:line="400" w:lineRule="exact"/>
        <w:ind w:firstLineChars="200" w:firstLine="420"/>
        <w:rPr>
          <w:szCs w:val="21"/>
        </w:rPr>
      </w:pPr>
      <w:r>
        <w:rPr>
          <w:rFonts w:hint="eastAsia"/>
          <w:color w:val="333333"/>
          <w:szCs w:val="21"/>
        </w:rPr>
        <w:t>恶性淋巴瘤</w:t>
      </w:r>
      <w:r>
        <w:rPr>
          <w:kern w:val="0"/>
          <w:szCs w:val="21"/>
        </w:rPr>
        <w:t>（</w:t>
      </w:r>
      <w:r>
        <w:rPr>
          <w:rFonts w:hint="eastAsia"/>
          <w:color w:val="333333"/>
          <w:szCs w:val="21"/>
        </w:rPr>
        <w:t>Malignant Lymphoma, ML</w:t>
      </w:r>
      <w:r>
        <w:rPr>
          <w:kern w:val="0"/>
          <w:szCs w:val="21"/>
        </w:rPr>
        <w:t>）</w:t>
      </w:r>
      <w:r>
        <w:rPr>
          <w:rFonts w:hint="eastAsia"/>
          <w:color w:val="333333"/>
          <w:szCs w:val="21"/>
        </w:rPr>
        <w:t>往往是由于</w:t>
      </w:r>
      <w:r w:rsidRPr="00DC36F2">
        <w:rPr>
          <w:rFonts w:hint="eastAsia"/>
          <w:color w:val="333333"/>
          <w:szCs w:val="21"/>
        </w:rPr>
        <w:t>淋巴组织内原有的淋巴细胞</w:t>
      </w:r>
      <w:r>
        <w:rPr>
          <w:rFonts w:hint="eastAsia"/>
          <w:color w:val="333333"/>
          <w:szCs w:val="21"/>
        </w:rPr>
        <w:t>及组织细胞发生恶性增生所形成的一种恶性肿瘤。流行病学调查结果显示，我国恶性淋巴瘤的发病率呈现逐年上升的趋势，且由此而导致死亡的比率亦居高不下，其死亡率在各种恶性肿瘤中位居第八位</w:t>
      </w:r>
      <w:r>
        <w:rPr>
          <w:szCs w:val="21"/>
          <w:vertAlign w:val="superscript"/>
        </w:rPr>
        <w:t>[</w:t>
      </w:r>
      <w:r>
        <w:rPr>
          <w:rFonts w:hint="eastAsia"/>
          <w:szCs w:val="21"/>
          <w:vertAlign w:val="superscript"/>
        </w:rPr>
        <w:t>1</w:t>
      </w:r>
      <w:r>
        <w:rPr>
          <w:szCs w:val="21"/>
          <w:vertAlign w:val="superscript"/>
        </w:rPr>
        <w:t>]</w:t>
      </w:r>
      <w:r>
        <w:rPr>
          <w:rFonts w:hint="eastAsia"/>
          <w:color w:val="333333"/>
          <w:szCs w:val="21"/>
        </w:rPr>
        <w:t>。已有研究证实，靶</w:t>
      </w:r>
      <w:proofErr w:type="gramStart"/>
      <w:r>
        <w:rPr>
          <w:rFonts w:hint="eastAsia"/>
          <w:color w:val="333333"/>
          <w:szCs w:val="21"/>
        </w:rPr>
        <w:t>向药物</w:t>
      </w:r>
      <w:proofErr w:type="gramEnd"/>
      <w:r>
        <w:rPr>
          <w:rFonts w:hint="eastAsia"/>
          <w:color w:val="333333"/>
          <w:szCs w:val="21"/>
        </w:rPr>
        <w:t>治疗联合常规化疗方案有助于肿瘤缓解率及远期生存率的大幅提升</w:t>
      </w:r>
      <w:r>
        <w:rPr>
          <w:szCs w:val="21"/>
          <w:vertAlign w:val="superscript"/>
        </w:rPr>
        <w:t>[</w:t>
      </w:r>
      <w:r>
        <w:rPr>
          <w:rFonts w:hint="eastAsia"/>
          <w:szCs w:val="21"/>
          <w:vertAlign w:val="superscript"/>
        </w:rPr>
        <w:t>2</w:t>
      </w:r>
      <w:r>
        <w:rPr>
          <w:szCs w:val="21"/>
          <w:vertAlign w:val="superscript"/>
        </w:rPr>
        <w:t>]</w:t>
      </w:r>
      <w:r>
        <w:rPr>
          <w:rFonts w:hint="eastAsia"/>
          <w:color w:val="333333"/>
          <w:szCs w:val="21"/>
        </w:rPr>
        <w:t>。临床研究显示，</w:t>
      </w:r>
      <w:proofErr w:type="gramStart"/>
      <w:r>
        <w:rPr>
          <w:rFonts w:hint="eastAsia"/>
          <w:color w:val="333333"/>
          <w:szCs w:val="21"/>
        </w:rPr>
        <w:t>利妥昔单</w:t>
      </w:r>
      <w:proofErr w:type="gramEnd"/>
      <w:r>
        <w:rPr>
          <w:rFonts w:hint="eastAsia"/>
          <w:color w:val="333333"/>
          <w:szCs w:val="21"/>
        </w:rPr>
        <w:t>抗是临床上最为常用一种靶</w:t>
      </w:r>
      <w:proofErr w:type="gramStart"/>
      <w:r>
        <w:rPr>
          <w:rFonts w:hint="eastAsia"/>
          <w:color w:val="333333"/>
          <w:szCs w:val="21"/>
        </w:rPr>
        <w:t>向治疗</w:t>
      </w:r>
      <w:proofErr w:type="gramEnd"/>
      <w:r>
        <w:rPr>
          <w:rFonts w:hint="eastAsia"/>
          <w:color w:val="333333"/>
          <w:szCs w:val="21"/>
        </w:rPr>
        <w:t>药物，虽然具有一定的临床疗效，但往往会由于首次滴注时极易出现一系列不良反应而进一步加剧患者的相关负性情绪，从而造成治疗依从性的大幅降低，进而影响整体疗效</w:t>
      </w:r>
      <w:r>
        <w:rPr>
          <w:szCs w:val="21"/>
          <w:vertAlign w:val="superscript"/>
        </w:rPr>
        <w:t>[</w:t>
      </w:r>
      <w:r>
        <w:rPr>
          <w:rFonts w:hint="eastAsia"/>
          <w:szCs w:val="21"/>
          <w:vertAlign w:val="superscript"/>
        </w:rPr>
        <w:t>3</w:t>
      </w:r>
      <w:r>
        <w:rPr>
          <w:szCs w:val="21"/>
          <w:vertAlign w:val="superscript"/>
        </w:rPr>
        <w:t>]</w:t>
      </w:r>
      <w:r>
        <w:rPr>
          <w:color w:val="333333"/>
          <w:szCs w:val="21"/>
        </w:rPr>
        <w:t>。</w:t>
      </w:r>
      <w:r>
        <w:rPr>
          <w:szCs w:val="21"/>
        </w:rPr>
        <w:t>因此，笔者以医院</w:t>
      </w:r>
      <w:r>
        <w:rPr>
          <w:rFonts w:hint="eastAsia"/>
          <w:szCs w:val="21"/>
        </w:rPr>
        <w:t>所收治的恶性淋巴瘤</w:t>
      </w:r>
      <w:proofErr w:type="gramStart"/>
      <w:r>
        <w:rPr>
          <w:rFonts w:hint="eastAsia"/>
          <w:szCs w:val="21"/>
        </w:rPr>
        <w:t>利妥昔单抗靶向治疗</w:t>
      </w:r>
      <w:proofErr w:type="gramEnd"/>
      <w:r>
        <w:rPr>
          <w:szCs w:val="21"/>
        </w:rPr>
        <w:t>患者作为</w:t>
      </w:r>
      <w:r>
        <w:rPr>
          <w:rFonts w:hint="eastAsia"/>
          <w:szCs w:val="21"/>
        </w:rPr>
        <w:t>本次临床</w:t>
      </w:r>
      <w:r>
        <w:rPr>
          <w:szCs w:val="21"/>
        </w:rPr>
        <w:t>研究对象，并</w:t>
      </w:r>
      <w:r>
        <w:rPr>
          <w:rFonts w:hint="eastAsia"/>
          <w:szCs w:val="21"/>
        </w:rPr>
        <w:t>就流程化护理在</w:t>
      </w:r>
      <w:r w:rsidRPr="00DC36F2">
        <w:rPr>
          <w:rFonts w:hint="eastAsia"/>
          <w:color w:val="333333"/>
          <w:szCs w:val="21"/>
        </w:rPr>
        <w:t>恶</w:t>
      </w:r>
      <w:r w:rsidR="008D4811" w:rsidRPr="00DC36F2">
        <w:rPr>
          <w:rFonts w:hint="eastAsia"/>
          <w:color w:val="333333"/>
          <w:szCs w:val="21"/>
        </w:rPr>
        <w:t>性</w:t>
      </w:r>
      <w:r w:rsidRPr="00DC36F2">
        <w:rPr>
          <w:rFonts w:hint="eastAsia"/>
          <w:color w:val="333333"/>
          <w:szCs w:val="21"/>
        </w:rPr>
        <w:t>淋巴瘤</w:t>
      </w:r>
      <w:proofErr w:type="gramStart"/>
      <w:r w:rsidRPr="00DC36F2">
        <w:rPr>
          <w:rFonts w:hint="eastAsia"/>
          <w:color w:val="333333"/>
          <w:szCs w:val="21"/>
        </w:rPr>
        <w:t>利</w:t>
      </w:r>
      <w:r>
        <w:rPr>
          <w:rFonts w:hint="eastAsia"/>
          <w:szCs w:val="21"/>
        </w:rPr>
        <w:t>妥昔单抗靶向治疗</w:t>
      </w:r>
      <w:proofErr w:type="gramEnd"/>
      <w:r>
        <w:rPr>
          <w:rFonts w:hint="eastAsia"/>
          <w:szCs w:val="21"/>
        </w:rPr>
        <w:t>中的应用价值予以</w:t>
      </w:r>
      <w:r>
        <w:rPr>
          <w:szCs w:val="21"/>
        </w:rPr>
        <w:t>探讨和分析</w:t>
      </w:r>
      <w:r>
        <w:rPr>
          <w:rFonts w:hint="eastAsia"/>
          <w:szCs w:val="21"/>
        </w:rPr>
        <w:t>，</w:t>
      </w:r>
      <w:r>
        <w:rPr>
          <w:szCs w:val="21"/>
        </w:rPr>
        <w:t>现</w:t>
      </w:r>
      <w:r>
        <w:rPr>
          <w:rFonts w:hint="eastAsia"/>
          <w:szCs w:val="21"/>
        </w:rPr>
        <w:t>将结果</w:t>
      </w:r>
      <w:r>
        <w:rPr>
          <w:szCs w:val="21"/>
        </w:rPr>
        <w:t>报告如下。</w:t>
      </w:r>
    </w:p>
    <w:p w:rsidR="0042219B" w:rsidRDefault="00EF6A94">
      <w:pPr>
        <w:spacing w:line="400" w:lineRule="exact"/>
        <w:rPr>
          <w:b/>
          <w:szCs w:val="21"/>
        </w:rPr>
      </w:pPr>
      <w:r>
        <w:rPr>
          <w:b/>
          <w:szCs w:val="21"/>
        </w:rPr>
        <w:t xml:space="preserve">1 </w:t>
      </w:r>
      <w:r>
        <w:rPr>
          <w:b/>
          <w:szCs w:val="21"/>
        </w:rPr>
        <w:t>资料与方法</w:t>
      </w:r>
    </w:p>
    <w:p w:rsidR="0042219B" w:rsidRDefault="00EF6A94">
      <w:pPr>
        <w:spacing w:line="400" w:lineRule="exact"/>
        <w:ind w:leftChars="-6" w:left="-13"/>
        <w:rPr>
          <w:szCs w:val="21"/>
        </w:rPr>
      </w:pPr>
      <w:r>
        <w:rPr>
          <w:b/>
          <w:szCs w:val="21"/>
        </w:rPr>
        <w:t>1.1</w:t>
      </w:r>
      <w:r>
        <w:rPr>
          <w:b/>
          <w:szCs w:val="21"/>
        </w:rPr>
        <w:t>一般材料</w:t>
      </w:r>
      <w:r w:rsidR="00DC36F2">
        <w:rPr>
          <w:rFonts w:hint="eastAsia"/>
          <w:b/>
          <w:szCs w:val="21"/>
        </w:rPr>
        <w:t>：</w:t>
      </w:r>
      <w:r>
        <w:rPr>
          <w:szCs w:val="21"/>
        </w:rPr>
        <w:t>选择我院</w:t>
      </w:r>
      <w:r>
        <w:rPr>
          <w:szCs w:val="21"/>
        </w:rPr>
        <w:t>2017</w:t>
      </w:r>
      <w:r>
        <w:rPr>
          <w:szCs w:val="21"/>
        </w:rPr>
        <w:t>年</w:t>
      </w:r>
      <w:r>
        <w:rPr>
          <w:szCs w:val="21"/>
        </w:rPr>
        <w:t>1</w:t>
      </w:r>
      <w:r>
        <w:rPr>
          <w:szCs w:val="21"/>
        </w:rPr>
        <w:t>月～</w:t>
      </w:r>
      <w:r>
        <w:rPr>
          <w:szCs w:val="21"/>
        </w:rPr>
        <w:t>201</w:t>
      </w:r>
      <w:r>
        <w:rPr>
          <w:rFonts w:hint="eastAsia"/>
          <w:szCs w:val="21"/>
        </w:rPr>
        <w:t>8</w:t>
      </w:r>
      <w:r>
        <w:rPr>
          <w:szCs w:val="21"/>
        </w:rPr>
        <w:t>年</w:t>
      </w:r>
      <w:r>
        <w:rPr>
          <w:szCs w:val="21"/>
        </w:rPr>
        <w:t>12</w:t>
      </w:r>
      <w:r>
        <w:rPr>
          <w:szCs w:val="21"/>
        </w:rPr>
        <w:t>月期间所收治的</w:t>
      </w:r>
      <w:r>
        <w:rPr>
          <w:rFonts w:hint="eastAsia"/>
          <w:szCs w:val="21"/>
        </w:rPr>
        <w:t>恶性淋巴瘤</w:t>
      </w:r>
      <w:proofErr w:type="gramStart"/>
      <w:r>
        <w:rPr>
          <w:rFonts w:hint="eastAsia"/>
          <w:szCs w:val="21"/>
        </w:rPr>
        <w:t>利妥昔单抗靶向治疗</w:t>
      </w:r>
      <w:proofErr w:type="gramEnd"/>
      <w:r>
        <w:rPr>
          <w:szCs w:val="21"/>
        </w:rPr>
        <w:t>患者</w:t>
      </w:r>
      <w:r>
        <w:rPr>
          <w:szCs w:val="21"/>
        </w:rPr>
        <w:t>100</w:t>
      </w:r>
      <w:r>
        <w:rPr>
          <w:szCs w:val="21"/>
        </w:rPr>
        <w:t>例，入选标准：</w:t>
      </w:r>
      <w:r>
        <w:rPr>
          <w:rFonts w:hint="eastAsia"/>
          <w:szCs w:val="21"/>
        </w:rPr>
        <w:t>①</w:t>
      </w:r>
      <w:r>
        <w:rPr>
          <w:szCs w:val="21"/>
        </w:rPr>
        <w:t>符合</w:t>
      </w:r>
      <w:r>
        <w:rPr>
          <w:rFonts w:hint="eastAsia"/>
          <w:szCs w:val="21"/>
        </w:rPr>
        <w:t>恶性淋巴瘤临床诊断标准</w:t>
      </w:r>
      <w:r>
        <w:rPr>
          <w:szCs w:val="21"/>
          <w:vertAlign w:val="superscript"/>
        </w:rPr>
        <w:t>[</w:t>
      </w:r>
      <w:r>
        <w:rPr>
          <w:rFonts w:hint="eastAsia"/>
          <w:szCs w:val="21"/>
          <w:vertAlign w:val="superscript"/>
        </w:rPr>
        <w:t>4</w:t>
      </w:r>
      <w:r>
        <w:rPr>
          <w:szCs w:val="21"/>
          <w:vertAlign w:val="superscript"/>
        </w:rPr>
        <w:t>]</w:t>
      </w:r>
      <w:r>
        <w:rPr>
          <w:szCs w:val="21"/>
        </w:rPr>
        <w:t>；</w:t>
      </w:r>
      <w:r>
        <w:rPr>
          <w:rFonts w:hint="eastAsia"/>
          <w:szCs w:val="21"/>
        </w:rPr>
        <w:t>②采用</w:t>
      </w:r>
      <w:proofErr w:type="gramStart"/>
      <w:r>
        <w:rPr>
          <w:rFonts w:hint="eastAsia"/>
          <w:szCs w:val="21"/>
        </w:rPr>
        <w:t>利妥昔单抗靶向治疗</w:t>
      </w:r>
      <w:proofErr w:type="gramEnd"/>
      <w:r>
        <w:rPr>
          <w:rFonts w:hint="eastAsia"/>
          <w:szCs w:val="21"/>
        </w:rPr>
        <w:t>方案；③</w:t>
      </w:r>
      <w:r>
        <w:rPr>
          <w:szCs w:val="21"/>
        </w:rPr>
        <w:t>自愿参与研究并签署知情同意书。排除标准：</w:t>
      </w:r>
      <w:r>
        <w:rPr>
          <w:rFonts w:hint="eastAsia"/>
          <w:szCs w:val="21"/>
        </w:rPr>
        <w:t>①心、肺、肝、肾等脏器存在严重疾病者</w:t>
      </w:r>
      <w:r>
        <w:rPr>
          <w:szCs w:val="21"/>
        </w:rPr>
        <w:t>；</w:t>
      </w:r>
      <w:r>
        <w:rPr>
          <w:rFonts w:hint="eastAsia"/>
          <w:szCs w:val="21"/>
        </w:rPr>
        <w:t>②意识障碍及精神类疾病者</w:t>
      </w:r>
      <w:r>
        <w:rPr>
          <w:szCs w:val="21"/>
        </w:rPr>
        <w:t>；</w:t>
      </w:r>
      <w:r>
        <w:rPr>
          <w:rFonts w:hint="eastAsia"/>
          <w:szCs w:val="21"/>
        </w:rPr>
        <w:t>③</w:t>
      </w:r>
      <w:r>
        <w:rPr>
          <w:szCs w:val="21"/>
        </w:rPr>
        <w:t>对研究中</w:t>
      </w:r>
      <w:r>
        <w:rPr>
          <w:rFonts w:hint="eastAsia"/>
          <w:szCs w:val="21"/>
        </w:rPr>
        <w:t>治疗</w:t>
      </w:r>
      <w:r>
        <w:rPr>
          <w:szCs w:val="21"/>
        </w:rPr>
        <w:t>药物有过敏史及禁忌症者。</w:t>
      </w:r>
      <w:r w:rsidRPr="00DC36F2">
        <w:rPr>
          <w:szCs w:val="21"/>
        </w:rPr>
        <w:t>采用随机数字表</w:t>
      </w:r>
      <w:r w:rsidR="008D4811" w:rsidRPr="00DC36F2">
        <w:rPr>
          <w:rFonts w:hint="eastAsia"/>
          <w:szCs w:val="21"/>
        </w:rPr>
        <w:t>法将患者</w:t>
      </w:r>
      <w:r w:rsidRPr="00DC36F2">
        <w:rPr>
          <w:szCs w:val="21"/>
        </w:rPr>
        <w:t>随机分为观察组</w:t>
      </w:r>
      <w:r w:rsidRPr="00DC36F2">
        <w:rPr>
          <w:szCs w:val="21"/>
        </w:rPr>
        <w:t>51</w:t>
      </w:r>
      <w:r w:rsidRPr="00DC36F2">
        <w:rPr>
          <w:szCs w:val="21"/>
        </w:rPr>
        <w:t>例和对照组</w:t>
      </w:r>
      <w:r w:rsidRPr="00DC36F2">
        <w:rPr>
          <w:szCs w:val="21"/>
        </w:rPr>
        <w:t>49</w:t>
      </w:r>
      <w:r w:rsidRPr="00DC36F2">
        <w:rPr>
          <w:szCs w:val="21"/>
        </w:rPr>
        <w:t>例，</w:t>
      </w:r>
      <w:r>
        <w:rPr>
          <w:szCs w:val="21"/>
        </w:rPr>
        <w:t>观察组中男</w:t>
      </w:r>
      <w:r>
        <w:rPr>
          <w:rFonts w:hint="eastAsia"/>
          <w:szCs w:val="21"/>
        </w:rPr>
        <w:t>性</w:t>
      </w:r>
      <w:r>
        <w:rPr>
          <w:szCs w:val="21"/>
        </w:rPr>
        <w:t>2</w:t>
      </w:r>
      <w:r>
        <w:rPr>
          <w:rFonts w:hint="eastAsia"/>
          <w:szCs w:val="21"/>
        </w:rPr>
        <w:t>9</w:t>
      </w:r>
      <w:r>
        <w:rPr>
          <w:szCs w:val="21"/>
        </w:rPr>
        <w:t>例，女</w:t>
      </w:r>
      <w:r>
        <w:rPr>
          <w:rFonts w:hint="eastAsia"/>
          <w:szCs w:val="21"/>
        </w:rPr>
        <w:t>性</w:t>
      </w:r>
      <w:r>
        <w:rPr>
          <w:szCs w:val="21"/>
        </w:rPr>
        <w:t>2</w:t>
      </w:r>
      <w:r>
        <w:rPr>
          <w:rFonts w:hint="eastAsia"/>
          <w:szCs w:val="21"/>
        </w:rPr>
        <w:t>2</w:t>
      </w:r>
      <w:r>
        <w:rPr>
          <w:szCs w:val="21"/>
        </w:rPr>
        <w:t>例；年龄</w:t>
      </w:r>
      <w:r>
        <w:rPr>
          <w:rFonts w:hint="eastAsia"/>
          <w:szCs w:val="21"/>
        </w:rPr>
        <w:t>为</w:t>
      </w:r>
      <w:r>
        <w:rPr>
          <w:rFonts w:hint="eastAsia"/>
          <w:szCs w:val="21"/>
        </w:rPr>
        <w:t>42</w:t>
      </w:r>
      <w:r>
        <w:rPr>
          <w:szCs w:val="21"/>
        </w:rPr>
        <w:t>～</w:t>
      </w:r>
      <w:r>
        <w:rPr>
          <w:szCs w:val="21"/>
        </w:rPr>
        <w:t>7</w:t>
      </w:r>
      <w:r>
        <w:rPr>
          <w:rFonts w:hint="eastAsia"/>
          <w:szCs w:val="21"/>
        </w:rPr>
        <w:t>7</w:t>
      </w:r>
      <w:r>
        <w:rPr>
          <w:szCs w:val="21"/>
        </w:rPr>
        <w:t>岁，平均年龄</w:t>
      </w:r>
      <w:r>
        <w:rPr>
          <w:rFonts w:hint="eastAsia"/>
          <w:szCs w:val="21"/>
        </w:rPr>
        <w:t>为</w:t>
      </w:r>
      <w:r>
        <w:rPr>
          <w:szCs w:val="21"/>
        </w:rPr>
        <w:t>（</w:t>
      </w:r>
      <w:r>
        <w:rPr>
          <w:rFonts w:hint="eastAsia"/>
          <w:szCs w:val="21"/>
        </w:rPr>
        <w:t>59</w:t>
      </w:r>
      <w:r>
        <w:rPr>
          <w:szCs w:val="21"/>
        </w:rPr>
        <w:t>.</w:t>
      </w:r>
      <w:r>
        <w:rPr>
          <w:rFonts w:hint="eastAsia"/>
          <w:szCs w:val="21"/>
        </w:rPr>
        <w:t>72</w:t>
      </w:r>
      <w:r>
        <w:rPr>
          <w:szCs w:val="21"/>
        </w:rPr>
        <w:t>±</w:t>
      </w:r>
      <w:r>
        <w:rPr>
          <w:rFonts w:hint="eastAsia"/>
          <w:szCs w:val="21"/>
        </w:rPr>
        <w:t>7</w:t>
      </w:r>
      <w:r>
        <w:rPr>
          <w:szCs w:val="21"/>
        </w:rPr>
        <w:t>.</w:t>
      </w:r>
      <w:r>
        <w:rPr>
          <w:rFonts w:hint="eastAsia"/>
          <w:szCs w:val="21"/>
        </w:rPr>
        <w:t>08</w:t>
      </w:r>
      <w:r>
        <w:rPr>
          <w:szCs w:val="21"/>
        </w:rPr>
        <w:t>）岁；</w:t>
      </w:r>
      <w:r>
        <w:rPr>
          <w:rFonts w:hint="eastAsia"/>
          <w:szCs w:val="21"/>
        </w:rPr>
        <w:t>病理分期为Ⅰ期患者</w:t>
      </w:r>
      <w:r>
        <w:rPr>
          <w:rFonts w:hint="eastAsia"/>
          <w:szCs w:val="21"/>
        </w:rPr>
        <w:t>10</w:t>
      </w:r>
      <w:r>
        <w:rPr>
          <w:rFonts w:hint="eastAsia"/>
          <w:szCs w:val="21"/>
        </w:rPr>
        <w:t>例，Ⅱ期患者</w:t>
      </w:r>
      <w:r>
        <w:rPr>
          <w:rFonts w:hint="eastAsia"/>
          <w:szCs w:val="21"/>
        </w:rPr>
        <w:t>13</w:t>
      </w:r>
      <w:r>
        <w:rPr>
          <w:rFonts w:hint="eastAsia"/>
          <w:szCs w:val="21"/>
        </w:rPr>
        <w:t>例，Ⅲ期患者</w:t>
      </w:r>
      <w:r>
        <w:rPr>
          <w:rFonts w:hint="eastAsia"/>
          <w:szCs w:val="21"/>
        </w:rPr>
        <w:t>20</w:t>
      </w:r>
      <w:r>
        <w:rPr>
          <w:rFonts w:hint="eastAsia"/>
          <w:szCs w:val="21"/>
        </w:rPr>
        <w:t>例，Ⅳ期患者</w:t>
      </w:r>
      <w:r>
        <w:rPr>
          <w:rFonts w:hint="eastAsia"/>
          <w:szCs w:val="21"/>
        </w:rPr>
        <w:t>8</w:t>
      </w:r>
      <w:r>
        <w:rPr>
          <w:rFonts w:hint="eastAsia"/>
          <w:szCs w:val="21"/>
        </w:rPr>
        <w:t>例</w:t>
      </w:r>
      <w:r>
        <w:rPr>
          <w:szCs w:val="21"/>
        </w:rPr>
        <w:t>。对照组中男</w:t>
      </w:r>
      <w:r>
        <w:rPr>
          <w:rFonts w:hint="eastAsia"/>
          <w:szCs w:val="21"/>
        </w:rPr>
        <w:t>性</w:t>
      </w:r>
      <w:r>
        <w:rPr>
          <w:szCs w:val="21"/>
        </w:rPr>
        <w:t>2</w:t>
      </w:r>
      <w:r>
        <w:rPr>
          <w:rFonts w:hint="eastAsia"/>
          <w:szCs w:val="21"/>
        </w:rPr>
        <w:t>8</w:t>
      </w:r>
      <w:r>
        <w:rPr>
          <w:szCs w:val="21"/>
        </w:rPr>
        <w:t>例，女</w:t>
      </w:r>
      <w:r>
        <w:rPr>
          <w:rFonts w:hint="eastAsia"/>
          <w:szCs w:val="21"/>
        </w:rPr>
        <w:t>性</w:t>
      </w:r>
      <w:r>
        <w:rPr>
          <w:szCs w:val="21"/>
        </w:rPr>
        <w:t>2</w:t>
      </w:r>
      <w:r>
        <w:rPr>
          <w:rFonts w:hint="eastAsia"/>
          <w:szCs w:val="21"/>
        </w:rPr>
        <w:t>1</w:t>
      </w:r>
      <w:r>
        <w:rPr>
          <w:szCs w:val="21"/>
        </w:rPr>
        <w:t>例；年龄</w:t>
      </w:r>
      <w:r>
        <w:rPr>
          <w:rFonts w:hint="eastAsia"/>
          <w:szCs w:val="21"/>
        </w:rPr>
        <w:t>为</w:t>
      </w:r>
      <w:r>
        <w:rPr>
          <w:rFonts w:hint="eastAsia"/>
          <w:szCs w:val="21"/>
        </w:rPr>
        <w:t>43</w:t>
      </w:r>
      <w:r>
        <w:rPr>
          <w:szCs w:val="21"/>
        </w:rPr>
        <w:t>～</w:t>
      </w:r>
      <w:r>
        <w:rPr>
          <w:szCs w:val="21"/>
        </w:rPr>
        <w:t>7</w:t>
      </w:r>
      <w:r>
        <w:rPr>
          <w:rFonts w:hint="eastAsia"/>
          <w:szCs w:val="21"/>
        </w:rPr>
        <w:t>8</w:t>
      </w:r>
      <w:r>
        <w:rPr>
          <w:szCs w:val="21"/>
        </w:rPr>
        <w:t>岁，平均年龄</w:t>
      </w:r>
      <w:r>
        <w:rPr>
          <w:rFonts w:hint="eastAsia"/>
          <w:szCs w:val="21"/>
        </w:rPr>
        <w:t>为</w:t>
      </w:r>
      <w:r>
        <w:rPr>
          <w:szCs w:val="21"/>
        </w:rPr>
        <w:t>（</w:t>
      </w:r>
      <w:r>
        <w:rPr>
          <w:rFonts w:hint="eastAsia"/>
          <w:szCs w:val="21"/>
        </w:rPr>
        <w:t>59.84</w:t>
      </w:r>
      <w:r>
        <w:rPr>
          <w:szCs w:val="21"/>
        </w:rPr>
        <w:t>±</w:t>
      </w:r>
      <w:r>
        <w:rPr>
          <w:rFonts w:hint="eastAsia"/>
          <w:szCs w:val="21"/>
        </w:rPr>
        <w:t>7</w:t>
      </w:r>
      <w:r>
        <w:rPr>
          <w:szCs w:val="21"/>
        </w:rPr>
        <w:t>.</w:t>
      </w:r>
      <w:r>
        <w:rPr>
          <w:rFonts w:hint="eastAsia"/>
          <w:szCs w:val="21"/>
        </w:rPr>
        <w:t>09</w:t>
      </w:r>
      <w:r>
        <w:rPr>
          <w:szCs w:val="21"/>
        </w:rPr>
        <w:t>）岁；</w:t>
      </w:r>
      <w:r>
        <w:rPr>
          <w:rFonts w:hint="eastAsia"/>
          <w:szCs w:val="21"/>
        </w:rPr>
        <w:t>病理分期为Ⅰ期患者</w:t>
      </w:r>
      <w:r>
        <w:rPr>
          <w:rFonts w:hint="eastAsia"/>
          <w:szCs w:val="21"/>
        </w:rPr>
        <w:t>9</w:t>
      </w:r>
      <w:r>
        <w:rPr>
          <w:rFonts w:hint="eastAsia"/>
          <w:szCs w:val="21"/>
        </w:rPr>
        <w:t>例，Ⅱ期患者</w:t>
      </w:r>
      <w:r>
        <w:rPr>
          <w:rFonts w:hint="eastAsia"/>
          <w:szCs w:val="21"/>
        </w:rPr>
        <w:t>13</w:t>
      </w:r>
      <w:r>
        <w:rPr>
          <w:rFonts w:hint="eastAsia"/>
          <w:szCs w:val="21"/>
        </w:rPr>
        <w:t>例，Ⅲ期患者</w:t>
      </w:r>
      <w:r>
        <w:rPr>
          <w:rFonts w:hint="eastAsia"/>
          <w:szCs w:val="21"/>
        </w:rPr>
        <w:t>20</w:t>
      </w:r>
      <w:r>
        <w:rPr>
          <w:rFonts w:hint="eastAsia"/>
          <w:szCs w:val="21"/>
        </w:rPr>
        <w:t>例，Ⅳ期患者</w:t>
      </w:r>
      <w:r>
        <w:rPr>
          <w:rFonts w:hint="eastAsia"/>
          <w:szCs w:val="21"/>
        </w:rPr>
        <w:t>7</w:t>
      </w:r>
      <w:r>
        <w:rPr>
          <w:rFonts w:hint="eastAsia"/>
          <w:szCs w:val="21"/>
        </w:rPr>
        <w:t>例</w:t>
      </w:r>
      <w:r>
        <w:rPr>
          <w:szCs w:val="21"/>
        </w:rPr>
        <w:t>。两组患者在性别、年龄及</w:t>
      </w:r>
      <w:r>
        <w:rPr>
          <w:rFonts w:hint="eastAsia"/>
          <w:szCs w:val="21"/>
        </w:rPr>
        <w:t>病理分期等一般资料</w:t>
      </w:r>
      <w:r>
        <w:rPr>
          <w:szCs w:val="21"/>
        </w:rPr>
        <w:t>方面比较，差异均不具有统计学意义（</w:t>
      </w:r>
      <w:r>
        <w:rPr>
          <w:i/>
          <w:kern w:val="0"/>
          <w:szCs w:val="21"/>
        </w:rPr>
        <w:t>P</w:t>
      </w:r>
      <w:r>
        <w:rPr>
          <w:kern w:val="0"/>
          <w:szCs w:val="21"/>
        </w:rPr>
        <w:t>＞</w:t>
      </w:r>
      <w:r>
        <w:rPr>
          <w:kern w:val="0"/>
          <w:szCs w:val="21"/>
        </w:rPr>
        <w:t>0.05</w:t>
      </w:r>
      <w:r>
        <w:rPr>
          <w:szCs w:val="21"/>
        </w:rPr>
        <w:t>），具有可比性。</w:t>
      </w:r>
    </w:p>
    <w:p w:rsidR="0042219B" w:rsidRDefault="00EF6A94">
      <w:pPr>
        <w:spacing w:line="400" w:lineRule="exact"/>
        <w:rPr>
          <w:szCs w:val="21"/>
        </w:rPr>
      </w:pPr>
      <w:r>
        <w:rPr>
          <w:b/>
          <w:szCs w:val="21"/>
        </w:rPr>
        <w:t>1.2</w:t>
      </w:r>
      <w:r>
        <w:rPr>
          <w:b/>
          <w:szCs w:val="21"/>
        </w:rPr>
        <w:t>治疗方法</w:t>
      </w:r>
      <w:r w:rsidR="00DC36F2">
        <w:rPr>
          <w:rFonts w:hint="eastAsia"/>
          <w:b/>
          <w:szCs w:val="21"/>
        </w:rPr>
        <w:t>：</w:t>
      </w:r>
      <w:r>
        <w:rPr>
          <w:rFonts w:hint="eastAsia"/>
          <w:szCs w:val="21"/>
        </w:rPr>
        <w:t>两组恶性淋巴瘤患者均行</w:t>
      </w:r>
      <w:proofErr w:type="gramStart"/>
      <w:r>
        <w:rPr>
          <w:rFonts w:hint="eastAsia"/>
          <w:szCs w:val="21"/>
        </w:rPr>
        <w:t>利妥昔单抗靶向</w:t>
      </w:r>
      <w:proofErr w:type="gramEnd"/>
      <w:r>
        <w:rPr>
          <w:rFonts w:hint="eastAsia"/>
          <w:szCs w:val="21"/>
        </w:rPr>
        <w:t>治疗，对照组患者采用一般常规护理，主要包括用药前药液配置，用药后不良反应观察及处理。观察组患者则采用流程化护理方案，具体干预措施包括：①人员及培训：护理人员均经系统化培训合格，</w:t>
      </w:r>
      <w:proofErr w:type="gramStart"/>
      <w:r>
        <w:rPr>
          <w:rFonts w:hint="eastAsia"/>
          <w:szCs w:val="21"/>
        </w:rPr>
        <w:t>在靶向治疗</w:t>
      </w:r>
      <w:proofErr w:type="gramEnd"/>
      <w:r>
        <w:rPr>
          <w:rFonts w:hint="eastAsia"/>
          <w:szCs w:val="21"/>
        </w:rPr>
        <w:t>过</w:t>
      </w:r>
      <w:r w:rsidRPr="00DC36F2">
        <w:rPr>
          <w:rFonts w:hint="eastAsia"/>
          <w:szCs w:val="21"/>
        </w:rPr>
        <w:t>程</w:t>
      </w:r>
      <w:r w:rsidR="008D4811" w:rsidRPr="00DC36F2">
        <w:rPr>
          <w:rFonts w:hint="eastAsia"/>
          <w:szCs w:val="21"/>
        </w:rPr>
        <w:t>中</w:t>
      </w:r>
      <w:r>
        <w:rPr>
          <w:rFonts w:hint="eastAsia"/>
          <w:szCs w:val="21"/>
        </w:rPr>
        <w:t>掌握</w:t>
      </w:r>
      <w:proofErr w:type="gramStart"/>
      <w:r>
        <w:rPr>
          <w:rFonts w:hint="eastAsia"/>
          <w:szCs w:val="21"/>
        </w:rPr>
        <w:t>利妥昔单</w:t>
      </w:r>
      <w:proofErr w:type="gramEnd"/>
      <w:r>
        <w:rPr>
          <w:rFonts w:hint="eastAsia"/>
          <w:szCs w:val="21"/>
        </w:rPr>
        <w:t>抗药物的储存保管条件、药液配置及输注方法，</w:t>
      </w:r>
      <w:proofErr w:type="gramStart"/>
      <w:r>
        <w:rPr>
          <w:rFonts w:hint="eastAsia"/>
          <w:szCs w:val="21"/>
        </w:rPr>
        <w:t>熟悉利妥昔单</w:t>
      </w:r>
      <w:proofErr w:type="gramEnd"/>
      <w:r>
        <w:rPr>
          <w:rFonts w:hint="eastAsia"/>
          <w:szCs w:val="21"/>
        </w:rPr>
        <w:t>抗药物的作用机制及不良反应。②心理干预：针对患者</w:t>
      </w:r>
      <w:proofErr w:type="gramStart"/>
      <w:r>
        <w:rPr>
          <w:rFonts w:hint="eastAsia"/>
          <w:szCs w:val="21"/>
        </w:rPr>
        <w:t>利妥昔单抗靶向治疗</w:t>
      </w:r>
      <w:proofErr w:type="gramEnd"/>
      <w:r>
        <w:rPr>
          <w:rFonts w:hint="eastAsia"/>
          <w:szCs w:val="21"/>
        </w:rPr>
        <w:t>中紧张、焦虑等负性情绪给予针对性的心理疏导，最大限度消除患者的心理压力和负担，增强患者配合药物治疗的决心和勇气，提高患者治疗的依从性。③检查评估：在</w:t>
      </w:r>
      <w:proofErr w:type="gramStart"/>
      <w:r>
        <w:rPr>
          <w:rFonts w:hint="eastAsia"/>
          <w:szCs w:val="21"/>
        </w:rPr>
        <w:t>利妥昔单抗靶向治疗</w:t>
      </w:r>
      <w:proofErr w:type="gramEnd"/>
      <w:r>
        <w:rPr>
          <w:rFonts w:hint="eastAsia"/>
          <w:szCs w:val="21"/>
        </w:rPr>
        <w:t>前准确评估患者的基本</w:t>
      </w:r>
      <w:r>
        <w:rPr>
          <w:rFonts w:hint="eastAsia"/>
          <w:szCs w:val="21"/>
        </w:rPr>
        <w:lastRenderedPageBreak/>
        <w:t>状态，分别就患者心、肺、肝的功能情况及过敏史进行详细的询问和了解，根据结果划定高危人群并予以纠正。④用药前准备：针对首次行</w:t>
      </w:r>
      <w:proofErr w:type="gramStart"/>
      <w:r>
        <w:rPr>
          <w:rFonts w:hint="eastAsia"/>
          <w:szCs w:val="21"/>
        </w:rPr>
        <w:t>利妥昔单抗靶向治疗</w:t>
      </w:r>
      <w:proofErr w:type="gramEnd"/>
      <w:r>
        <w:rPr>
          <w:rFonts w:hint="eastAsia"/>
          <w:szCs w:val="21"/>
        </w:rPr>
        <w:t>可能引发的恶心、发热、瘙痒、寒战、畏寒、疲乏、荨麻疹、低血压、颜面潮红、病变部位疼痛甚至休克等相关并发症，应在用药前全面配备相应的急救物品。⑤执行医嘱：对</w:t>
      </w:r>
      <w:proofErr w:type="gramStart"/>
      <w:r>
        <w:rPr>
          <w:rFonts w:hint="eastAsia"/>
          <w:szCs w:val="21"/>
        </w:rPr>
        <w:t>利妥昔单</w:t>
      </w:r>
      <w:proofErr w:type="gramEnd"/>
      <w:r>
        <w:rPr>
          <w:rFonts w:hint="eastAsia"/>
          <w:szCs w:val="21"/>
        </w:rPr>
        <w:t>抗行复温处理后，分别</w:t>
      </w:r>
      <w:proofErr w:type="gramStart"/>
      <w:r>
        <w:rPr>
          <w:rFonts w:hint="eastAsia"/>
          <w:szCs w:val="21"/>
        </w:rPr>
        <w:t>就药物</w:t>
      </w:r>
      <w:proofErr w:type="gramEnd"/>
      <w:r>
        <w:rPr>
          <w:rFonts w:hint="eastAsia"/>
          <w:szCs w:val="21"/>
        </w:rPr>
        <w:t>的名称、剂量、浓度、用法等信息予以核对，无菌条件下配置药液，送至病房后再次核对药物信息。严格控制药液滴注速度，首次滴注速度控制在</w:t>
      </w:r>
      <w:r>
        <w:rPr>
          <w:szCs w:val="21"/>
        </w:rPr>
        <w:t>50mg/h</w:t>
      </w:r>
      <w:r>
        <w:rPr>
          <w:rFonts w:hint="eastAsia"/>
          <w:szCs w:val="21"/>
        </w:rPr>
        <w:t>，如未见不良反应，则每</w:t>
      </w:r>
      <w:r>
        <w:rPr>
          <w:rFonts w:hint="eastAsia"/>
          <w:szCs w:val="21"/>
        </w:rPr>
        <w:t>0.5h</w:t>
      </w:r>
      <w:r>
        <w:rPr>
          <w:rFonts w:hint="eastAsia"/>
          <w:szCs w:val="21"/>
        </w:rPr>
        <w:t>增加调整滴注速度</w:t>
      </w:r>
      <w:r>
        <w:rPr>
          <w:szCs w:val="21"/>
        </w:rPr>
        <w:t>50mg/h</w:t>
      </w:r>
      <w:r>
        <w:rPr>
          <w:rFonts w:hint="eastAsia"/>
          <w:szCs w:val="21"/>
        </w:rPr>
        <w:t>直至最大滴注速度</w:t>
      </w:r>
      <w:r>
        <w:rPr>
          <w:rFonts w:hint="eastAsia"/>
          <w:szCs w:val="21"/>
        </w:rPr>
        <w:t>400mg/h</w:t>
      </w:r>
      <w:r>
        <w:rPr>
          <w:rFonts w:hint="eastAsia"/>
          <w:szCs w:val="21"/>
        </w:rPr>
        <w:t>。⑥密切监控：在</w:t>
      </w:r>
      <w:proofErr w:type="gramStart"/>
      <w:r>
        <w:rPr>
          <w:rFonts w:hint="eastAsia"/>
          <w:szCs w:val="21"/>
        </w:rPr>
        <w:t>利妥昔单抗靶向治疗</w:t>
      </w:r>
      <w:proofErr w:type="gramEnd"/>
      <w:r>
        <w:rPr>
          <w:rFonts w:hint="eastAsia"/>
          <w:szCs w:val="21"/>
        </w:rPr>
        <w:t>的滴注过程中对不良反应进行严密的监控，若出现胸闷，心悸、寒战、血压下降及心</w:t>
      </w:r>
      <w:r w:rsidRPr="00DC36F2">
        <w:rPr>
          <w:rFonts w:hint="eastAsia"/>
          <w:szCs w:val="21"/>
        </w:rPr>
        <w:t>率</w:t>
      </w:r>
      <w:r w:rsidR="004A3C45" w:rsidRPr="00DC36F2">
        <w:rPr>
          <w:rFonts w:hint="eastAsia"/>
          <w:szCs w:val="21"/>
        </w:rPr>
        <w:t>增快</w:t>
      </w:r>
      <w:r w:rsidRPr="00DC36F2">
        <w:rPr>
          <w:rFonts w:hint="eastAsia"/>
          <w:szCs w:val="21"/>
        </w:rPr>
        <w:t>等不适感，立即将</w:t>
      </w:r>
      <w:proofErr w:type="gramStart"/>
      <w:r w:rsidRPr="00DC36F2">
        <w:rPr>
          <w:rFonts w:hint="eastAsia"/>
          <w:szCs w:val="21"/>
        </w:rPr>
        <w:t>利妥昔单</w:t>
      </w:r>
      <w:proofErr w:type="gramEnd"/>
      <w:r w:rsidRPr="00DC36F2">
        <w:rPr>
          <w:rFonts w:hint="eastAsia"/>
          <w:szCs w:val="21"/>
        </w:rPr>
        <w:t>抗滴注速度减半，并予以适当的补液</w:t>
      </w:r>
      <w:r w:rsidR="004A3C45" w:rsidRPr="00DC36F2">
        <w:rPr>
          <w:rFonts w:hint="eastAsia"/>
          <w:szCs w:val="21"/>
        </w:rPr>
        <w:t>治疗。</w:t>
      </w:r>
      <w:r w:rsidRPr="00DC36F2">
        <w:rPr>
          <w:rFonts w:hint="eastAsia"/>
          <w:szCs w:val="21"/>
        </w:rPr>
        <w:t>若出现高热则加强室内空气的对流处理，并予以有效的物理降温；若出现皮疹则切忌抓挠瘙痒部位。若出现过敏性反应则即刻停止</w:t>
      </w:r>
      <w:proofErr w:type="gramStart"/>
      <w:r w:rsidRPr="00DC36F2">
        <w:rPr>
          <w:rFonts w:hint="eastAsia"/>
          <w:szCs w:val="21"/>
        </w:rPr>
        <w:t>利妥昔单</w:t>
      </w:r>
      <w:proofErr w:type="gramEnd"/>
      <w:r w:rsidRPr="00DC36F2">
        <w:rPr>
          <w:rFonts w:hint="eastAsia"/>
          <w:szCs w:val="21"/>
        </w:rPr>
        <w:t>抗滴注，采用中流量吸氧</w:t>
      </w:r>
      <w:r w:rsidR="004A3C45" w:rsidRPr="00DC36F2">
        <w:rPr>
          <w:rFonts w:hint="eastAsia"/>
          <w:szCs w:val="21"/>
        </w:rPr>
        <w:t>（</w:t>
      </w:r>
      <w:r w:rsidR="004A3C45" w:rsidRPr="00DC36F2">
        <w:rPr>
          <w:szCs w:val="21"/>
        </w:rPr>
        <w:t>2-4L/min</w:t>
      </w:r>
      <w:r w:rsidR="004A3C45" w:rsidRPr="00DC36F2">
        <w:rPr>
          <w:rFonts w:hint="eastAsia"/>
          <w:szCs w:val="21"/>
        </w:rPr>
        <w:t>）</w:t>
      </w:r>
      <w:r w:rsidRPr="00DC36F2">
        <w:rPr>
          <w:rFonts w:hint="eastAsia"/>
          <w:szCs w:val="21"/>
        </w:rPr>
        <w:t>并开放静脉通道进行液体补充，给予抗过敏治疗并确认缓解</w:t>
      </w:r>
      <w:r w:rsidR="004A3C45" w:rsidRPr="00DC36F2">
        <w:rPr>
          <w:szCs w:val="21"/>
        </w:rPr>
        <w:t>2h</w:t>
      </w:r>
      <w:r w:rsidRPr="00DC36F2">
        <w:rPr>
          <w:rFonts w:hint="eastAsia"/>
          <w:szCs w:val="21"/>
        </w:rPr>
        <w:t>后，降低速度</w:t>
      </w:r>
      <w:r w:rsidR="003B626F" w:rsidRPr="00DC36F2">
        <w:rPr>
          <w:rFonts w:hint="eastAsia"/>
          <w:szCs w:val="21"/>
        </w:rPr>
        <w:t>至</w:t>
      </w:r>
      <w:r w:rsidR="003B626F" w:rsidRPr="00DC36F2">
        <w:rPr>
          <w:szCs w:val="21"/>
        </w:rPr>
        <w:t>100mg/h</w:t>
      </w:r>
      <w:r>
        <w:rPr>
          <w:rFonts w:hint="eastAsia"/>
          <w:szCs w:val="21"/>
        </w:rPr>
        <w:t>进行继续滴注，根据耐受情况逐渐缓慢增加滴注速度至完毕。⑦滴注完成后指导：在</w:t>
      </w:r>
      <w:proofErr w:type="gramStart"/>
      <w:r>
        <w:rPr>
          <w:rFonts w:hint="eastAsia"/>
          <w:szCs w:val="21"/>
        </w:rPr>
        <w:t>利妥昔单</w:t>
      </w:r>
      <w:proofErr w:type="gramEnd"/>
      <w:r>
        <w:rPr>
          <w:rFonts w:hint="eastAsia"/>
          <w:szCs w:val="21"/>
        </w:rPr>
        <w:t>抗滴注完成后分别就饮食方法及活动方法予以规范化的指导，并叮嘱其加强保暖以预防感冒等的发生。</w:t>
      </w:r>
    </w:p>
    <w:p w:rsidR="0042219B" w:rsidRDefault="00EF6A94">
      <w:pPr>
        <w:spacing w:line="400" w:lineRule="exact"/>
        <w:rPr>
          <w:szCs w:val="21"/>
        </w:rPr>
      </w:pPr>
      <w:r>
        <w:rPr>
          <w:b/>
          <w:szCs w:val="21"/>
        </w:rPr>
        <w:t xml:space="preserve">1.3 </w:t>
      </w:r>
      <w:r>
        <w:rPr>
          <w:b/>
          <w:szCs w:val="21"/>
        </w:rPr>
        <w:t>评价指标</w:t>
      </w:r>
      <w:r w:rsidR="00DC36F2">
        <w:rPr>
          <w:rFonts w:hint="eastAsia"/>
          <w:b/>
          <w:szCs w:val="21"/>
        </w:rPr>
        <w:t>：</w:t>
      </w:r>
      <w:r>
        <w:rPr>
          <w:szCs w:val="21"/>
        </w:rPr>
        <w:t>分别</w:t>
      </w:r>
      <w:r>
        <w:rPr>
          <w:rFonts w:hint="eastAsia"/>
          <w:szCs w:val="21"/>
        </w:rPr>
        <w:t>对</w:t>
      </w:r>
      <w:r>
        <w:rPr>
          <w:szCs w:val="21"/>
        </w:rPr>
        <w:t>两组</w:t>
      </w:r>
      <w:r>
        <w:rPr>
          <w:kern w:val="0"/>
          <w:szCs w:val="21"/>
        </w:rPr>
        <w:t>患者的临床治疗</w:t>
      </w:r>
      <w:r>
        <w:rPr>
          <w:rFonts w:hint="eastAsia"/>
          <w:kern w:val="0"/>
          <w:szCs w:val="21"/>
        </w:rPr>
        <w:t>情况，</w:t>
      </w:r>
      <w:r>
        <w:rPr>
          <w:rFonts w:hint="eastAsia"/>
          <w:szCs w:val="21"/>
        </w:rPr>
        <w:t>负性情绪变化情况及不良反应情况进行</w:t>
      </w:r>
      <w:r>
        <w:rPr>
          <w:szCs w:val="21"/>
        </w:rPr>
        <w:t>比较和分析</w:t>
      </w:r>
      <w:r>
        <w:rPr>
          <w:rFonts w:hint="eastAsia"/>
          <w:szCs w:val="21"/>
        </w:rPr>
        <w:t>。其中临床治疗情况</w:t>
      </w:r>
      <w:r>
        <w:rPr>
          <w:szCs w:val="21"/>
        </w:rPr>
        <w:t>比较和分析</w:t>
      </w:r>
      <w:r>
        <w:rPr>
          <w:rFonts w:hint="eastAsia"/>
          <w:szCs w:val="21"/>
        </w:rPr>
        <w:t>的考察项目包括</w:t>
      </w:r>
      <w:r>
        <w:rPr>
          <w:rFonts w:hint="eastAsia"/>
          <w:kern w:val="0"/>
          <w:szCs w:val="21"/>
        </w:rPr>
        <w:t>首次靶</w:t>
      </w:r>
      <w:proofErr w:type="gramStart"/>
      <w:r>
        <w:rPr>
          <w:rFonts w:hint="eastAsia"/>
          <w:kern w:val="0"/>
          <w:szCs w:val="21"/>
        </w:rPr>
        <w:t>向治疗</w:t>
      </w:r>
      <w:proofErr w:type="gramEnd"/>
      <w:r>
        <w:rPr>
          <w:rFonts w:hint="eastAsia"/>
          <w:kern w:val="0"/>
          <w:szCs w:val="21"/>
        </w:rPr>
        <w:t>滴注成功，滴注期间不良反应发生，既定治疗方案顺利完成等。</w:t>
      </w:r>
      <w:r>
        <w:rPr>
          <w:rFonts w:hint="eastAsia"/>
          <w:szCs w:val="21"/>
        </w:rPr>
        <w:t>其中负性情绪变化情况采用焦虑自评量表</w:t>
      </w:r>
      <w:r>
        <w:rPr>
          <w:kern w:val="0"/>
          <w:szCs w:val="21"/>
        </w:rPr>
        <w:t>（</w:t>
      </w:r>
      <w:r>
        <w:rPr>
          <w:szCs w:val="21"/>
        </w:rPr>
        <w:t>SAS</w:t>
      </w:r>
      <w:r>
        <w:rPr>
          <w:kern w:val="0"/>
          <w:szCs w:val="21"/>
        </w:rPr>
        <w:t>）</w:t>
      </w:r>
      <w:r>
        <w:rPr>
          <w:rFonts w:hint="eastAsia"/>
          <w:szCs w:val="21"/>
        </w:rPr>
        <w:t>和抑郁自评量表</w:t>
      </w:r>
      <w:r>
        <w:rPr>
          <w:kern w:val="0"/>
          <w:szCs w:val="21"/>
        </w:rPr>
        <w:t>（</w:t>
      </w:r>
      <w:r>
        <w:rPr>
          <w:szCs w:val="21"/>
        </w:rPr>
        <w:t>SDS</w:t>
      </w:r>
      <w:r>
        <w:rPr>
          <w:kern w:val="0"/>
          <w:szCs w:val="21"/>
        </w:rPr>
        <w:t>）</w:t>
      </w:r>
      <w:r>
        <w:rPr>
          <w:rFonts w:hint="eastAsia"/>
          <w:kern w:val="0"/>
          <w:szCs w:val="21"/>
        </w:rPr>
        <w:t>予以评定</w:t>
      </w:r>
      <w:r>
        <w:rPr>
          <w:rFonts w:hint="eastAsia"/>
          <w:szCs w:val="21"/>
        </w:rPr>
        <w:t>，轻度焦虑：</w:t>
      </w:r>
      <w:r>
        <w:rPr>
          <w:szCs w:val="21"/>
        </w:rPr>
        <w:t>SAS</w:t>
      </w:r>
      <w:r>
        <w:rPr>
          <w:rFonts w:hint="eastAsia"/>
          <w:szCs w:val="21"/>
        </w:rPr>
        <w:t>评分值</w:t>
      </w:r>
      <w:r>
        <w:rPr>
          <w:rFonts w:hint="eastAsia"/>
          <w:szCs w:val="21"/>
        </w:rPr>
        <w:t>50</w:t>
      </w:r>
      <w:r>
        <w:rPr>
          <w:rFonts w:hint="eastAsia"/>
          <w:szCs w:val="21"/>
        </w:rPr>
        <w:t>～</w:t>
      </w:r>
      <w:r>
        <w:rPr>
          <w:rFonts w:hint="eastAsia"/>
          <w:szCs w:val="21"/>
        </w:rPr>
        <w:t>59</w:t>
      </w:r>
      <w:r>
        <w:rPr>
          <w:rFonts w:hint="eastAsia"/>
          <w:szCs w:val="21"/>
        </w:rPr>
        <w:t>分，中度焦虑：</w:t>
      </w:r>
      <w:r>
        <w:rPr>
          <w:szCs w:val="21"/>
        </w:rPr>
        <w:t>SAS</w:t>
      </w:r>
      <w:r>
        <w:rPr>
          <w:rFonts w:hint="eastAsia"/>
          <w:szCs w:val="21"/>
        </w:rPr>
        <w:t>评分值</w:t>
      </w:r>
      <w:r>
        <w:rPr>
          <w:rFonts w:hint="eastAsia"/>
          <w:szCs w:val="21"/>
        </w:rPr>
        <w:t>60</w:t>
      </w:r>
      <w:r>
        <w:rPr>
          <w:rFonts w:hint="eastAsia"/>
          <w:szCs w:val="21"/>
        </w:rPr>
        <w:t>～</w:t>
      </w:r>
      <w:r>
        <w:rPr>
          <w:rFonts w:hint="eastAsia"/>
          <w:szCs w:val="21"/>
        </w:rPr>
        <w:t>69</w:t>
      </w:r>
      <w:r>
        <w:rPr>
          <w:rFonts w:hint="eastAsia"/>
          <w:szCs w:val="21"/>
        </w:rPr>
        <w:t>分，重度焦虑：</w:t>
      </w:r>
      <w:r>
        <w:rPr>
          <w:szCs w:val="21"/>
        </w:rPr>
        <w:t>SAS</w:t>
      </w:r>
      <w:r>
        <w:rPr>
          <w:rFonts w:hint="eastAsia"/>
          <w:szCs w:val="21"/>
        </w:rPr>
        <w:t>评分值</w:t>
      </w:r>
      <w:r>
        <w:rPr>
          <w:rFonts w:hint="eastAsia"/>
          <w:szCs w:val="21"/>
        </w:rPr>
        <w:t>70</w:t>
      </w:r>
      <w:r>
        <w:rPr>
          <w:rFonts w:hint="eastAsia"/>
          <w:szCs w:val="21"/>
        </w:rPr>
        <w:t>分及以上；轻度抑郁：</w:t>
      </w:r>
      <w:r>
        <w:rPr>
          <w:szCs w:val="21"/>
        </w:rPr>
        <w:t>SDS</w:t>
      </w:r>
      <w:r>
        <w:rPr>
          <w:rFonts w:hint="eastAsia"/>
          <w:szCs w:val="21"/>
        </w:rPr>
        <w:t>评分值</w:t>
      </w:r>
      <w:r>
        <w:rPr>
          <w:rFonts w:hint="eastAsia"/>
          <w:szCs w:val="21"/>
        </w:rPr>
        <w:t>53</w:t>
      </w:r>
      <w:r>
        <w:rPr>
          <w:rFonts w:hint="eastAsia"/>
          <w:szCs w:val="21"/>
        </w:rPr>
        <w:t>～</w:t>
      </w:r>
      <w:r>
        <w:rPr>
          <w:rFonts w:hint="eastAsia"/>
          <w:szCs w:val="21"/>
        </w:rPr>
        <w:t>62</w:t>
      </w:r>
      <w:r>
        <w:rPr>
          <w:rFonts w:hint="eastAsia"/>
          <w:szCs w:val="21"/>
        </w:rPr>
        <w:t>分，中度抑郁：</w:t>
      </w:r>
      <w:r>
        <w:rPr>
          <w:szCs w:val="21"/>
        </w:rPr>
        <w:t>SDS</w:t>
      </w:r>
      <w:r>
        <w:rPr>
          <w:rFonts w:hint="eastAsia"/>
          <w:szCs w:val="21"/>
        </w:rPr>
        <w:t>评分值</w:t>
      </w:r>
      <w:r>
        <w:rPr>
          <w:rFonts w:hint="eastAsia"/>
          <w:szCs w:val="21"/>
        </w:rPr>
        <w:t>63</w:t>
      </w:r>
      <w:r>
        <w:rPr>
          <w:rFonts w:hint="eastAsia"/>
          <w:szCs w:val="21"/>
        </w:rPr>
        <w:t>～</w:t>
      </w:r>
      <w:r>
        <w:rPr>
          <w:rFonts w:hint="eastAsia"/>
          <w:szCs w:val="21"/>
        </w:rPr>
        <w:t>72</w:t>
      </w:r>
      <w:r>
        <w:rPr>
          <w:rFonts w:hint="eastAsia"/>
          <w:szCs w:val="21"/>
        </w:rPr>
        <w:t>分，重度抑郁：</w:t>
      </w:r>
      <w:r>
        <w:rPr>
          <w:szCs w:val="21"/>
        </w:rPr>
        <w:t>SDS</w:t>
      </w:r>
      <w:r>
        <w:rPr>
          <w:rFonts w:hint="eastAsia"/>
          <w:szCs w:val="21"/>
        </w:rPr>
        <w:t>评分值</w:t>
      </w:r>
      <w:r>
        <w:rPr>
          <w:rFonts w:hint="eastAsia"/>
          <w:szCs w:val="21"/>
        </w:rPr>
        <w:t>73</w:t>
      </w:r>
      <w:r>
        <w:rPr>
          <w:rFonts w:hint="eastAsia"/>
          <w:szCs w:val="21"/>
        </w:rPr>
        <w:t>分</w:t>
      </w:r>
      <w:bookmarkStart w:id="0" w:name="_Hlk516922006"/>
      <w:r>
        <w:rPr>
          <w:rFonts w:hint="eastAsia"/>
          <w:szCs w:val="21"/>
        </w:rPr>
        <w:t>及以上</w:t>
      </w:r>
      <w:bookmarkEnd w:id="0"/>
      <w:r>
        <w:rPr>
          <w:rFonts w:hint="eastAsia"/>
          <w:szCs w:val="21"/>
        </w:rPr>
        <w:t>。其中不良反应情况的考察项目包括恶心呕吐，皮疹瘙痒，寒战发热，血压下降等。</w:t>
      </w:r>
    </w:p>
    <w:p w:rsidR="0042219B" w:rsidRDefault="005E3450">
      <w:pPr>
        <w:spacing w:line="400" w:lineRule="exact"/>
        <w:rPr>
          <w:kern w:val="0"/>
          <w:szCs w:val="21"/>
        </w:rPr>
      </w:pPr>
      <w:r>
        <w:pict w14:anchorId="736CC25A">
          <v:line id="1026" o:spid="_x0000_s1026" style="position:absolute;left:0;text-align:left;z-index:251657216" from="20.4pt,27.75pt" to="29.4pt,27.75pt" o:gfxdata="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FWy&#10;L1LTAAAABwEAAA8AAAAAAAAAAQAgAAAAIgAAAGRycy9kb3ducmV2LnhtbFBLAQIUABQAAAAIAIdO&#10;4kDl0eA/tgEAAHwDAAAOAAAAAAAAAAEAIAAAACIBAABkcnMvZTJvRG9jLnhtbFBLBQYAAAAABgAG&#10;AFkBAABKBQAAAAA=&#10;"/>
        </w:pict>
      </w:r>
      <w:r w:rsidR="00EF6A94">
        <w:rPr>
          <w:b/>
          <w:szCs w:val="21"/>
        </w:rPr>
        <w:t xml:space="preserve">1.4 </w:t>
      </w:r>
      <w:r w:rsidR="00EF6A94">
        <w:rPr>
          <w:b/>
          <w:szCs w:val="21"/>
        </w:rPr>
        <w:t>统计学方法</w:t>
      </w:r>
      <w:r w:rsidR="00DC36F2">
        <w:rPr>
          <w:rFonts w:hint="eastAsia"/>
          <w:b/>
          <w:szCs w:val="21"/>
        </w:rPr>
        <w:t>：</w:t>
      </w:r>
      <w:r w:rsidR="00EF6A94">
        <w:rPr>
          <w:kern w:val="0"/>
          <w:szCs w:val="21"/>
        </w:rPr>
        <w:t>采用</w:t>
      </w:r>
      <w:r w:rsidR="00EF6A94">
        <w:rPr>
          <w:kern w:val="0"/>
          <w:szCs w:val="21"/>
        </w:rPr>
        <w:t>SPSS 19. 0</w:t>
      </w:r>
      <w:r w:rsidR="00EF6A94">
        <w:rPr>
          <w:kern w:val="0"/>
          <w:szCs w:val="21"/>
        </w:rPr>
        <w:t>软件对数据进行统计学处理和分析，计量资料以均数标准差（</w:t>
      </w:r>
      <w:r w:rsidR="00EF6A94">
        <w:rPr>
          <w:i/>
          <w:kern w:val="0"/>
          <w:szCs w:val="21"/>
        </w:rPr>
        <w:t>X ± S</w:t>
      </w:r>
      <w:r w:rsidR="00EF6A94">
        <w:rPr>
          <w:kern w:val="0"/>
          <w:szCs w:val="21"/>
        </w:rPr>
        <w:t>）表示，采用</w:t>
      </w:r>
      <w:r w:rsidR="00EF6A94">
        <w:rPr>
          <w:i/>
          <w:iCs/>
          <w:kern w:val="0"/>
          <w:szCs w:val="21"/>
        </w:rPr>
        <w:t>t</w:t>
      </w:r>
      <w:r w:rsidR="00EF6A94">
        <w:rPr>
          <w:kern w:val="0"/>
          <w:szCs w:val="21"/>
        </w:rPr>
        <w:t>检验；计数资料以百分率（</w:t>
      </w:r>
      <w:r w:rsidR="00EF6A94">
        <w:rPr>
          <w:kern w:val="0"/>
          <w:szCs w:val="21"/>
        </w:rPr>
        <w:t>%</w:t>
      </w:r>
      <w:r w:rsidR="00EF6A94">
        <w:rPr>
          <w:kern w:val="0"/>
          <w:szCs w:val="21"/>
        </w:rPr>
        <w:t>）表示，采用</w:t>
      </w:r>
      <w:r w:rsidR="00EF6A94">
        <w:rPr>
          <w:i/>
          <w:iCs/>
          <w:kern w:val="0"/>
          <w:szCs w:val="21"/>
        </w:rPr>
        <w:t>χ</w:t>
      </w:r>
      <w:r w:rsidR="00EF6A94">
        <w:rPr>
          <w:kern w:val="0"/>
          <w:szCs w:val="21"/>
        </w:rPr>
        <w:t>2</w:t>
      </w:r>
      <w:r w:rsidR="00EF6A94">
        <w:rPr>
          <w:kern w:val="0"/>
          <w:szCs w:val="21"/>
        </w:rPr>
        <w:t>检验，并以</w:t>
      </w:r>
      <w:r w:rsidR="00EF6A94">
        <w:rPr>
          <w:i/>
          <w:kern w:val="0"/>
          <w:szCs w:val="21"/>
        </w:rPr>
        <w:t>p</w:t>
      </w:r>
      <w:r w:rsidR="00EF6A94">
        <w:rPr>
          <w:kern w:val="0"/>
          <w:szCs w:val="21"/>
        </w:rPr>
        <w:t>＜</w:t>
      </w:r>
      <w:r w:rsidR="00EF6A94">
        <w:rPr>
          <w:kern w:val="0"/>
          <w:szCs w:val="21"/>
        </w:rPr>
        <w:t>0.05</w:t>
      </w:r>
      <w:r w:rsidR="00EF6A94">
        <w:rPr>
          <w:kern w:val="0"/>
          <w:szCs w:val="21"/>
        </w:rPr>
        <w:t>表示差异具有统计学意义。</w:t>
      </w:r>
    </w:p>
    <w:p w:rsidR="0042219B" w:rsidRDefault="00EF6A94">
      <w:pPr>
        <w:spacing w:line="400" w:lineRule="exact"/>
        <w:rPr>
          <w:b/>
          <w:szCs w:val="21"/>
        </w:rPr>
      </w:pPr>
      <w:r>
        <w:rPr>
          <w:b/>
          <w:szCs w:val="21"/>
        </w:rPr>
        <w:t xml:space="preserve">2. </w:t>
      </w:r>
      <w:r>
        <w:rPr>
          <w:b/>
          <w:szCs w:val="21"/>
        </w:rPr>
        <w:t>结果</w:t>
      </w:r>
    </w:p>
    <w:p w:rsidR="0042219B" w:rsidRDefault="00EF6A94">
      <w:pPr>
        <w:spacing w:line="400" w:lineRule="exact"/>
        <w:rPr>
          <w:kern w:val="0"/>
          <w:szCs w:val="21"/>
        </w:rPr>
      </w:pPr>
      <w:r>
        <w:rPr>
          <w:b/>
          <w:szCs w:val="21"/>
        </w:rPr>
        <w:t>2.</w:t>
      </w:r>
      <w:r>
        <w:rPr>
          <w:rFonts w:hint="eastAsia"/>
          <w:b/>
          <w:szCs w:val="21"/>
        </w:rPr>
        <w:t>1</w:t>
      </w:r>
      <w:proofErr w:type="gramStart"/>
      <w:r>
        <w:rPr>
          <w:b/>
          <w:szCs w:val="21"/>
        </w:rPr>
        <w:t>两</w:t>
      </w:r>
      <w:proofErr w:type="gramEnd"/>
      <w:r>
        <w:rPr>
          <w:b/>
          <w:szCs w:val="21"/>
        </w:rPr>
        <w:t>组</w:t>
      </w:r>
      <w:r>
        <w:rPr>
          <w:rFonts w:hint="eastAsia"/>
          <w:b/>
          <w:szCs w:val="21"/>
        </w:rPr>
        <w:t>恶性淋巴瘤</w:t>
      </w:r>
      <w:proofErr w:type="gramStart"/>
      <w:r>
        <w:rPr>
          <w:rFonts w:hint="eastAsia"/>
          <w:b/>
          <w:szCs w:val="21"/>
        </w:rPr>
        <w:t>利妥昔单抗靶向治疗</w:t>
      </w:r>
      <w:proofErr w:type="gramEnd"/>
      <w:r>
        <w:rPr>
          <w:b/>
          <w:szCs w:val="21"/>
        </w:rPr>
        <w:t>患者</w:t>
      </w:r>
      <w:r>
        <w:rPr>
          <w:rFonts w:hint="eastAsia"/>
          <w:b/>
          <w:szCs w:val="21"/>
        </w:rPr>
        <w:t>临床治疗情况</w:t>
      </w:r>
      <w:r>
        <w:rPr>
          <w:b/>
          <w:kern w:val="0"/>
          <w:szCs w:val="21"/>
        </w:rPr>
        <w:t>的比较</w:t>
      </w:r>
      <w:r w:rsidR="003B626F">
        <w:rPr>
          <w:rFonts w:hint="eastAsia"/>
          <w:b/>
          <w:kern w:val="0"/>
          <w:szCs w:val="21"/>
        </w:rPr>
        <w:t xml:space="preserve"> </w:t>
      </w:r>
      <w:r w:rsidR="003B626F" w:rsidRPr="00DC36F2">
        <w:rPr>
          <w:szCs w:val="21"/>
        </w:rPr>
        <w:t>与对照组</w:t>
      </w:r>
      <w:r w:rsidR="003B626F" w:rsidRPr="00DC36F2">
        <w:rPr>
          <w:rFonts w:hint="eastAsia"/>
          <w:szCs w:val="21"/>
        </w:rPr>
        <w:t>比较</w:t>
      </w:r>
      <w:r w:rsidRPr="00DC36F2">
        <w:rPr>
          <w:szCs w:val="21"/>
        </w:rPr>
        <w:t>，</w:t>
      </w:r>
      <w:r>
        <w:rPr>
          <w:szCs w:val="21"/>
        </w:rPr>
        <w:t>观察组</w:t>
      </w:r>
      <w:r>
        <w:rPr>
          <w:rFonts w:hint="eastAsia"/>
          <w:kern w:val="0"/>
          <w:szCs w:val="21"/>
        </w:rPr>
        <w:t>患者首次靶</w:t>
      </w:r>
      <w:proofErr w:type="gramStart"/>
      <w:r>
        <w:rPr>
          <w:rFonts w:hint="eastAsia"/>
          <w:kern w:val="0"/>
          <w:szCs w:val="21"/>
        </w:rPr>
        <w:t>向治疗</w:t>
      </w:r>
      <w:proofErr w:type="gramEnd"/>
      <w:r>
        <w:rPr>
          <w:rFonts w:hint="eastAsia"/>
          <w:kern w:val="0"/>
          <w:szCs w:val="21"/>
        </w:rPr>
        <w:t>滴注成功</w:t>
      </w:r>
      <w:r>
        <w:rPr>
          <w:szCs w:val="21"/>
        </w:rPr>
        <w:t>率</w:t>
      </w:r>
      <w:r>
        <w:rPr>
          <w:kern w:val="0"/>
          <w:szCs w:val="21"/>
        </w:rPr>
        <w:t>9</w:t>
      </w:r>
      <w:r>
        <w:rPr>
          <w:rFonts w:hint="eastAsia"/>
          <w:kern w:val="0"/>
          <w:szCs w:val="21"/>
        </w:rPr>
        <w:t>8.04</w:t>
      </w:r>
      <w:r>
        <w:rPr>
          <w:kern w:val="0"/>
          <w:szCs w:val="21"/>
        </w:rPr>
        <w:t>%</w:t>
      </w:r>
      <w:r>
        <w:rPr>
          <w:kern w:val="0"/>
          <w:szCs w:val="21"/>
        </w:rPr>
        <w:t>（</w:t>
      </w:r>
      <w:r>
        <w:rPr>
          <w:rFonts w:hint="eastAsia"/>
          <w:kern w:val="0"/>
          <w:szCs w:val="21"/>
        </w:rPr>
        <w:t>50</w:t>
      </w:r>
      <w:r>
        <w:rPr>
          <w:kern w:val="0"/>
          <w:szCs w:val="21"/>
        </w:rPr>
        <w:t>/51</w:t>
      </w:r>
      <w:r>
        <w:rPr>
          <w:kern w:val="0"/>
          <w:szCs w:val="21"/>
        </w:rPr>
        <w:t>）</w:t>
      </w:r>
      <w:r>
        <w:rPr>
          <w:rFonts w:hint="eastAsia"/>
          <w:kern w:val="0"/>
          <w:szCs w:val="21"/>
        </w:rPr>
        <w:t>，既定治疗方案顺利完成</w:t>
      </w:r>
      <w:r>
        <w:rPr>
          <w:kern w:val="0"/>
          <w:szCs w:val="21"/>
        </w:rPr>
        <w:t>率</w:t>
      </w:r>
      <w:r>
        <w:rPr>
          <w:rFonts w:hint="eastAsia"/>
          <w:kern w:val="0"/>
          <w:szCs w:val="21"/>
        </w:rPr>
        <w:t>96.08</w:t>
      </w:r>
      <w:r>
        <w:rPr>
          <w:kern w:val="0"/>
          <w:szCs w:val="21"/>
        </w:rPr>
        <w:t>%</w:t>
      </w:r>
      <w:r>
        <w:rPr>
          <w:kern w:val="0"/>
          <w:szCs w:val="21"/>
        </w:rPr>
        <w:t>（</w:t>
      </w:r>
      <w:r>
        <w:rPr>
          <w:kern w:val="0"/>
          <w:szCs w:val="21"/>
        </w:rPr>
        <w:t>4</w:t>
      </w:r>
      <w:r>
        <w:rPr>
          <w:rFonts w:hint="eastAsia"/>
          <w:kern w:val="0"/>
          <w:szCs w:val="21"/>
        </w:rPr>
        <w:t>9</w:t>
      </w:r>
      <w:r>
        <w:rPr>
          <w:kern w:val="0"/>
          <w:szCs w:val="21"/>
        </w:rPr>
        <w:t>/51</w:t>
      </w:r>
      <w:r>
        <w:rPr>
          <w:kern w:val="0"/>
          <w:szCs w:val="21"/>
        </w:rPr>
        <w:t>）</w:t>
      </w:r>
      <w:r>
        <w:rPr>
          <w:rFonts w:hint="eastAsia"/>
          <w:kern w:val="0"/>
          <w:szCs w:val="21"/>
        </w:rPr>
        <w:t>均</w:t>
      </w:r>
      <w:r>
        <w:rPr>
          <w:kern w:val="0"/>
          <w:szCs w:val="21"/>
        </w:rPr>
        <w:t>明显提高，而</w:t>
      </w:r>
      <w:r>
        <w:rPr>
          <w:rFonts w:hint="eastAsia"/>
          <w:kern w:val="0"/>
          <w:szCs w:val="21"/>
        </w:rPr>
        <w:t>滴注期间不良反应发生</w:t>
      </w:r>
      <w:r>
        <w:rPr>
          <w:kern w:val="0"/>
          <w:szCs w:val="21"/>
        </w:rPr>
        <w:t>率</w:t>
      </w:r>
      <w:r>
        <w:rPr>
          <w:kern w:val="0"/>
          <w:szCs w:val="21"/>
        </w:rPr>
        <w:t>7.84%</w:t>
      </w:r>
      <w:r>
        <w:rPr>
          <w:kern w:val="0"/>
          <w:szCs w:val="21"/>
        </w:rPr>
        <w:t>（</w:t>
      </w:r>
      <w:r>
        <w:rPr>
          <w:kern w:val="0"/>
          <w:szCs w:val="21"/>
        </w:rPr>
        <w:t>4/51</w:t>
      </w:r>
      <w:r>
        <w:rPr>
          <w:kern w:val="0"/>
          <w:szCs w:val="21"/>
        </w:rPr>
        <w:t>）则</w:t>
      </w:r>
      <w:r>
        <w:rPr>
          <w:szCs w:val="21"/>
        </w:rPr>
        <w:t>明显降低，差异均具有统计学意义</w:t>
      </w:r>
      <w:r>
        <w:rPr>
          <w:kern w:val="0"/>
          <w:szCs w:val="21"/>
        </w:rPr>
        <w:t>（</w:t>
      </w:r>
      <w:r>
        <w:rPr>
          <w:i/>
          <w:kern w:val="0"/>
          <w:szCs w:val="21"/>
        </w:rPr>
        <w:t>P</w:t>
      </w:r>
      <w:r>
        <w:rPr>
          <w:kern w:val="0"/>
          <w:szCs w:val="21"/>
        </w:rPr>
        <w:t>＜</w:t>
      </w:r>
      <w:r>
        <w:rPr>
          <w:kern w:val="0"/>
          <w:szCs w:val="21"/>
        </w:rPr>
        <w:t>0.05</w:t>
      </w:r>
      <w:r>
        <w:rPr>
          <w:kern w:val="0"/>
          <w:szCs w:val="21"/>
        </w:rPr>
        <w:t>），结果见表</w:t>
      </w:r>
      <w:r>
        <w:rPr>
          <w:rFonts w:hint="eastAsia"/>
          <w:kern w:val="0"/>
          <w:szCs w:val="21"/>
        </w:rPr>
        <w:t>1</w:t>
      </w:r>
      <w:r>
        <w:rPr>
          <w:kern w:val="0"/>
          <w:szCs w:val="21"/>
        </w:rPr>
        <w:t>。</w:t>
      </w:r>
    </w:p>
    <w:p w:rsidR="0042219B" w:rsidRDefault="00EF6A94">
      <w:pPr>
        <w:spacing w:line="400" w:lineRule="exact"/>
        <w:jc w:val="center"/>
        <w:rPr>
          <w:szCs w:val="21"/>
        </w:rPr>
      </w:pPr>
      <w:r>
        <w:rPr>
          <w:kern w:val="0"/>
          <w:szCs w:val="21"/>
        </w:rPr>
        <w:t>表</w:t>
      </w:r>
      <w:r>
        <w:rPr>
          <w:rFonts w:hint="eastAsia"/>
          <w:kern w:val="0"/>
          <w:szCs w:val="21"/>
        </w:rPr>
        <w:t>1</w:t>
      </w:r>
      <w:proofErr w:type="gramStart"/>
      <w:r>
        <w:rPr>
          <w:rFonts w:hint="eastAsia"/>
          <w:kern w:val="0"/>
          <w:szCs w:val="21"/>
        </w:rPr>
        <w:t>两</w:t>
      </w:r>
      <w:proofErr w:type="gramEnd"/>
      <w:r>
        <w:rPr>
          <w:rFonts w:hint="eastAsia"/>
          <w:kern w:val="0"/>
          <w:szCs w:val="21"/>
        </w:rPr>
        <w:t>组恶性淋巴瘤</w:t>
      </w:r>
      <w:proofErr w:type="gramStart"/>
      <w:r>
        <w:rPr>
          <w:rFonts w:hint="eastAsia"/>
          <w:kern w:val="0"/>
          <w:szCs w:val="21"/>
        </w:rPr>
        <w:t>利妥昔单抗靶向治疗</w:t>
      </w:r>
      <w:proofErr w:type="gramEnd"/>
      <w:r>
        <w:rPr>
          <w:rFonts w:hint="eastAsia"/>
          <w:kern w:val="0"/>
          <w:szCs w:val="21"/>
        </w:rPr>
        <w:t>患者临床治疗情况的比较</w:t>
      </w:r>
      <w:r>
        <w:rPr>
          <w:szCs w:val="21"/>
        </w:rPr>
        <w:t>（例，</w:t>
      </w:r>
      <w:r>
        <w:rPr>
          <w:szCs w:val="21"/>
        </w:rPr>
        <w:t>%</w:t>
      </w:r>
      <w:r>
        <w:rPr>
          <w:szCs w:val="21"/>
        </w:rPr>
        <w:t>）</w:t>
      </w:r>
    </w:p>
    <w:tbl>
      <w:tblPr>
        <w:tblW w:w="10731" w:type="dxa"/>
        <w:jc w:val="center"/>
        <w:tblBorders>
          <w:top w:val="single" w:sz="4" w:space="0" w:color="auto"/>
          <w:bottom w:val="single" w:sz="4" w:space="0" w:color="auto"/>
        </w:tblBorders>
        <w:tblLayout w:type="fixed"/>
        <w:tblLook w:val="04A0" w:firstRow="1" w:lastRow="0" w:firstColumn="1" w:lastColumn="0" w:noHBand="0" w:noVBand="1"/>
      </w:tblPr>
      <w:tblGrid>
        <w:gridCol w:w="1124"/>
        <w:gridCol w:w="1357"/>
        <w:gridCol w:w="2672"/>
        <w:gridCol w:w="2793"/>
        <w:gridCol w:w="2785"/>
      </w:tblGrid>
      <w:tr w:rsidR="0042219B">
        <w:trPr>
          <w:trHeight w:val="90"/>
          <w:jc w:val="center"/>
        </w:trPr>
        <w:tc>
          <w:tcPr>
            <w:tcW w:w="1124" w:type="dxa"/>
            <w:tcBorders>
              <w:top w:val="single" w:sz="4" w:space="0" w:color="auto"/>
              <w:bottom w:val="single" w:sz="4" w:space="0" w:color="auto"/>
            </w:tcBorders>
          </w:tcPr>
          <w:p w:rsidR="0042219B" w:rsidRDefault="00EF6A94">
            <w:pPr>
              <w:spacing w:line="400" w:lineRule="exact"/>
              <w:jc w:val="center"/>
              <w:rPr>
                <w:szCs w:val="21"/>
              </w:rPr>
            </w:pPr>
            <w:r>
              <w:rPr>
                <w:szCs w:val="21"/>
              </w:rPr>
              <w:t>组别</w:t>
            </w:r>
          </w:p>
        </w:tc>
        <w:tc>
          <w:tcPr>
            <w:tcW w:w="1357" w:type="dxa"/>
            <w:tcBorders>
              <w:top w:val="single" w:sz="4" w:space="0" w:color="auto"/>
              <w:bottom w:val="single" w:sz="4" w:space="0" w:color="auto"/>
            </w:tcBorders>
          </w:tcPr>
          <w:p w:rsidR="0042219B" w:rsidRDefault="00EF6A94">
            <w:pPr>
              <w:spacing w:line="400" w:lineRule="exact"/>
              <w:jc w:val="center"/>
              <w:rPr>
                <w:szCs w:val="21"/>
              </w:rPr>
            </w:pPr>
            <w:r>
              <w:rPr>
                <w:szCs w:val="21"/>
              </w:rPr>
              <w:t>例数</w:t>
            </w:r>
            <w:r>
              <w:rPr>
                <w:szCs w:val="21"/>
              </w:rPr>
              <w:t>(n)</w:t>
            </w:r>
          </w:p>
        </w:tc>
        <w:tc>
          <w:tcPr>
            <w:tcW w:w="2672" w:type="dxa"/>
            <w:tcBorders>
              <w:top w:val="single" w:sz="4" w:space="0" w:color="auto"/>
              <w:bottom w:val="single" w:sz="4" w:space="0" w:color="auto"/>
            </w:tcBorders>
          </w:tcPr>
          <w:p w:rsidR="0042219B" w:rsidRDefault="00EF6A94">
            <w:pPr>
              <w:spacing w:line="400" w:lineRule="exact"/>
              <w:jc w:val="center"/>
              <w:rPr>
                <w:szCs w:val="21"/>
              </w:rPr>
            </w:pPr>
            <w:r>
              <w:rPr>
                <w:rFonts w:hint="eastAsia"/>
                <w:kern w:val="0"/>
                <w:szCs w:val="21"/>
              </w:rPr>
              <w:t>首次靶</w:t>
            </w:r>
            <w:proofErr w:type="gramStart"/>
            <w:r>
              <w:rPr>
                <w:rFonts w:hint="eastAsia"/>
                <w:kern w:val="0"/>
                <w:szCs w:val="21"/>
              </w:rPr>
              <w:t>向治疗</w:t>
            </w:r>
            <w:proofErr w:type="gramEnd"/>
            <w:r>
              <w:rPr>
                <w:rFonts w:hint="eastAsia"/>
                <w:kern w:val="0"/>
                <w:szCs w:val="21"/>
              </w:rPr>
              <w:t>滴注成功</w:t>
            </w:r>
            <w:r>
              <w:rPr>
                <w:szCs w:val="21"/>
              </w:rPr>
              <w:t>(%)</w:t>
            </w:r>
          </w:p>
        </w:tc>
        <w:tc>
          <w:tcPr>
            <w:tcW w:w="2793" w:type="dxa"/>
            <w:tcBorders>
              <w:top w:val="single" w:sz="4" w:space="0" w:color="auto"/>
              <w:bottom w:val="single" w:sz="4" w:space="0" w:color="auto"/>
            </w:tcBorders>
          </w:tcPr>
          <w:p w:rsidR="0042219B" w:rsidRDefault="00EF6A94">
            <w:pPr>
              <w:spacing w:line="400" w:lineRule="exact"/>
              <w:jc w:val="center"/>
              <w:rPr>
                <w:szCs w:val="21"/>
              </w:rPr>
            </w:pPr>
            <w:r>
              <w:rPr>
                <w:rFonts w:hint="eastAsia"/>
                <w:kern w:val="0"/>
                <w:szCs w:val="21"/>
              </w:rPr>
              <w:t>滴注期间不良反应发生</w:t>
            </w:r>
            <w:r>
              <w:rPr>
                <w:szCs w:val="21"/>
              </w:rPr>
              <w:t>(%)</w:t>
            </w:r>
          </w:p>
        </w:tc>
        <w:tc>
          <w:tcPr>
            <w:tcW w:w="2785" w:type="dxa"/>
            <w:tcBorders>
              <w:top w:val="single" w:sz="4" w:space="0" w:color="auto"/>
              <w:bottom w:val="single" w:sz="4" w:space="0" w:color="auto"/>
            </w:tcBorders>
          </w:tcPr>
          <w:p w:rsidR="0042219B" w:rsidRDefault="00EF6A94">
            <w:pPr>
              <w:spacing w:line="400" w:lineRule="exact"/>
              <w:jc w:val="center"/>
              <w:rPr>
                <w:szCs w:val="21"/>
              </w:rPr>
            </w:pPr>
            <w:r>
              <w:rPr>
                <w:rFonts w:hint="eastAsia"/>
                <w:kern w:val="0"/>
                <w:szCs w:val="21"/>
              </w:rPr>
              <w:t>既定治疗方案顺利完成</w:t>
            </w:r>
            <w:r>
              <w:rPr>
                <w:szCs w:val="21"/>
              </w:rPr>
              <w:t>(%)</w:t>
            </w:r>
          </w:p>
        </w:tc>
      </w:tr>
      <w:tr w:rsidR="0042219B">
        <w:trPr>
          <w:trHeight w:val="43"/>
          <w:jc w:val="center"/>
        </w:trPr>
        <w:tc>
          <w:tcPr>
            <w:tcW w:w="1124" w:type="dxa"/>
            <w:tcBorders>
              <w:top w:val="single" w:sz="4" w:space="0" w:color="auto"/>
            </w:tcBorders>
          </w:tcPr>
          <w:p w:rsidR="0042219B" w:rsidRDefault="00EF6A94">
            <w:pPr>
              <w:spacing w:line="400" w:lineRule="exact"/>
              <w:jc w:val="center"/>
              <w:rPr>
                <w:szCs w:val="21"/>
              </w:rPr>
            </w:pPr>
            <w:r>
              <w:rPr>
                <w:szCs w:val="21"/>
              </w:rPr>
              <w:t>观察组</w:t>
            </w:r>
          </w:p>
        </w:tc>
        <w:tc>
          <w:tcPr>
            <w:tcW w:w="1357" w:type="dxa"/>
            <w:tcBorders>
              <w:top w:val="single" w:sz="4" w:space="0" w:color="auto"/>
            </w:tcBorders>
          </w:tcPr>
          <w:p w:rsidR="0042219B" w:rsidRDefault="00EF6A94">
            <w:pPr>
              <w:spacing w:line="400" w:lineRule="exact"/>
              <w:jc w:val="center"/>
              <w:rPr>
                <w:szCs w:val="21"/>
              </w:rPr>
            </w:pPr>
            <w:r>
              <w:rPr>
                <w:szCs w:val="21"/>
              </w:rPr>
              <w:t>51</w:t>
            </w:r>
          </w:p>
        </w:tc>
        <w:tc>
          <w:tcPr>
            <w:tcW w:w="2672" w:type="dxa"/>
            <w:tcBorders>
              <w:top w:val="single" w:sz="4" w:space="0" w:color="auto"/>
            </w:tcBorders>
          </w:tcPr>
          <w:p w:rsidR="0042219B" w:rsidRDefault="00EF6A94">
            <w:pPr>
              <w:spacing w:line="400" w:lineRule="exact"/>
              <w:jc w:val="center"/>
              <w:rPr>
                <w:szCs w:val="21"/>
              </w:rPr>
            </w:pPr>
            <w:r>
              <w:rPr>
                <w:rFonts w:hint="eastAsia"/>
                <w:kern w:val="0"/>
                <w:szCs w:val="21"/>
              </w:rPr>
              <w:t>50</w:t>
            </w:r>
            <w:r>
              <w:rPr>
                <w:kern w:val="0"/>
                <w:szCs w:val="21"/>
              </w:rPr>
              <w:t>(</w:t>
            </w:r>
            <w:proofErr w:type="gramStart"/>
            <w:r>
              <w:rPr>
                <w:kern w:val="0"/>
                <w:szCs w:val="21"/>
              </w:rPr>
              <w:t>9</w:t>
            </w:r>
            <w:r>
              <w:rPr>
                <w:rFonts w:hint="eastAsia"/>
                <w:kern w:val="0"/>
                <w:szCs w:val="21"/>
              </w:rPr>
              <w:t>8.04</w:t>
            </w:r>
            <w:r>
              <w:rPr>
                <w:kern w:val="0"/>
                <w:szCs w:val="21"/>
              </w:rPr>
              <w:t>)*</w:t>
            </w:r>
            <w:proofErr w:type="gramEnd"/>
          </w:p>
        </w:tc>
        <w:tc>
          <w:tcPr>
            <w:tcW w:w="2793" w:type="dxa"/>
            <w:tcBorders>
              <w:top w:val="single" w:sz="4" w:space="0" w:color="auto"/>
            </w:tcBorders>
          </w:tcPr>
          <w:p w:rsidR="0042219B" w:rsidRDefault="00EF6A94">
            <w:pPr>
              <w:spacing w:line="400" w:lineRule="exact"/>
              <w:jc w:val="center"/>
              <w:rPr>
                <w:szCs w:val="21"/>
              </w:rPr>
            </w:pPr>
            <w:r>
              <w:rPr>
                <w:kern w:val="0"/>
                <w:szCs w:val="21"/>
              </w:rPr>
              <w:t xml:space="preserve"> 4(</w:t>
            </w:r>
            <w:proofErr w:type="gramStart"/>
            <w:r>
              <w:rPr>
                <w:rFonts w:hint="eastAsia"/>
                <w:kern w:val="0"/>
                <w:szCs w:val="21"/>
              </w:rPr>
              <w:t>7.84</w:t>
            </w:r>
            <w:r>
              <w:rPr>
                <w:kern w:val="0"/>
                <w:szCs w:val="21"/>
              </w:rPr>
              <w:t>)*</w:t>
            </w:r>
            <w:proofErr w:type="gramEnd"/>
          </w:p>
        </w:tc>
        <w:tc>
          <w:tcPr>
            <w:tcW w:w="2785" w:type="dxa"/>
            <w:tcBorders>
              <w:top w:val="single" w:sz="4" w:space="0" w:color="auto"/>
            </w:tcBorders>
          </w:tcPr>
          <w:p w:rsidR="0042219B" w:rsidRDefault="00EF6A94">
            <w:pPr>
              <w:spacing w:line="400" w:lineRule="exact"/>
              <w:jc w:val="center"/>
              <w:rPr>
                <w:szCs w:val="21"/>
              </w:rPr>
            </w:pPr>
            <w:r>
              <w:rPr>
                <w:kern w:val="0"/>
                <w:szCs w:val="21"/>
              </w:rPr>
              <w:t xml:space="preserve"> 4</w:t>
            </w:r>
            <w:r>
              <w:rPr>
                <w:rFonts w:hint="eastAsia"/>
                <w:kern w:val="0"/>
                <w:szCs w:val="21"/>
              </w:rPr>
              <w:t>9</w:t>
            </w:r>
            <w:r>
              <w:rPr>
                <w:kern w:val="0"/>
                <w:szCs w:val="21"/>
              </w:rPr>
              <w:t>(</w:t>
            </w:r>
            <w:proofErr w:type="gramStart"/>
            <w:r>
              <w:rPr>
                <w:rFonts w:hint="eastAsia"/>
                <w:kern w:val="0"/>
                <w:szCs w:val="21"/>
              </w:rPr>
              <w:t>96.08</w:t>
            </w:r>
            <w:r>
              <w:rPr>
                <w:kern w:val="0"/>
                <w:szCs w:val="21"/>
              </w:rPr>
              <w:t>)*</w:t>
            </w:r>
            <w:proofErr w:type="gramEnd"/>
          </w:p>
        </w:tc>
      </w:tr>
      <w:tr w:rsidR="0042219B">
        <w:trPr>
          <w:trHeight w:val="43"/>
          <w:jc w:val="center"/>
        </w:trPr>
        <w:tc>
          <w:tcPr>
            <w:tcW w:w="1124" w:type="dxa"/>
          </w:tcPr>
          <w:p w:rsidR="0042219B" w:rsidRDefault="00EF6A94">
            <w:pPr>
              <w:spacing w:line="400" w:lineRule="exact"/>
              <w:jc w:val="center"/>
              <w:rPr>
                <w:szCs w:val="21"/>
              </w:rPr>
            </w:pPr>
            <w:r>
              <w:rPr>
                <w:szCs w:val="21"/>
              </w:rPr>
              <w:t>对照组</w:t>
            </w:r>
          </w:p>
        </w:tc>
        <w:tc>
          <w:tcPr>
            <w:tcW w:w="1357" w:type="dxa"/>
          </w:tcPr>
          <w:p w:rsidR="0042219B" w:rsidRDefault="00EF6A94">
            <w:pPr>
              <w:spacing w:line="400" w:lineRule="exact"/>
              <w:jc w:val="center"/>
              <w:rPr>
                <w:szCs w:val="21"/>
              </w:rPr>
            </w:pPr>
            <w:r>
              <w:rPr>
                <w:szCs w:val="21"/>
              </w:rPr>
              <w:t>49</w:t>
            </w:r>
          </w:p>
        </w:tc>
        <w:tc>
          <w:tcPr>
            <w:tcW w:w="2672" w:type="dxa"/>
          </w:tcPr>
          <w:p w:rsidR="0042219B" w:rsidRDefault="00EF6A94">
            <w:pPr>
              <w:spacing w:line="400" w:lineRule="exact"/>
              <w:jc w:val="center"/>
              <w:rPr>
                <w:kern w:val="0"/>
                <w:szCs w:val="21"/>
              </w:rPr>
            </w:pPr>
            <w:r>
              <w:rPr>
                <w:rFonts w:hint="eastAsia"/>
                <w:kern w:val="0"/>
                <w:szCs w:val="21"/>
              </w:rPr>
              <w:t>43</w:t>
            </w:r>
            <w:r>
              <w:rPr>
                <w:kern w:val="0"/>
                <w:szCs w:val="21"/>
              </w:rPr>
              <w:t>(</w:t>
            </w:r>
            <w:r>
              <w:rPr>
                <w:rFonts w:hint="eastAsia"/>
                <w:kern w:val="0"/>
                <w:szCs w:val="21"/>
              </w:rPr>
              <w:t>87.76</w:t>
            </w:r>
            <w:r>
              <w:rPr>
                <w:kern w:val="0"/>
                <w:szCs w:val="21"/>
              </w:rPr>
              <w:t>)</w:t>
            </w:r>
          </w:p>
        </w:tc>
        <w:tc>
          <w:tcPr>
            <w:tcW w:w="2793" w:type="dxa"/>
          </w:tcPr>
          <w:p w:rsidR="0042219B" w:rsidRDefault="00EF6A94">
            <w:pPr>
              <w:spacing w:line="400" w:lineRule="exact"/>
              <w:jc w:val="center"/>
              <w:rPr>
                <w:kern w:val="0"/>
                <w:szCs w:val="21"/>
              </w:rPr>
            </w:pPr>
            <w:r>
              <w:rPr>
                <w:rFonts w:hint="eastAsia"/>
                <w:kern w:val="0"/>
                <w:szCs w:val="21"/>
              </w:rPr>
              <w:t>11</w:t>
            </w:r>
            <w:r>
              <w:rPr>
                <w:kern w:val="0"/>
                <w:szCs w:val="21"/>
              </w:rPr>
              <w:t>(</w:t>
            </w:r>
            <w:r>
              <w:rPr>
                <w:rFonts w:hint="eastAsia"/>
                <w:kern w:val="0"/>
                <w:szCs w:val="21"/>
              </w:rPr>
              <w:t>22.45</w:t>
            </w:r>
            <w:r>
              <w:rPr>
                <w:kern w:val="0"/>
                <w:szCs w:val="21"/>
              </w:rPr>
              <w:t>)</w:t>
            </w:r>
          </w:p>
        </w:tc>
        <w:tc>
          <w:tcPr>
            <w:tcW w:w="2785" w:type="dxa"/>
          </w:tcPr>
          <w:p w:rsidR="0042219B" w:rsidRDefault="00EF6A94">
            <w:pPr>
              <w:spacing w:line="400" w:lineRule="exact"/>
              <w:jc w:val="center"/>
              <w:rPr>
                <w:kern w:val="0"/>
                <w:szCs w:val="21"/>
              </w:rPr>
            </w:pPr>
            <w:r>
              <w:rPr>
                <w:rFonts w:hint="eastAsia"/>
                <w:kern w:val="0"/>
                <w:szCs w:val="21"/>
              </w:rPr>
              <w:t>41</w:t>
            </w:r>
            <w:r>
              <w:rPr>
                <w:kern w:val="0"/>
                <w:szCs w:val="21"/>
              </w:rPr>
              <w:t>(</w:t>
            </w:r>
            <w:r>
              <w:rPr>
                <w:rFonts w:hint="eastAsia"/>
                <w:kern w:val="0"/>
                <w:szCs w:val="21"/>
              </w:rPr>
              <w:t>83.67</w:t>
            </w:r>
            <w:r>
              <w:rPr>
                <w:kern w:val="0"/>
                <w:szCs w:val="21"/>
              </w:rPr>
              <w:t>)</w:t>
            </w:r>
          </w:p>
        </w:tc>
      </w:tr>
      <w:tr w:rsidR="0042219B">
        <w:trPr>
          <w:trHeight w:val="43"/>
          <w:jc w:val="center"/>
        </w:trPr>
        <w:tc>
          <w:tcPr>
            <w:tcW w:w="2481" w:type="dxa"/>
            <w:gridSpan w:val="2"/>
          </w:tcPr>
          <w:p w:rsidR="0042219B" w:rsidRDefault="00EF6A94">
            <w:pPr>
              <w:spacing w:line="400" w:lineRule="exact"/>
              <w:ind w:firstLineChars="400" w:firstLine="840"/>
              <w:jc w:val="center"/>
              <w:rPr>
                <w:szCs w:val="21"/>
              </w:rPr>
            </w:pPr>
            <w:r>
              <w:rPr>
                <w:i/>
                <w:iCs/>
                <w:kern w:val="0"/>
                <w:szCs w:val="21"/>
              </w:rPr>
              <w:lastRenderedPageBreak/>
              <w:t>χ</w:t>
            </w:r>
            <w:r>
              <w:rPr>
                <w:kern w:val="0"/>
                <w:szCs w:val="21"/>
              </w:rPr>
              <w:t>2</w:t>
            </w:r>
            <w:r>
              <w:rPr>
                <w:kern w:val="0"/>
                <w:szCs w:val="21"/>
              </w:rPr>
              <w:t>值</w:t>
            </w:r>
          </w:p>
        </w:tc>
        <w:tc>
          <w:tcPr>
            <w:tcW w:w="2672" w:type="dxa"/>
          </w:tcPr>
          <w:p w:rsidR="0042219B" w:rsidRDefault="00EF6A94">
            <w:pPr>
              <w:spacing w:line="400" w:lineRule="exact"/>
              <w:jc w:val="center"/>
              <w:rPr>
                <w:kern w:val="0"/>
                <w:szCs w:val="21"/>
              </w:rPr>
            </w:pPr>
            <w:r>
              <w:rPr>
                <w:kern w:val="0"/>
                <w:szCs w:val="21"/>
              </w:rPr>
              <w:t>4.</w:t>
            </w:r>
            <w:r>
              <w:rPr>
                <w:rFonts w:hint="eastAsia"/>
                <w:kern w:val="0"/>
                <w:szCs w:val="21"/>
              </w:rPr>
              <w:t>060</w:t>
            </w:r>
          </w:p>
        </w:tc>
        <w:tc>
          <w:tcPr>
            <w:tcW w:w="2793" w:type="dxa"/>
          </w:tcPr>
          <w:p w:rsidR="0042219B" w:rsidRDefault="00EF6A94">
            <w:pPr>
              <w:spacing w:line="400" w:lineRule="exact"/>
              <w:jc w:val="center"/>
              <w:rPr>
                <w:kern w:val="0"/>
                <w:szCs w:val="21"/>
              </w:rPr>
            </w:pPr>
            <w:r>
              <w:rPr>
                <w:kern w:val="0"/>
                <w:szCs w:val="21"/>
              </w:rPr>
              <w:t>4.181</w:t>
            </w:r>
          </w:p>
        </w:tc>
        <w:tc>
          <w:tcPr>
            <w:tcW w:w="2785" w:type="dxa"/>
          </w:tcPr>
          <w:p w:rsidR="0042219B" w:rsidRDefault="00EF6A94">
            <w:pPr>
              <w:spacing w:line="400" w:lineRule="exact"/>
              <w:jc w:val="center"/>
              <w:rPr>
                <w:kern w:val="0"/>
                <w:szCs w:val="21"/>
              </w:rPr>
            </w:pPr>
            <w:r>
              <w:rPr>
                <w:kern w:val="0"/>
                <w:szCs w:val="21"/>
              </w:rPr>
              <w:t>4.</w:t>
            </w:r>
            <w:r>
              <w:rPr>
                <w:rFonts w:hint="eastAsia"/>
                <w:kern w:val="0"/>
                <w:szCs w:val="21"/>
              </w:rPr>
              <w:t>273</w:t>
            </w:r>
          </w:p>
        </w:tc>
      </w:tr>
      <w:tr w:rsidR="0042219B">
        <w:trPr>
          <w:trHeight w:val="43"/>
          <w:jc w:val="center"/>
        </w:trPr>
        <w:tc>
          <w:tcPr>
            <w:tcW w:w="2481" w:type="dxa"/>
            <w:gridSpan w:val="2"/>
          </w:tcPr>
          <w:p w:rsidR="0042219B" w:rsidRDefault="00EF6A94">
            <w:pPr>
              <w:spacing w:line="400" w:lineRule="exact"/>
              <w:ind w:firstLineChars="400" w:firstLine="840"/>
              <w:jc w:val="center"/>
              <w:rPr>
                <w:szCs w:val="21"/>
              </w:rPr>
            </w:pPr>
            <w:r>
              <w:rPr>
                <w:i/>
                <w:kern w:val="0"/>
                <w:szCs w:val="21"/>
              </w:rPr>
              <w:t>P</w:t>
            </w:r>
            <w:r>
              <w:rPr>
                <w:kern w:val="0"/>
                <w:szCs w:val="21"/>
              </w:rPr>
              <w:t>值</w:t>
            </w:r>
          </w:p>
        </w:tc>
        <w:tc>
          <w:tcPr>
            <w:tcW w:w="2672" w:type="dxa"/>
          </w:tcPr>
          <w:p w:rsidR="0042219B" w:rsidRPr="00DC36F2" w:rsidRDefault="003B626F">
            <w:pPr>
              <w:spacing w:line="400" w:lineRule="exact"/>
              <w:jc w:val="center"/>
              <w:rPr>
                <w:kern w:val="0"/>
                <w:szCs w:val="21"/>
              </w:rPr>
            </w:pPr>
            <w:r w:rsidRPr="00DC36F2">
              <w:rPr>
                <w:kern w:val="0"/>
                <w:szCs w:val="21"/>
              </w:rPr>
              <w:t>0.044</w:t>
            </w:r>
          </w:p>
        </w:tc>
        <w:tc>
          <w:tcPr>
            <w:tcW w:w="2793" w:type="dxa"/>
          </w:tcPr>
          <w:p w:rsidR="0042219B" w:rsidRPr="00DC36F2" w:rsidRDefault="003B626F">
            <w:pPr>
              <w:spacing w:line="400" w:lineRule="exact"/>
              <w:jc w:val="center"/>
              <w:rPr>
                <w:kern w:val="0"/>
                <w:szCs w:val="21"/>
              </w:rPr>
            </w:pPr>
            <w:r w:rsidRPr="00DC36F2">
              <w:rPr>
                <w:kern w:val="0"/>
                <w:szCs w:val="21"/>
              </w:rPr>
              <w:t>0.041</w:t>
            </w:r>
          </w:p>
        </w:tc>
        <w:tc>
          <w:tcPr>
            <w:tcW w:w="2785" w:type="dxa"/>
          </w:tcPr>
          <w:p w:rsidR="0042219B" w:rsidRPr="00DC36F2" w:rsidRDefault="003B626F">
            <w:pPr>
              <w:spacing w:line="400" w:lineRule="exact"/>
              <w:jc w:val="center"/>
              <w:rPr>
                <w:kern w:val="0"/>
                <w:szCs w:val="21"/>
              </w:rPr>
            </w:pPr>
            <w:r w:rsidRPr="00DC36F2">
              <w:rPr>
                <w:kern w:val="0"/>
                <w:szCs w:val="21"/>
              </w:rPr>
              <w:t>0.039</w:t>
            </w:r>
          </w:p>
        </w:tc>
      </w:tr>
    </w:tbl>
    <w:p w:rsidR="0042219B" w:rsidRDefault="00EF6A94">
      <w:pPr>
        <w:spacing w:line="400" w:lineRule="exact"/>
        <w:rPr>
          <w:kern w:val="0"/>
          <w:szCs w:val="21"/>
        </w:rPr>
      </w:pPr>
      <w:r>
        <w:rPr>
          <w:b/>
          <w:szCs w:val="21"/>
        </w:rPr>
        <w:t>2.</w:t>
      </w:r>
      <w:bookmarkStart w:id="1" w:name="_Hlk516925934"/>
      <w:r>
        <w:rPr>
          <w:rFonts w:hint="eastAsia"/>
          <w:b/>
          <w:szCs w:val="21"/>
        </w:rPr>
        <w:t>2</w:t>
      </w:r>
      <w:proofErr w:type="gramStart"/>
      <w:r>
        <w:rPr>
          <w:b/>
          <w:szCs w:val="21"/>
        </w:rPr>
        <w:t>两</w:t>
      </w:r>
      <w:proofErr w:type="gramEnd"/>
      <w:r>
        <w:rPr>
          <w:b/>
          <w:szCs w:val="21"/>
        </w:rPr>
        <w:t>组</w:t>
      </w:r>
      <w:r>
        <w:rPr>
          <w:rFonts w:hint="eastAsia"/>
          <w:b/>
          <w:szCs w:val="21"/>
        </w:rPr>
        <w:t>恶性淋巴瘤</w:t>
      </w:r>
      <w:proofErr w:type="gramStart"/>
      <w:r>
        <w:rPr>
          <w:rFonts w:hint="eastAsia"/>
          <w:b/>
          <w:szCs w:val="21"/>
        </w:rPr>
        <w:t>利妥昔单抗靶向治疗</w:t>
      </w:r>
      <w:proofErr w:type="gramEnd"/>
      <w:r>
        <w:rPr>
          <w:b/>
          <w:szCs w:val="21"/>
        </w:rPr>
        <w:t>患者</w:t>
      </w:r>
      <w:r>
        <w:rPr>
          <w:rFonts w:hint="eastAsia"/>
          <w:b/>
          <w:szCs w:val="21"/>
        </w:rPr>
        <w:t>负性情绪变化情况的比较</w:t>
      </w:r>
      <w:bookmarkEnd w:id="1"/>
      <w:r w:rsidR="003B626F">
        <w:rPr>
          <w:rFonts w:hint="eastAsia"/>
          <w:b/>
          <w:szCs w:val="21"/>
        </w:rPr>
        <w:t xml:space="preserve"> </w:t>
      </w:r>
      <w:r w:rsidR="003B626F" w:rsidRPr="00DC36F2">
        <w:rPr>
          <w:szCs w:val="21"/>
        </w:rPr>
        <w:t>与对照组</w:t>
      </w:r>
      <w:r w:rsidR="003B626F" w:rsidRPr="00DC36F2">
        <w:rPr>
          <w:rFonts w:hint="eastAsia"/>
          <w:szCs w:val="21"/>
        </w:rPr>
        <w:t>比较</w:t>
      </w:r>
      <w:r w:rsidRPr="00DC36F2">
        <w:rPr>
          <w:szCs w:val="21"/>
        </w:rPr>
        <w:t>，</w:t>
      </w:r>
      <w:r>
        <w:rPr>
          <w:szCs w:val="21"/>
        </w:rPr>
        <w:t>观察组</w:t>
      </w:r>
      <w:r>
        <w:rPr>
          <w:rFonts w:hint="eastAsia"/>
          <w:kern w:val="0"/>
          <w:szCs w:val="21"/>
        </w:rPr>
        <w:t>患者</w:t>
      </w:r>
      <w:r>
        <w:rPr>
          <w:rFonts w:hint="eastAsia"/>
          <w:szCs w:val="21"/>
        </w:rPr>
        <w:t>治疗后的</w:t>
      </w:r>
      <w:r>
        <w:rPr>
          <w:szCs w:val="21"/>
        </w:rPr>
        <w:t>SAS</w:t>
      </w:r>
      <w:r>
        <w:rPr>
          <w:rFonts w:hint="eastAsia"/>
          <w:szCs w:val="21"/>
        </w:rPr>
        <w:t>评分值</w:t>
      </w:r>
      <w:r>
        <w:rPr>
          <w:rFonts w:hint="eastAsia"/>
          <w:kern w:val="0"/>
          <w:szCs w:val="21"/>
        </w:rPr>
        <w:t>（</w:t>
      </w:r>
      <w:r>
        <w:rPr>
          <w:rFonts w:hint="eastAsia"/>
          <w:szCs w:val="21"/>
        </w:rPr>
        <w:t>35</w:t>
      </w:r>
      <w:r>
        <w:rPr>
          <w:szCs w:val="21"/>
        </w:rPr>
        <w:t>.</w:t>
      </w:r>
      <w:r>
        <w:rPr>
          <w:rFonts w:hint="eastAsia"/>
          <w:szCs w:val="21"/>
        </w:rPr>
        <w:t>38</w:t>
      </w:r>
      <w:r>
        <w:rPr>
          <w:szCs w:val="21"/>
        </w:rPr>
        <w:t>±</w:t>
      </w:r>
      <w:r>
        <w:rPr>
          <w:rFonts w:hint="eastAsia"/>
          <w:szCs w:val="21"/>
        </w:rPr>
        <w:t>4</w:t>
      </w:r>
      <w:r>
        <w:rPr>
          <w:szCs w:val="21"/>
        </w:rPr>
        <w:t>.</w:t>
      </w:r>
      <w:r>
        <w:rPr>
          <w:rFonts w:hint="eastAsia"/>
          <w:szCs w:val="21"/>
        </w:rPr>
        <w:t>64</w:t>
      </w:r>
      <w:r>
        <w:rPr>
          <w:rFonts w:hint="eastAsia"/>
          <w:kern w:val="0"/>
          <w:szCs w:val="21"/>
        </w:rPr>
        <w:t>）</w:t>
      </w:r>
      <w:r>
        <w:rPr>
          <w:rFonts w:hint="eastAsia"/>
          <w:szCs w:val="21"/>
        </w:rPr>
        <w:t>分和</w:t>
      </w:r>
      <w:r>
        <w:rPr>
          <w:szCs w:val="21"/>
        </w:rPr>
        <w:t>SDS</w:t>
      </w:r>
      <w:r>
        <w:rPr>
          <w:rFonts w:hint="eastAsia"/>
          <w:szCs w:val="21"/>
        </w:rPr>
        <w:t>评分值</w:t>
      </w:r>
      <w:r>
        <w:rPr>
          <w:rFonts w:hint="eastAsia"/>
          <w:kern w:val="0"/>
          <w:szCs w:val="21"/>
        </w:rPr>
        <w:t>（</w:t>
      </w:r>
      <w:r>
        <w:rPr>
          <w:rFonts w:hint="eastAsia"/>
          <w:szCs w:val="21"/>
        </w:rPr>
        <w:t>37.98</w:t>
      </w:r>
      <w:r>
        <w:rPr>
          <w:szCs w:val="21"/>
        </w:rPr>
        <w:t>±</w:t>
      </w:r>
      <w:r>
        <w:rPr>
          <w:rFonts w:hint="eastAsia"/>
          <w:szCs w:val="21"/>
        </w:rPr>
        <w:t>4</w:t>
      </w:r>
      <w:r>
        <w:rPr>
          <w:szCs w:val="21"/>
        </w:rPr>
        <w:t>.</w:t>
      </w:r>
      <w:r>
        <w:rPr>
          <w:rFonts w:hint="eastAsia"/>
          <w:szCs w:val="21"/>
        </w:rPr>
        <w:t>90</w:t>
      </w:r>
      <w:r>
        <w:rPr>
          <w:rFonts w:hint="eastAsia"/>
          <w:kern w:val="0"/>
          <w:szCs w:val="21"/>
        </w:rPr>
        <w:t>）</w:t>
      </w:r>
      <w:r>
        <w:rPr>
          <w:rFonts w:hint="eastAsia"/>
          <w:szCs w:val="21"/>
        </w:rPr>
        <w:t>分均明显降低，差异均具有统计学意义</w:t>
      </w:r>
      <w:r>
        <w:rPr>
          <w:kern w:val="0"/>
          <w:szCs w:val="21"/>
        </w:rPr>
        <w:t>（</w:t>
      </w:r>
      <w:r>
        <w:rPr>
          <w:i/>
          <w:kern w:val="0"/>
          <w:szCs w:val="21"/>
        </w:rPr>
        <w:t>P</w:t>
      </w:r>
      <w:r>
        <w:rPr>
          <w:rFonts w:hint="eastAsia"/>
          <w:kern w:val="0"/>
          <w:szCs w:val="21"/>
        </w:rPr>
        <w:t>＜</w:t>
      </w:r>
      <w:r>
        <w:rPr>
          <w:kern w:val="0"/>
          <w:szCs w:val="21"/>
        </w:rPr>
        <w:t>0.05</w:t>
      </w:r>
      <w:r>
        <w:rPr>
          <w:kern w:val="0"/>
          <w:szCs w:val="21"/>
        </w:rPr>
        <w:t>）</w:t>
      </w:r>
      <w:r>
        <w:rPr>
          <w:rFonts w:hint="eastAsia"/>
          <w:kern w:val="0"/>
          <w:szCs w:val="21"/>
        </w:rPr>
        <w:t>，</w:t>
      </w:r>
      <w:r>
        <w:rPr>
          <w:kern w:val="0"/>
          <w:szCs w:val="21"/>
        </w:rPr>
        <w:t>结果见表</w:t>
      </w:r>
      <w:r>
        <w:rPr>
          <w:rFonts w:hint="eastAsia"/>
          <w:kern w:val="0"/>
          <w:szCs w:val="21"/>
        </w:rPr>
        <w:t>2</w:t>
      </w:r>
      <w:r>
        <w:rPr>
          <w:rFonts w:hint="eastAsia"/>
          <w:kern w:val="0"/>
          <w:szCs w:val="21"/>
        </w:rPr>
        <w:t>。</w:t>
      </w:r>
    </w:p>
    <w:p w:rsidR="0042219B" w:rsidRDefault="005E3450">
      <w:pPr>
        <w:spacing w:line="400" w:lineRule="exact"/>
        <w:jc w:val="center"/>
        <w:rPr>
          <w:szCs w:val="21"/>
        </w:rPr>
      </w:pPr>
      <w:r>
        <w:rPr>
          <w:kern w:val="0"/>
          <w:szCs w:val="21"/>
        </w:rPr>
        <w:pict w14:anchorId="184BB865">
          <v:line id="1027" o:spid="_x0000_s1027" style="position:absolute;left:0;text-align:left;z-index:251658240" from="359.5pt,8pt" to="368.5pt,8pt" o:gfxdata="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B/u&#10;GHnUAAAACQEAAA8AAAAAAAAAAQAgAAAAIgAAAGRycy9kb3ducmV2LnhtbFBLAQIUABQAAAAIAIdO&#10;4kA5M/QetQEAAHwDAAAOAAAAAAAAAAEAIAAAACMBAABkcnMvZTJvRG9jLnhtbFBLBQYAAAAABgAG&#10;AFkBAABKBQAAAAA=&#10;"/>
        </w:pict>
      </w:r>
      <w:r w:rsidR="00EF6A94">
        <w:rPr>
          <w:kern w:val="0"/>
          <w:szCs w:val="21"/>
        </w:rPr>
        <w:t>表</w:t>
      </w:r>
      <w:r w:rsidR="00EF6A94">
        <w:rPr>
          <w:rFonts w:hint="eastAsia"/>
          <w:kern w:val="0"/>
          <w:szCs w:val="21"/>
        </w:rPr>
        <w:t>2</w:t>
      </w:r>
      <w:proofErr w:type="gramStart"/>
      <w:r w:rsidR="00EF6A94">
        <w:rPr>
          <w:rFonts w:hint="eastAsia"/>
          <w:szCs w:val="21"/>
        </w:rPr>
        <w:t>两</w:t>
      </w:r>
      <w:proofErr w:type="gramEnd"/>
      <w:r w:rsidR="00EF6A94">
        <w:rPr>
          <w:rFonts w:hint="eastAsia"/>
          <w:szCs w:val="21"/>
        </w:rPr>
        <w:t>组恶性淋巴瘤</w:t>
      </w:r>
      <w:proofErr w:type="gramStart"/>
      <w:r w:rsidR="00EF6A94">
        <w:rPr>
          <w:rFonts w:hint="eastAsia"/>
          <w:szCs w:val="21"/>
        </w:rPr>
        <w:t>利妥昔单抗靶向治疗</w:t>
      </w:r>
      <w:proofErr w:type="gramEnd"/>
      <w:r w:rsidR="00EF6A94">
        <w:rPr>
          <w:rFonts w:hint="eastAsia"/>
          <w:szCs w:val="21"/>
        </w:rPr>
        <w:t>患者负性情绪变化情况的比较</w:t>
      </w:r>
      <w:r w:rsidR="00EF6A94">
        <w:rPr>
          <w:kern w:val="0"/>
          <w:szCs w:val="21"/>
        </w:rPr>
        <w:t>（</w:t>
      </w:r>
      <w:r w:rsidR="00EF6A94">
        <w:rPr>
          <w:i/>
          <w:kern w:val="0"/>
          <w:szCs w:val="21"/>
        </w:rPr>
        <w:t>X ± S</w:t>
      </w:r>
      <w:r w:rsidR="00EF6A94">
        <w:rPr>
          <w:kern w:val="0"/>
          <w:szCs w:val="21"/>
        </w:rPr>
        <w:t>）</w:t>
      </w:r>
    </w:p>
    <w:tbl>
      <w:tblPr>
        <w:tblW w:w="82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6"/>
        <w:gridCol w:w="1230"/>
        <w:gridCol w:w="1359"/>
        <w:gridCol w:w="1363"/>
        <w:gridCol w:w="1416"/>
        <w:gridCol w:w="1801"/>
      </w:tblGrid>
      <w:tr w:rsidR="0042219B">
        <w:trPr>
          <w:trHeight w:val="154"/>
          <w:jc w:val="center"/>
        </w:trPr>
        <w:tc>
          <w:tcPr>
            <w:tcW w:w="1046" w:type="dxa"/>
            <w:tcBorders>
              <w:left w:val="nil"/>
              <w:bottom w:val="nil"/>
              <w:right w:val="nil"/>
            </w:tcBorders>
          </w:tcPr>
          <w:p w:rsidR="0042219B" w:rsidRDefault="00EF6A94">
            <w:pPr>
              <w:spacing w:line="400" w:lineRule="exact"/>
              <w:jc w:val="center"/>
              <w:rPr>
                <w:szCs w:val="21"/>
              </w:rPr>
            </w:pPr>
            <w:r>
              <w:rPr>
                <w:szCs w:val="21"/>
              </w:rPr>
              <w:t>组别</w:t>
            </w:r>
          </w:p>
        </w:tc>
        <w:tc>
          <w:tcPr>
            <w:tcW w:w="1230" w:type="dxa"/>
            <w:tcBorders>
              <w:left w:val="nil"/>
              <w:bottom w:val="nil"/>
              <w:right w:val="nil"/>
            </w:tcBorders>
          </w:tcPr>
          <w:p w:rsidR="0042219B" w:rsidRDefault="00EF6A94">
            <w:pPr>
              <w:spacing w:line="400" w:lineRule="exact"/>
              <w:jc w:val="center"/>
              <w:rPr>
                <w:szCs w:val="21"/>
              </w:rPr>
            </w:pPr>
            <w:r>
              <w:rPr>
                <w:szCs w:val="21"/>
              </w:rPr>
              <w:t>例数</w:t>
            </w:r>
            <w:r>
              <w:rPr>
                <w:szCs w:val="21"/>
              </w:rPr>
              <w:t>(n)</w:t>
            </w:r>
          </w:p>
        </w:tc>
        <w:tc>
          <w:tcPr>
            <w:tcW w:w="2722" w:type="dxa"/>
            <w:gridSpan w:val="2"/>
            <w:tcBorders>
              <w:left w:val="nil"/>
              <w:bottom w:val="nil"/>
              <w:right w:val="nil"/>
            </w:tcBorders>
            <w:vAlign w:val="center"/>
          </w:tcPr>
          <w:p w:rsidR="0042219B" w:rsidRDefault="00EF6A94">
            <w:pPr>
              <w:spacing w:line="400" w:lineRule="exact"/>
              <w:jc w:val="center"/>
              <w:rPr>
                <w:kern w:val="0"/>
                <w:szCs w:val="21"/>
              </w:rPr>
            </w:pPr>
            <w:r>
              <w:rPr>
                <w:szCs w:val="21"/>
              </w:rPr>
              <w:t>SAS</w:t>
            </w:r>
            <w:r>
              <w:rPr>
                <w:rFonts w:hint="eastAsia"/>
                <w:szCs w:val="21"/>
              </w:rPr>
              <w:t>评分值</w:t>
            </w:r>
            <w:r>
              <w:rPr>
                <w:szCs w:val="21"/>
              </w:rPr>
              <w:t>(</w:t>
            </w:r>
            <w:r>
              <w:rPr>
                <w:rFonts w:hint="eastAsia"/>
                <w:szCs w:val="21"/>
              </w:rPr>
              <w:t>分</w:t>
            </w:r>
            <w:r>
              <w:rPr>
                <w:szCs w:val="21"/>
              </w:rPr>
              <w:t>)</w:t>
            </w:r>
          </w:p>
        </w:tc>
        <w:tc>
          <w:tcPr>
            <w:tcW w:w="3217" w:type="dxa"/>
            <w:gridSpan w:val="2"/>
            <w:tcBorders>
              <w:left w:val="nil"/>
              <w:bottom w:val="nil"/>
              <w:right w:val="nil"/>
            </w:tcBorders>
            <w:vAlign w:val="center"/>
          </w:tcPr>
          <w:p w:rsidR="0042219B" w:rsidRDefault="00EF6A94">
            <w:pPr>
              <w:spacing w:line="400" w:lineRule="exact"/>
              <w:jc w:val="center"/>
              <w:rPr>
                <w:kern w:val="0"/>
                <w:szCs w:val="21"/>
              </w:rPr>
            </w:pPr>
            <w:r>
              <w:rPr>
                <w:szCs w:val="21"/>
              </w:rPr>
              <w:t>SDS</w:t>
            </w:r>
            <w:r>
              <w:rPr>
                <w:rFonts w:hint="eastAsia"/>
                <w:szCs w:val="21"/>
              </w:rPr>
              <w:t>评分值</w:t>
            </w:r>
            <w:r>
              <w:rPr>
                <w:szCs w:val="21"/>
              </w:rPr>
              <w:t>(</w:t>
            </w:r>
            <w:r>
              <w:rPr>
                <w:rFonts w:hint="eastAsia"/>
                <w:szCs w:val="21"/>
              </w:rPr>
              <w:t>分</w:t>
            </w:r>
            <w:r>
              <w:rPr>
                <w:szCs w:val="21"/>
              </w:rPr>
              <w:t>)</w:t>
            </w:r>
          </w:p>
        </w:tc>
      </w:tr>
      <w:tr w:rsidR="0042219B">
        <w:trPr>
          <w:trHeight w:val="154"/>
          <w:jc w:val="center"/>
        </w:trPr>
        <w:tc>
          <w:tcPr>
            <w:tcW w:w="1046" w:type="dxa"/>
            <w:tcBorders>
              <w:top w:val="nil"/>
              <w:left w:val="nil"/>
              <w:right w:val="nil"/>
            </w:tcBorders>
          </w:tcPr>
          <w:p w:rsidR="0042219B" w:rsidRDefault="0042219B">
            <w:pPr>
              <w:spacing w:line="400" w:lineRule="exact"/>
              <w:jc w:val="center"/>
              <w:rPr>
                <w:szCs w:val="21"/>
              </w:rPr>
            </w:pPr>
          </w:p>
        </w:tc>
        <w:tc>
          <w:tcPr>
            <w:tcW w:w="1230" w:type="dxa"/>
            <w:tcBorders>
              <w:top w:val="nil"/>
              <w:left w:val="nil"/>
              <w:right w:val="nil"/>
            </w:tcBorders>
          </w:tcPr>
          <w:p w:rsidR="0042219B" w:rsidRDefault="0042219B">
            <w:pPr>
              <w:spacing w:line="400" w:lineRule="exact"/>
              <w:jc w:val="center"/>
              <w:rPr>
                <w:szCs w:val="21"/>
              </w:rPr>
            </w:pPr>
          </w:p>
        </w:tc>
        <w:tc>
          <w:tcPr>
            <w:tcW w:w="1359" w:type="dxa"/>
            <w:tcBorders>
              <w:top w:val="nil"/>
              <w:left w:val="nil"/>
              <w:right w:val="nil"/>
            </w:tcBorders>
            <w:vAlign w:val="center"/>
          </w:tcPr>
          <w:p w:rsidR="0042219B" w:rsidRDefault="00EF6A94">
            <w:pPr>
              <w:spacing w:line="400" w:lineRule="exact"/>
              <w:jc w:val="center"/>
              <w:rPr>
                <w:szCs w:val="21"/>
              </w:rPr>
            </w:pPr>
            <w:r>
              <w:rPr>
                <w:rFonts w:hint="eastAsia"/>
                <w:szCs w:val="21"/>
              </w:rPr>
              <w:t>治疗前</w:t>
            </w:r>
          </w:p>
        </w:tc>
        <w:tc>
          <w:tcPr>
            <w:tcW w:w="1363" w:type="dxa"/>
            <w:tcBorders>
              <w:top w:val="nil"/>
              <w:left w:val="nil"/>
              <w:right w:val="nil"/>
            </w:tcBorders>
            <w:vAlign w:val="center"/>
          </w:tcPr>
          <w:p w:rsidR="0042219B" w:rsidRDefault="00EF6A94">
            <w:pPr>
              <w:spacing w:line="400" w:lineRule="exact"/>
              <w:jc w:val="center"/>
              <w:rPr>
                <w:szCs w:val="21"/>
              </w:rPr>
            </w:pPr>
            <w:r>
              <w:rPr>
                <w:rFonts w:hint="eastAsia"/>
                <w:szCs w:val="21"/>
              </w:rPr>
              <w:t>治疗后</w:t>
            </w:r>
          </w:p>
        </w:tc>
        <w:tc>
          <w:tcPr>
            <w:tcW w:w="1416" w:type="dxa"/>
            <w:tcBorders>
              <w:top w:val="nil"/>
              <w:left w:val="nil"/>
              <w:right w:val="nil"/>
            </w:tcBorders>
            <w:vAlign w:val="center"/>
          </w:tcPr>
          <w:p w:rsidR="0042219B" w:rsidRDefault="00EF6A94">
            <w:pPr>
              <w:spacing w:line="400" w:lineRule="exact"/>
              <w:jc w:val="center"/>
              <w:rPr>
                <w:szCs w:val="21"/>
              </w:rPr>
            </w:pPr>
            <w:r>
              <w:rPr>
                <w:rFonts w:hint="eastAsia"/>
                <w:szCs w:val="21"/>
              </w:rPr>
              <w:t>治疗前</w:t>
            </w:r>
          </w:p>
        </w:tc>
        <w:tc>
          <w:tcPr>
            <w:tcW w:w="1801" w:type="dxa"/>
            <w:tcBorders>
              <w:top w:val="nil"/>
              <w:left w:val="nil"/>
              <w:right w:val="nil"/>
            </w:tcBorders>
            <w:vAlign w:val="center"/>
          </w:tcPr>
          <w:p w:rsidR="0042219B" w:rsidRDefault="00EF6A94">
            <w:pPr>
              <w:spacing w:line="400" w:lineRule="exact"/>
              <w:jc w:val="center"/>
              <w:rPr>
                <w:szCs w:val="21"/>
              </w:rPr>
            </w:pPr>
            <w:r>
              <w:rPr>
                <w:rFonts w:hint="eastAsia"/>
                <w:szCs w:val="21"/>
              </w:rPr>
              <w:t>治疗后</w:t>
            </w:r>
          </w:p>
        </w:tc>
      </w:tr>
      <w:tr w:rsidR="0042219B">
        <w:trPr>
          <w:trHeight w:val="147"/>
          <w:jc w:val="center"/>
        </w:trPr>
        <w:tc>
          <w:tcPr>
            <w:tcW w:w="1046" w:type="dxa"/>
            <w:tcBorders>
              <w:left w:val="nil"/>
              <w:bottom w:val="nil"/>
              <w:right w:val="nil"/>
            </w:tcBorders>
          </w:tcPr>
          <w:p w:rsidR="0042219B" w:rsidRDefault="00EF6A94">
            <w:pPr>
              <w:spacing w:line="400" w:lineRule="exact"/>
              <w:jc w:val="center"/>
              <w:rPr>
                <w:szCs w:val="21"/>
              </w:rPr>
            </w:pPr>
            <w:r>
              <w:rPr>
                <w:rFonts w:hint="eastAsia"/>
                <w:szCs w:val="21"/>
              </w:rPr>
              <w:t>观察</w:t>
            </w:r>
            <w:r>
              <w:rPr>
                <w:szCs w:val="21"/>
              </w:rPr>
              <w:t>组</w:t>
            </w:r>
          </w:p>
        </w:tc>
        <w:tc>
          <w:tcPr>
            <w:tcW w:w="1230" w:type="dxa"/>
            <w:tcBorders>
              <w:left w:val="nil"/>
              <w:bottom w:val="nil"/>
              <w:right w:val="nil"/>
            </w:tcBorders>
          </w:tcPr>
          <w:p w:rsidR="0042219B" w:rsidRDefault="00EF6A94">
            <w:pPr>
              <w:spacing w:line="400" w:lineRule="exact"/>
              <w:jc w:val="center"/>
              <w:rPr>
                <w:szCs w:val="21"/>
              </w:rPr>
            </w:pPr>
            <w:r>
              <w:rPr>
                <w:rFonts w:hint="eastAsia"/>
                <w:szCs w:val="21"/>
              </w:rPr>
              <w:t>51</w:t>
            </w:r>
          </w:p>
        </w:tc>
        <w:tc>
          <w:tcPr>
            <w:tcW w:w="1359" w:type="dxa"/>
            <w:tcBorders>
              <w:left w:val="nil"/>
              <w:bottom w:val="nil"/>
              <w:right w:val="nil"/>
            </w:tcBorders>
          </w:tcPr>
          <w:p w:rsidR="0042219B" w:rsidRDefault="00EF6A94">
            <w:pPr>
              <w:spacing w:line="400" w:lineRule="exact"/>
              <w:jc w:val="center"/>
              <w:rPr>
                <w:szCs w:val="21"/>
              </w:rPr>
            </w:pPr>
            <w:r>
              <w:rPr>
                <w:rFonts w:hint="eastAsia"/>
                <w:szCs w:val="21"/>
              </w:rPr>
              <w:t>53</w:t>
            </w:r>
            <w:r>
              <w:rPr>
                <w:szCs w:val="21"/>
              </w:rPr>
              <w:t>.</w:t>
            </w:r>
            <w:r>
              <w:rPr>
                <w:rFonts w:hint="eastAsia"/>
                <w:szCs w:val="21"/>
              </w:rPr>
              <w:t>59</w:t>
            </w:r>
            <w:r>
              <w:rPr>
                <w:szCs w:val="21"/>
              </w:rPr>
              <w:t>±</w:t>
            </w:r>
            <w:r>
              <w:rPr>
                <w:rFonts w:hint="eastAsia"/>
                <w:szCs w:val="21"/>
              </w:rPr>
              <w:t>6</w:t>
            </w:r>
            <w:r>
              <w:rPr>
                <w:szCs w:val="21"/>
              </w:rPr>
              <w:t>.</w:t>
            </w:r>
            <w:r>
              <w:rPr>
                <w:rFonts w:hint="eastAsia"/>
                <w:szCs w:val="21"/>
              </w:rPr>
              <w:t>46</w:t>
            </w:r>
          </w:p>
        </w:tc>
        <w:tc>
          <w:tcPr>
            <w:tcW w:w="1363" w:type="dxa"/>
            <w:tcBorders>
              <w:left w:val="nil"/>
              <w:bottom w:val="nil"/>
              <w:right w:val="nil"/>
            </w:tcBorders>
          </w:tcPr>
          <w:p w:rsidR="0042219B" w:rsidRDefault="00EF6A94">
            <w:pPr>
              <w:spacing w:line="400" w:lineRule="exact"/>
              <w:jc w:val="center"/>
              <w:rPr>
                <w:szCs w:val="21"/>
              </w:rPr>
            </w:pPr>
            <w:r>
              <w:rPr>
                <w:rFonts w:hint="eastAsia"/>
                <w:szCs w:val="21"/>
              </w:rPr>
              <w:t>35</w:t>
            </w:r>
            <w:r>
              <w:rPr>
                <w:szCs w:val="21"/>
              </w:rPr>
              <w:t>.</w:t>
            </w:r>
            <w:r>
              <w:rPr>
                <w:rFonts w:hint="eastAsia"/>
                <w:szCs w:val="21"/>
              </w:rPr>
              <w:t>38</w:t>
            </w:r>
            <w:r>
              <w:rPr>
                <w:szCs w:val="21"/>
              </w:rPr>
              <w:t>±</w:t>
            </w:r>
            <w:r>
              <w:rPr>
                <w:rFonts w:hint="eastAsia"/>
                <w:szCs w:val="21"/>
              </w:rPr>
              <w:t>4</w:t>
            </w:r>
            <w:r>
              <w:rPr>
                <w:szCs w:val="21"/>
              </w:rPr>
              <w:t>.</w:t>
            </w:r>
            <w:r>
              <w:rPr>
                <w:rFonts w:hint="eastAsia"/>
                <w:szCs w:val="21"/>
              </w:rPr>
              <w:t>64</w:t>
            </w:r>
            <w:r>
              <w:rPr>
                <w:szCs w:val="21"/>
              </w:rPr>
              <w:t>*</w:t>
            </w:r>
          </w:p>
        </w:tc>
        <w:tc>
          <w:tcPr>
            <w:tcW w:w="1416" w:type="dxa"/>
            <w:tcBorders>
              <w:left w:val="nil"/>
              <w:bottom w:val="nil"/>
              <w:right w:val="nil"/>
            </w:tcBorders>
          </w:tcPr>
          <w:p w:rsidR="0042219B" w:rsidRDefault="00EF6A94">
            <w:pPr>
              <w:spacing w:line="400" w:lineRule="exact"/>
              <w:jc w:val="center"/>
              <w:rPr>
                <w:szCs w:val="21"/>
              </w:rPr>
            </w:pPr>
            <w:r>
              <w:rPr>
                <w:rFonts w:hint="eastAsia"/>
                <w:szCs w:val="21"/>
              </w:rPr>
              <w:t>55.26</w:t>
            </w:r>
            <w:r>
              <w:rPr>
                <w:szCs w:val="21"/>
              </w:rPr>
              <w:t>±</w:t>
            </w:r>
            <w:r>
              <w:rPr>
                <w:rFonts w:hint="eastAsia"/>
                <w:szCs w:val="21"/>
              </w:rPr>
              <w:t>6</w:t>
            </w:r>
            <w:r>
              <w:rPr>
                <w:szCs w:val="21"/>
              </w:rPr>
              <w:t>.</w:t>
            </w:r>
            <w:r>
              <w:rPr>
                <w:rFonts w:hint="eastAsia"/>
                <w:szCs w:val="21"/>
              </w:rPr>
              <w:t>63</w:t>
            </w:r>
          </w:p>
        </w:tc>
        <w:tc>
          <w:tcPr>
            <w:tcW w:w="1801" w:type="dxa"/>
            <w:tcBorders>
              <w:left w:val="nil"/>
              <w:bottom w:val="nil"/>
              <w:right w:val="nil"/>
            </w:tcBorders>
          </w:tcPr>
          <w:p w:rsidR="0042219B" w:rsidRDefault="00EF6A94">
            <w:pPr>
              <w:spacing w:line="400" w:lineRule="exact"/>
              <w:jc w:val="center"/>
              <w:rPr>
                <w:szCs w:val="21"/>
              </w:rPr>
            </w:pPr>
            <w:r>
              <w:rPr>
                <w:rFonts w:hint="eastAsia"/>
                <w:szCs w:val="21"/>
              </w:rPr>
              <w:t>37.98</w:t>
            </w:r>
            <w:r>
              <w:rPr>
                <w:szCs w:val="21"/>
              </w:rPr>
              <w:t>±</w:t>
            </w:r>
            <w:r>
              <w:rPr>
                <w:rFonts w:hint="eastAsia"/>
                <w:szCs w:val="21"/>
              </w:rPr>
              <w:t>4</w:t>
            </w:r>
            <w:r>
              <w:rPr>
                <w:szCs w:val="21"/>
              </w:rPr>
              <w:t>.</w:t>
            </w:r>
            <w:r>
              <w:rPr>
                <w:rFonts w:hint="eastAsia"/>
                <w:szCs w:val="21"/>
              </w:rPr>
              <w:t>90</w:t>
            </w:r>
            <w:r>
              <w:rPr>
                <w:szCs w:val="21"/>
              </w:rPr>
              <w:t>*</w:t>
            </w:r>
          </w:p>
        </w:tc>
      </w:tr>
      <w:tr w:rsidR="0042219B">
        <w:trPr>
          <w:trHeight w:val="154"/>
          <w:jc w:val="center"/>
        </w:trPr>
        <w:tc>
          <w:tcPr>
            <w:tcW w:w="1046" w:type="dxa"/>
            <w:tcBorders>
              <w:top w:val="nil"/>
              <w:left w:val="nil"/>
              <w:bottom w:val="nil"/>
              <w:right w:val="nil"/>
            </w:tcBorders>
          </w:tcPr>
          <w:p w:rsidR="0042219B" w:rsidRDefault="00EF6A94">
            <w:pPr>
              <w:spacing w:line="400" w:lineRule="exact"/>
              <w:jc w:val="center"/>
              <w:rPr>
                <w:szCs w:val="21"/>
              </w:rPr>
            </w:pPr>
            <w:r>
              <w:rPr>
                <w:rFonts w:hint="eastAsia"/>
                <w:szCs w:val="21"/>
              </w:rPr>
              <w:t>对照</w:t>
            </w:r>
            <w:r>
              <w:rPr>
                <w:szCs w:val="21"/>
              </w:rPr>
              <w:t>组</w:t>
            </w:r>
          </w:p>
        </w:tc>
        <w:tc>
          <w:tcPr>
            <w:tcW w:w="1230" w:type="dxa"/>
            <w:tcBorders>
              <w:top w:val="nil"/>
              <w:left w:val="nil"/>
              <w:bottom w:val="nil"/>
              <w:right w:val="nil"/>
            </w:tcBorders>
          </w:tcPr>
          <w:p w:rsidR="0042219B" w:rsidRDefault="00EF6A94">
            <w:pPr>
              <w:spacing w:line="400" w:lineRule="exact"/>
              <w:jc w:val="center"/>
              <w:rPr>
                <w:szCs w:val="21"/>
              </w:rPr>
            </w:pPr>
            <w:r>
              <w:rPr>
                <w:rFonts w:hint="eastAsia"/>
                <w:szCs w:val="21"/>
              </w:rPr>
              <w:t>49</w:t>
            </w:r>
          </w:p>
        </w:tc>
        <w:tc>
          <w:tcPr>
            <w:tcW w:w="1359" w:type="dxa"/>
            <w:tcBorders>
              <w:top w:val="nil"/>
              <w:left w:val="nil"/>
              <w:bottom w:val="nil"/>
              <w:right w:val="nil"/>
            </w:tcBorders>
          </w:tcPr>
          <w:p w:rsidR="0042219B" w:rsidRDefault="00EF6A94">
            <w:pPr>
              <w:spacing w:line="400" w:lineRule="exact"/>
              <w:jc w:val="center"/>
              <w:rPr>
                <w:szCs w:val="21"/>
              </w:rPr>
            </w:pPr>
            <w:r>
              <w:rPr>
                <w:rFonts w:hint="eastAsia"/>
                <w:szCs w:val="21"/>
              </w:rPr>
              <w:t>53.43</w:t>
            </w:r>
            <w:r>
              <w:rPr>
                <w:szCs w:val="21"/>
              </w:rPr>
              <w:t>±</w:t>
            </w:r>
            <w:r>
              <w:rPr>
                <w:rFonts w:hint="eastAsia"/>
                <w:szCs w:val="21"/>
              </w:rPr>
              <w:t>6</w:t>
            </w:r>
            <w:r>
              <w:rPr>
                <w:szCs w:val="21"/>
              </w:rPr>
              <w:t>.</w:t>
            </w:r>
            <w:r>
              <w:rPr>
                <w:rFonts w:hint="eastAsia"/>
                <w:szCs w:val="21"/>
              </w:rPr>
              <w:t>45</w:t>
            </w:r>
          </w:p>
        </w:tc>
        <w:tc>
          <w:tcPr>
            <w:tcW w:w="1363" w:type="dxa"/>
            <w:tcBorders>
              <w:top w:val="nil"/>
              <w:left w:val="nil"/>
              <w:bottom w:val="nil"/>
              <w:right w:val="nil"/>
            </w:tcBorders>
          </w:tcPr>
          <w:p w:rsidR="0042219B" w:rsidRDefault="00EF6A94">
            <w:pPr>
              <w:spacing w:line="400" w:lineRule="exact"/>
              <w:jc w:val="center"/>
              <w:rPr>
                <w:szCs w:val="21"/>
              </w:rPr>
            </w:pPr>
            <w:r>
              <w:rPr>
                <w:rFonts w:hint="eastAsia"/>
                <w:szCs w:val="21"/>
              </w:rPr>
              <w:t>47</w:t>
            </w:r>
            <w:r>
              <w:rPr>
                <w:szCs w:val="21"/>
              </w:rPr>
              <w:t>.</w:t>
            </w:r>
            <w:r>
              <w:rPr>
                <w:rFonts w:hint="eastAsia"/>
                <w:szCs w:val="21"/>
              </w:rPr>
              <w:t>89</w:t>
            </w:r>
            <w:r>
              <w:rPr>
                <w:szCs w:val="21"/>
              </w:rPr>
              <w:t>±</w:t>
            </w:r>
            <w:r>
              <w:rPr>
                <w:rFonts w:hint="eastAsia"/>
                <w:szCs w:val="21"/>
              </w:rPr>
              <w:t>5</w:t>
            </w:r>
            <w:r>
              <w:rPr>
                <w:szCs w:val="21"/>
              </w:rPr>
              <w:t>.</w:t>
            </w:r>
            <w:r>
              <w:rPr>
                <w:rFonts w:hint="eastAsia"/>
                <w:szCs w:val="21"/>
              </w:rPr>
              <w:t>89</w:t>
            </w:r>
          </w:p>
        </w:tc>
        <w:tc>
          <w:tcPr>
            <w:tcW w:w="1416" w:type="dxa"/>
            <w:tcBorders>
              <w:top w:val="nil"/>
              <w:left w:val="nil"/>
              <w:bottom w:val="nil"/>
              <w:right w:val="nil"/>
            </w:tcBorders>
          </w:tcPr>
          <w:p w:rsidR="0042219B" w:rsidRDefault="00EF6A94">
            <w:pPr>
              <w:spacing w:line="400" w:lineRule="exact"/>
              <w:jc w:val="center"/>
              <w:rPr>
                <w:szCs w:val="21"/>
              </w:rPr>
            </w:pPr>
            <w:r>
              <w:rPr>
                <w:rFonts w:hint="eastAsia"/>
                <w:szCs w:val="21"/>
              </w:rPr>
              <w:t>55</w:t>
            </w:r>
            <w:r>
              <w:rPr>
                <w:szCs w:val="21"/>
              </w:rPr>
              <w:t>.</w:t>
            </w:r>
            <w:r>
              <w:rPr>
                <w:rFonts w:hint="eastAsia"/>
                <w:szCs w:val="21"/>
              </w:rPr>
              <w:t>12</w:t>
            </w:r>
            <w:r>
              <w:rPr>
                <w:szCs w:val="21"/>
              </w:rPr>
              <w:t>±</w:t>
            </w:r>
            <w:r>
              <w:rPr>
                <w:rFonts w:hint="eastAsia"/>
                <w:szCs w:val="21"/>
              </w:rPr>
              <w:t>6</w:t>
            </w:r>
            <w:r>
              <w:rPr>
                <w:szCs w:val="21"/>
              </w:rPr>
              <w:t>.</w:t>
            </w:r>
            <w:r>
              <w:rPr>
                <w:rFonts w:hint="eastAsia"/>
                <w:szCs w:val="21"/>
              </w:rPr>
              <w:t>62</w:t>
            </w:r>
          </w:p>
        </w:tc>
        <w:tc>
          <w:tcPr>
            <w:tcW w:w="1801" w:type="dxa"/>
            <w:tcBorders>
              <w:top w:val="nil"/>
              <w:left w:val="nil"/>
              <w:bottom w:val="nil"/>
              <w:right w:val="nil"/>
            </w:tcBorders>
          </w:tcPr>
          <w:p w:rsidR="0042219B" w:rsidRDefault="00EF6A94">
            <w:pPr>
              <w:spacing w:line="400" w:lineRule="exact"/>
              <w:jc w:val="center"/>
              <w:rPr>
                <w:szCs w:val="21"/>
              </w:rPr>
            </w:pPr>
            <w:r>
              <w:rPr>
                <w:rFonts w:hint="eastAsia"/>
                <w:szCs w:val="21"/>
              </w:rPr>
              <w:t>49</w:t>
            </w:r>
            <w:r>
              <w:rPr>
                <w:szCs w:val="21"/>
              </w:rPr>
              <w:t>.</w:t>
            </w:r>
            <w:r>
              <w:rPr>
                <w:rFonts w:hint="eastAsia"/>
                <w:szCs w:val="21"/>
              </w:rPr>
              <w:t>94</w:t>
            </w:r>
            <w:r>
              <w:rPr>
                <w:szCs w:val="21"/>
              </w:rPr>
              <w:t>±</w:t>
            </w:r>
            <w:r>
              <w:rPr>
                <w:rFonts w:hint="eastAsia"/>
                <w:szCs w:val="21"/>
              </w:rPr>
              <w:t>6.01</w:t>
            </w:r>
          </w:p>
        </w:tc>
      </w:tr>
      <w:tr w:rsidR="0042219B">
        <w:trPr>
          <w:trHeight w:val="154"/>
          <w:jc w:val="center"/>
        </w:trPr>
        <w:tc>
          <w:tcPr>
            <w:tcW w:w="2276" w:type="dxa"/>
            <w:gridSpan w:val="2"/>
            <w:tcBorders>
              <w:top w:val="nil"/>
              <w:left w:val="nil"/>
              <w:bottom w:val="nil"/>
              <w:right w:val="nil"/>
            </w:tcBorders>
          </w:tcPr>
          <w:p w:rsidR="0042219B" w:rsidRDefault="00EF6A94">
            <w:pPr>
              <w:spacing w:line="400" w:lineRule="exact"/>
              <w:jc w:val="center"/>
              <w:rPr>
                <w:szCs w:val="21"/>
              </w:rPr>
            </w:pPr>
            <w:r>
              <w:rPr>
                <w:i/>
                <w:iCs/>
                <w:kern w:val="0"/>
                <w:szCs w:val="21"/>
              </w:rPr>
              <w:t>t</w:t>
            </w:r>
            <w:r>
              <w:rPr>
                <w:rFonts w:hint="eastAsia"/>
                <w:szCs w:val="21"/>
              </w:rPr>
              <w:t>值</w:t>
            </w:r>
          </w:p>
        </w:tc>
        <w:tc>
          <w:tcPr>
            <w:tcW w:w="1359" w:type="dxa"/>
            <w:tcBorders>
              <w:top w:val="nil"/>
              <w:left w:val="nil"/>
              <w:bottom w:val="nil"/>
              <w:right w:val="nil"/>
            </w:tcBorders>
          </w:tcPr>
          <w:p w:rsidR="0042219B" w:rsidRDefault="00EF6A94">
            <w:pPr>
              <w:spacing w:line="400" w:lineRule="exact"/>
              <w:jc w:val="center"/>
              <w:rPr>
                <w:szCs w:val="21"/>
              </w:rPr>
            </w:pPr>
            <w:r>
              <w:rPr>
                <w:rFonts w:hint="eastAsia"/>
                <w:szCs w:val="21"/>
              </w:rPr>
              <w:t>0.124</w:t>
            </w:r>
          </w:p>
        </w:tc>
        <w:tc>
          <w:tcPr>
            <w:tcW w:w="1363" w:type="dxa"/>
            <w:tcBorders>
              <w:top w:val="nil"/>
              <w:left w:val="nil"/>
              <w:bottom w:val="nil"/>
              <w:right w:val="nil"/>
            </w:tcBorders>
          </w:tcPr>
          <w:p w:rsidR="0042219B" w:rsidRDefault="00EF6A94">
            <w:pPr>
              <w:spacing w:line="400" w:lineRule="exact"/>
              <w:jc w:val="center"/>
              <w:rPr>
                <w:szCs w:val="21"/>
              </w:rPr>
            </w:pPr>
            <w:r>
              <w:rPr>
                <w:rFonts w:hint="eastAsia"/>
                <w:szCs w:val="21"/>
              </w:rPr>
              <w:t>11.768</w:t>
            </w:r>
          </w:p>
        </w:tc>
        <w:tc>
          <w:tcPr>
            <w:tcW w:w="1416" w:type="dxa"/>
            <w:tcBorders>
              <w:top w:val="nil"/>
              <w:left w:val="nil"/>
              <w:bottom w:val="nil"/>
              <w:right w:val="nil"/>
            </w:tcBorders>
          </w:tcPr>
          <w:p w:rsidR="0042219B" w:rsidRDefault="00EF6A94">
            <w:pPr>
              <w:spacing w:line="400" w:lineRule="exact"/>
              <w:jc w:val="center"/>
              <w:rPr>
                <w:szCs w:val="21"/>
              </w:rPr>
            </w:pPr>
            <w:r>
              <w:rPr>
                <w:rFonts w:hint="eastAsia"/>
                <w:szCs w:val="21"/>
              </w:rPr>
              <w:t>0.106</w:t>
            </w:r>
          </w:p>
        </w:tc>
        <w:tc>
          <w:tcPr>
            <w:tcW w:w="1801" w:type="dxa"/>
            <w:tcBorders>
              <w:top w:val="nil"/>
              <w:left w:val="nil"/>
              <w:bottom w:val="nil"/>
              <w:right w:val="nil"/>
            </w:tcBorders>
          </w:tcPr>
          <w:p w:rsidR="0042219B" w:rsidRDefault="00EF6A94">
            <w:pPr>
              <w:spacing w:line="400" w:lineRule="exact"/>
              <w:jc w:val="center"/>
              <w:rPr>
                <w:szCs w:val="21"/>
              </w:rPr>
            </w:pPr>
            <w:r>
              <w:rPr>
                <w:rFonts w:hint="eastAsia"/>
                <w:szCs w:val="21"/>
              </w:rPr>
              <w:t>10.882</w:t>
            </w:r>
          </w:p>
        </w:tc>
      </w:tr>
      <w:tr w:rsidR="0042219B">
        <w:trPr>
          <w:trHeight w:val="154"/>
          <w:jc w:val="center"/>
        </w:trPr>
        <w:tc>
          <w:tcPr>
            <w:tcW w:w="2276" w:type="dxa"/>
            <w:gridSpan w:val="2"/>
            <w:tcBorders>
              <w:top w:val="nil"/>
              <w:left w:val="nil"/>
              <w:bottom w:val="single" w:sz="4" w:space="0" w:color="auto"/>
              <w:right w:val="nil"/>
            </w:tcBorders>
          </w:tcPr>
          <w:p w:rsidR="0042219B" w:rsidRDefault="00EF6A94">
            <w:pPr>
              <w:spacing w:line="400" w:lineRule="exact"/>
              <w:jc w:val="center"/>
              <w:rPr>
                <w:szCs w:val="21"/>
              </w:rPr>
            </w:pPr>
            <w:r>
              <w:rPr>
                <w:i/>
                <w:kern w:val="0"/>
                <w:szCs w:val="21"/>
              </w:rPr>
              <w:t>P</w:t>
            </w:r>
            <w:r>
              <w:rPr>
                <w:rFonts w:hint="eastAsia"/>
                <w:szCs w:val="21"/>
              </w:rPr>
              <w:t>值</w:t>
            </w:r>
          </w:p>
        </w:tc>
        <w:tc>
          <w:tcPr>
            <w:tcW w:w="1359" w:type="dxa"/>
            <w:tcBorders>
              <w:top w:val="nil"/>
              <w:left w:val="nil"/>
              <w:bottom w:val="single" w:sz="4" w:space="0" w:color="auto"/>
              <w:right w:val="nil"/>
            </w:tcBorders>
          </w:tcPr>
          <w:p w:rsidR="0042219B" w:rsidRPr="00DC36F2" w:rsidRDefault="009C6B31">
            <w:pPr>
              <w:spacing w:line="400" w:lineRule="exact"/>
              <w:jc w:val="center"/>
              <w:rPr>
                <w:szCs w:val="21"/>
              </w:rPr>
            </w:pPr>
            <w:r w:rsidRPr="00DC36F2">
              <w:rPr>
                <w:rFonts w:hint="eastAsia"/>
                <w:kern w:val="0"/>
                <w:szCs w:val="21"/>
              </w:rPr>
              <w:t>2.341</w:t>
            </w:r>
          </w:p>
        </w:tc>
        <w:tc>
          <w:tcPr>
            <w:tcW w:w="1363" w:type="dxa"/>
            <w:tcBorders>
              <w:top w:val="nil"/>
              <w:left w:val="nil"/>
              <w:bottom w:val="single" w:sz="4" w:space="0" w:color="auto"/>
              <w:right w:val="nil"/>
            </w:tcBorders>
          </w:tcPr>
          <w:p w:rsidR="0042219B" w:rsidRPr="00DC36F2" w:rsidRDefault="009C6B31">
            <w:pPr>
              <w:spacing w:line="400" w:lineRule="exact"/>
              <w:jc w:val="center"/>
              <w:rPr>
                <w:szCs w:val="21"/>
              </w:rPr>
            </w:pPr>
            <w:r w:rsidRPr="00DC36F2">
              <w:rPr>
                <w:rFonts w:hint="eastAsia"/>
                <w:kern w:val="0"/>
                <w:szCs w:val="21"/>
              </w:rPr>
              <w:t>0.000</w:t>
            </w:r>
          </w:p>
        </w:tc>
        <w:tc>
          <w:tcPr>
            <w:tcW w:w="1416" w:type="dxa"/>
            <w:tcBorders>
              <w:top w:val="nil"/>
              <w:left w:val="nil"/>
              <w:bottom w:val="single" w:sz="4" w:space="0" w:color="auto"/>
              <w:right w:val="nil"/>
            </w:tcBorders>
          </w:tcPr>
          <w:p w:rsidR="0042219B" w:rsidRPr="00DC36F2" w:rsidRDefault="009C6B31">
            <w:pPr>
              <w:spacing w:line="400" w:lineRule="exact"/>
              <w:jc w:val="center"/>
              <w:rPr>
                <w:szCs w:val="21"/>
              </w:rPr>
            </w:pPr>
            <w:r w:rsidRPr="00DC36F2">
              <w:rPr>
                <w:rFonts w:hint="eastAsia"/>
                <w:kern w:val="0"/>
                <w:szCs w:val="21"/>
              </w:rPr>
              <w:t>2.403</w:t>
            </w:r>
          </w:p>
        </w:tc>
        <w:tc>
          <w:tcPr>
            <w:tcW w:w="1801" w:type="dxa"/>
            <w:tcBorders>
              <w:top w:val="nil"/>
              <w:left w:val="nil"/>
              <w:bottom w:val="single" w:sz="4" w:space="0" w:color="auto"/>
              <w:right w:val="nil"/>
            </w:tcBorders>
          </w:tcPr>
          <w:p w:rsidR="0042219B" w:rsidRPr="00DC36F2" w:rsidRDefault="009C6B31">
            <w:pPr>
              <w:spacing w:line="400" w:lineRule="exact"/>
              <w:jc w:val="center"/>
              <w:rPr>
                <w:szCs w:val="21"/>
              </w:rPr>
            </w:pPr>
            <w:r w:rsidRPr="00DC36F2">
              <w:rPr>
                <w:rFonts w:hint="eastAsia"/>
                <w:kern w:val="0"/>
                <w:szCs w:val="21"/>
              </w:rPr>
              <w:t>0.000</w:t>
            </w:r>
          </w:p>
        </w:tc>
      </w:tr>
    </w:tbl>
    <w:p w:rsidR="0042219B" w:rsidRDefault="00EF6A94">
      <w:pPr>
        <w:spacing w:line="400" w:lineRule="exact"/>
        <w:rPr>
          <w:kern w:val="0"/>
          <w:szCs w:val="21"/>
        </w:rPr>
      </w:pPr>
      <w:r>
        <w:rPr>
          <w:b/>
          <w:szCs w:val="21"/>
        </w:rPr>
        <w:t>2.</w:t>
      </w:r>
      <w:r>
        <w:rPr>
          <w:rFonts w:hint="eastAsia"/>
          <w:b/>
          <w:szCs w:val="21"/>
        </w:rPr>
        <w:t>3</w:t>
      </w:r>
      <w:proofErr w:type="gramStart"/>
      <w:r>
        <w:rPr>
          <w:b/>
          <w:szCs w:val="21"/>
        </w:rPr>
        <w:t>两</w:t>
      </w:r>
      <w:proofErr w:type="gramEnd"/>
      <w:r>
        <w:rPr>
          <w:b/>
          <w:szCs w:val="21"/>
        </w:rPr>
        <w:t>组</w:t>
      </w:r>
      <w:r>
        <w:rPr>
          <w:rFonts w:hint="eastAsia"/>
          <w:b/>
          <w:szCs w:val="21"/>
        </w:rPr>
        <w:t>恶性淋巴瘤</w:t>
      </w:r>
      <w:proofErr w:type="gramStart"/>
      <w:r>
        <w:rPr>
          <w:rFonts w:hint="eastAsia"/>
          <w:b/>
          <w:szCs w:val="21"/>
        </w:rPr>
        <w:t>利妥昔单抗靶向治疗</w:t>
      </w:r>
      <w:proofErr w:type="gramEnd"/>
      <w:r>
        <w:rPr>
          <w:rFonts w:hint="eastAsia"/>
          <w:b/>
          <w:szCs w:val="21"/>
        </w:rPr>
        <w:t>后</w:t>
      </w:r>
      <w:r>
        <w:rPr>
          <w:b/>
          <w:szCs w:val="21"/>
        </w:rPr>
        <w:t>患者</w:t>
      </w:r>
      <w:r>
        <w:rPr>
          <w:rFonts w:hint="eastAsia"/>
          <w:b/>
          <w:szCs w:val="21"/>
        </w:rPr>
        <w:t>不良反应情况</w:t>
      </w:r>
      <w:r>
        <w:rPr>
          <w:b/>
          <w:kern w:val="0"/>
          <w:szCs w:val="21"/>
        </w:rPr>
        <w:t>的比较</w:t>
      </w:r>
      <w:r w:rsidR="003B626F" w:rsidRPr="00DC36F2">
        <w:rPr>
          <w:rFonts w:hint="eastAsia"/>
          <w:b/>
          <w:kern w:val="0"/>
          <w:szCs w:val="21"/>
        </w:rPr>
        <w:t xml:space="preserve"> </w:t>
      </w:r>
      <w:r w:rsidRPr="00DC36F2">
        <w:rPr>
          <w:szCs w:val="21"/>
        </w:rPr>
        <w:t>与对照组</w:t>
      </w:r>
      <w:r w:rsidR="003B626F" w:rsidRPr="00DC36F2">
        <w:rPr>
          <w:rFonts w:hint="eastAsia"/>
          <w:szCs w:val="21"/>
        </w:rPr>
        <w:t>比较</w:t>
      </w:r>
      <w:r w:rsidRPr="00DC36F2">
        <w:rPr>
          <w:szCs w:val="21"/>
        </w:rPr>
        <w:t>，</w:t>
      </w:r>
      <w:r>
        <w:rPr>
          <w:szCs w:val="21"/>
        </w:rPr>
        <w:t>观察</w:t>
      </w:r>
      <w:proofErr w:type="gramStart"/>
      <w:r>
        <w:rPr>
          <w:szCs w:val="21"/>
        </w:rPr>
        <w:t>组</w:t>
      </w:r>
      <w:r>
        <w:rPr>
          <w:rFonts w:hint="eastAsia"/>
          <w:kern w:val="0"/>
          <w:szCs w:val="21"/>
        </w:rPr>
        <w:t>治疗</w:t>
      </w:r>
      <w:proofErr w:type="gramEnd"/>
      <w:r>
        <w:rPr>
          <w:rFonts w:hint="eastAsia"/>
          <w:kern w:val="0"/>
          <w:szCs w:val="21"/>
        </w:rPr>
        <w:t>后患者</w:t>
      </w:r>
      <w:r>
        <w:rPr>
          <w:rFonts w:hint="eastAsia"/>
          <w:szCs w:val="21"/>
        </w:rPr>
        <w:t>恶心呕吐，皮疹瘙痒，寒战发热，血压下降等</w:t>
      </w:r>
      <w:r>
        <w:rPr>
          <w:rFonts w:hint="eastAsia"/>
          <w:kern w:val="0"/>
          <w:szCs w:val="21"/>
        </w:rPr>
        <w:t>不良反应</w:t>
      </w:r>
      <w:r>
        <w:rPr>
          <w:kern w:val="0"/>
          <w:szCs w:val="21"/>
        </w:rPr>
        <w:t>总</w:t>
      </w:r>
      <w:r>
        <w:rPr>
          <w:rFonts w:hint="eastAsia"/>
          <w:kern w:val="0"/>
          <w:szCs w:val="21"/>
        </w:rPr>
        <w:t>发生</w:t>
      </w:r>
      <w:r>
        <w:rPr>
          <w:kern w:val="0"/>
          <w:szCs w:val="21"/>
        </w:rPr>
        <w:t>率</w:t>
      </w:r>
      <w:r>
        <w:rPr>
          <w:kern w:val="0"/>
          <w:szCs w:val="21"/>
        </w:rPr>
        <w:t>9.</w:t>
      </w:r>
      <w:r>
        <w:rPr>
          <w:rFonts w:hint="eastAsia"/>
          <w:kern w:val="0"/>
          <w:szCs w:val="21"/>
        </w:rPr>
        <w:t>80</w:t>
      </w:r>
      <w:r>
        <w:rPr>
          <w:kern w:val="0"/>
          <w:szCs w:val="21"/>
        </w:rPr>
        <w:t>%</w:t>
      </w:r>
      <w:r>
        <w:rPr>
          <w:kern w:val="0"/>
          <w:szCs w:val="21"/>
        </w:rPr>
        <w:t>（</w:t>
      </w:r>
      <w:r>
        <w:rPr>
          <w:rFonts w:hint="eastAsia"/>
          <w:kern w:val="0"/>
          <w:szCs w:val="21"/>
        </w:rPr>
        <w:t>5</w:t>
      </w:r>
      <w:r>
        <w:rPr>
          <w:kern w:val="0"/>
          <w:szCs w:val="21"/>
        </w:rPr>
        <w:t>/51</w:t>
      </w:r>
      <w:r>
        <w:rPr>
          <w:kern w:val="0"/>
          <w:szCs w:val="21"/>
        </w:rPr>
        <w:t>）</w:t>
      </w:r>
      <w:r>
        <w:rPr>
          <w:szCs w:val="21"/>
        </w:rPr>
        <w:t>明显降低，差异均具有统计学意义</w:t>
      </w:r>
      <w:r>
        <w:rPr>
          <w:kern w:val="0"/>
          <w:szCs w:val="21"/>
        </w:rPr>
        <w:t>（</w:t>
      </w:r>
      <w:r>
        <w:rPr>
          <w:i/>
          <w:kern w:val="0"/>
          <w:szCs w:val="21"/>
        </w:rPr>
        <w:t>P</w:t>
      </w:r>
      <w:r>
        <w:rPr>
          <w:kern w:val="0"/>
          <w:szCs w:val="21"/>
        </w:rPr>
        <w:t>＜</w:t>
      </w:r>
      <w:r>
        <w:rPr>
          <w:kern w:val="0"/>
          <w:szCs w:val="21"/>
        </w:rPr>
        <w:t>0.05</w:t>
      </w:r>
      <w:r>
        <w:rPr>
          <w:kern w:val="0"/>
          <w:szCs w:val="21"/>
        </w:rPr>
        <w:t>），结果见表</w:t>
      </w:r>
      <w:r>
        <w:rPr>
          <w:rFonts w:hint="eastAsia"/>
          <w:kern w:val="0"/>
          <w:szCs w:val="21"/>
        </w:rPr>
        <w:t>3</w:t>
      </w:r>
      <w:r>
        <w:rPr>
          <w:kern w:val="0"/>
          <w:szCs w:val="21"/>
        </w:rPr>
        <w:t>。</w:t>
      </w:r>
    </w:p>
    <w:p w:rsidR="0042219B" w:rsidRDefault="00EF6A94">
      <w:pPr>
        <w:spacing w:line="400" w:lineRule="exact"/>
        <w:jc w:val="center"/>
        <w:rPr>
          <w:szCs w:val="21"/>
        </w:rPr>
      </w:pPr>
      <w:r>
        <w:rPr>
          <w:kern w:val="0"/>
          <w:szCs w:val="21"/>
        </w:rPr>
        <w:t>表</w:t>
      </w:r>
      <w:r>
        <w:rPr>
          <w:rFonts w:hint="eastAsia"/>
          <w:kern w:val="0"/>
          <w:szCs w:val="21"/>
        </w:rPr>
        <w:t>3</w:t>
      </w:r>
      <w:proofErr w:type="gramStart"/>
      <w:r>
        <w:rPr>
          <w:rFonts w:hint="eastAsia"/>
          <w:kern w:val="0"/>
          <w:szCs w:val="21"/>
        </w:rPr>
        <w:t>两</w:t>
      </w:r>
      <w:proofErr w:type="gramEnd"/>
      <w:r>
        <w:rPr>
          <w:rFonts w:hint="eastAsia"/>
          <w:kern w:val="0"/>
          <w:szCs w:val="21"/>
        </w:rPr>
        <w:t>组恶性淋巴瘤</w:t>
      </w:r>
      <w:proofErr w:type="gramStart"/>
      <w:r>
        <w:rPr>
          <w:rFonts w:hint="eastAsia"/>
          <w:kern w:val="0"/>
          <w:szCs w:val="21"/>
        </w:rPr>
        <w:t>利妥昔单抗靶向治疗</w:t>
      </w:r>
      <w:proofErr w:type="gramEnd"/>
      <w:r>
        <w:rPr>
          <w:rFonts w:hint="eastAsia"/>
          <w:kern w:val="0"/>
          <w:szCs w:val="21"/>
        </w:rPr>
        <w:t>后患者不良反应情况的比较</w:t>
      </w:r>
      <w:r>
        <w:rPr>
          <w:szCs w:val="21"/>
        </w:rPr>
        <w:t>（例，</w:t>
      </w:r>
      <w:r>
        <w:rPr>
          <w:szCs w:val="21"/>
        </w:rPr>
        <w:t>%</w:t>
      </w:r>
      <w:r>
        <w:rPr>
          <w:szCs w:val="21"/>
        </w:rPr>
        <w:t>）</w:t>
      </w:r>
    </w:p>
    <w:tbl>
      <w:tblPr>
        <w:tblW w:w="10714" w:type="dxa"/>
        <w:jc w:val="center"/>
        <w:tblBorders>
          <w:top w:val="single" w:sz="4" w:space="0" w:color="auto"/>
          <w:bottom w:val="single" w:sz="4" w:space="0" w:color="auto"/>
        </w:tblBorders>
        <w:tblLayout w:type="fixed"/>
        <w:tblLook w:val="04A0" w:firstRow="1" w:lastRow="0" w:firstColumn="1" w:lastColumn="0" w:noHBand="0" w:noVBand="1"/>
      </w:tblPr>
      <w:tblGrid>
        <w:gridCol w:w="1134"/>
        <w:gridCol w:w="933"/>
        <w:gridCol w:w="1701"/>
        <w:gridCol w:w="1559"/>
        <w:gridCol w:w="1701"/>
        <w:gridCol w:w="1418"/>
        <w:gridCol w:w="2268"/>
      </w:tblGrid>
      <w:tr w:rsidR="0042219B">
        <w:trPr>
          <w:trHeight w:val="93"/>
          <w:jc w:val="center"/>
        </w:trPr>
        <w:tc>
          <w:tcPr>
            <w:tcW w:w="1134" w:type="dxa"/>
            <w:tcBorders>
              <w:top w:val="single" w:sz="4" w:space="0" w:color="auto"/>
              <w:bottom w:val="single" w:sz="4" w:space="0" w:color="auto"/>
            </w:tcBorders>
          </w:tcPr>
          <w:p w:rsidR="0042219B" w:rsidRDefault="00EF6A94">
            <w:pPr>
              <w:spacing w:line="400" w:lineRule="exact"/>
              <w:jc w:val="center"/>
              <w:rPr>
                <w:szCs w:val="21"/>
              </w:rPr>
            </w:pPr>
            <w:r>
              <w:rPr>
                <w:szCs w:val="21"/>
              </w:rPr>
              <w:t>组别</w:t>
            </w:r>
          </w:p>
        </w:tc>
        <w:tc>
          <w:tcPr>
            <w:tcW w:w="933" w:type="dxa"/>
            <w:tcBorders>
              <w:top w:val="single" w:sz="4" w:space="0" w:color="auto"/>
              <w:bottom w:val="single" w:sz="4" w:space="0" w:color="auto"/>
            </w:tcBorders>
          </w:tcPr>
          <w:p w:rsidR="0042219B" w:rsidRDefault="00EF6A94">
            <w:pPr>
              <w:spacing w:line="400" w:lineRule="exact"/>
              <w:jc w:val="center"/>
              <w:rPr>
                <w:szCs w:val="21"/>
              </w:rPr>
            </w:pPr>
            <w:r>
              <w:rPr>
                <w:szCs w:val="21"/>
              </w:rPr>
              <w:t>例数</w:t>
            </w:r>
            <w:r>
              <w:rPr>
                <w:szCs w:val="21"/>
              </w:rPr>
              <w:t>(n)</w:t>
            </w:r>
          </w:p>
        </w:tc>
        <w:tc>
          <w:tcPr>
            <w:tcW w:w="1701" w:type="dxa"/>
            <w:tcBorders>
              <w:top w:val="single" w:sz="4" w:space="0" w:color="auto"/>
              <w:bottom w:val="single" w:sz="4" w:space="0" w:color="auto"/>
            </w:tcBorders>
          </w:tcPr>
          <w:p w:rsidR="0042219B" w:rsidRDefault="00EF6A94">
            <w:pPr>
              <w:spacing w:line="400" w:lineRule="exact"/>
              <w:jc w:val="center"/>
              <w:rPr>
                <w:szCs w:val="21"/>
              </w:rPr>
            </w:pPr>
            <w:r>
              <w:rPr>
                <w:rFonts w:hint="eastAsia"/>
                <w:szCs w:val="21"/>
              </w:rPr>
              <w:t>恶心呕吐</w:t>
            </w:r>
            <w:r>
              <w:rPr>
                <w:szCs w:val="21"/>
              </w:rPr>
              <w:t>(%)</w:t>
            </w:r>
          </w:p>
        </w:tc>
        <w:tc>
          <w:tcPr>
            <w:tcW w:w="1559" w:type="dxa"/>
            <w:tcBorders>
              <w:top w:val="single" w:sz="4" w:space="0" w:color="auto"/>
              <w:bottom w:val="single" w:sz="4" w:space="0" w:color="auto"/>
            </w:tcBorders>
          </w:tcPr>
          <w:p w:rsidR="0042219B" w:rsidRDefault="00EF6A94">
            <w:pPr>
              <w:spacing w:line="400" w:lineRule="exact"/>
              <w:jc w:val="center"/>
              <w:rPr>
                <w:szCs w:val="21"/>
              </w:rPr>
            </w:pPr>
            <w:r>
              <w:rPr>
                <w:rFonts w:hint="eastAsia"/>
                <w:szCs w:val="21"/>
              </w:rPr>
              <w:t>皮疹瘙痒</w:t>
            </w:r>
            <w:r>
              <w:rPr>
                <w:szCs w:val="21"/>
              </w:rPr>
              <w:t>(%)</w:t>
            </w:r>
          </w:p>
        </w:tc>
        <w:tc>
          <w:tcPr>
            <w:tcW w:w="1701" w:type="dxa"/>
            <w:tcBorders>
              <w:top w:val="single" w:sz="4" w:space="0" w:color="auto"/>
              <w:bottom w:val="single" w:sz="4" w:space="0" w:color="auto"/>
            </w:tcBorders>
          </w:tcPr>
          <w:p w:rsidR="0042219B" w:rsidRDefault="00EF6A94">
            <w:pPr>
              <w:spacing w:line="400" w:lineRule="exact"/>
              <w:jc w:val="center"/>
              <w:rPr>
                <w:szCs w:val="21"/>
              </w:rPr>
            </w:pPr>
            <w:r>
              <w:rPr>
                <w:rFonts w:hint="eastAsia"/>
                <w:szCs w:val="21"/>
              </w:rPr>
              <w:t>寒战发热</w:t>
            </w:r>
            <w:r>
              <w:rPr>
                <w:szCs w:val="21"/>
              </w:rPr>
              <w:t>(%)</w:t>
            </w:r>
          </w:p>
        </w:tc>
        <w:tc>
          <w:tcPr>
            <w:tcW w:w="1418" w:type="dxa"/>
            <w:tcBorders>
              <w:top w:val="single" w:sz="4" w:space="0" w:color="auto"/>
              <w:bottom w:val="single" w:sz="4" w:space="0" w:color="auto"/>
            </w:tcBorders>
          </w:tcPr>
          <w:p w:rsidR="0042219B" w:rsidRDefault="00EF6A94">
            <w:pPr>
              <w:spacing w:line="400" w:lineRule="exact"/>
              <w:jc w:val="center"/>
              <w:rPr>
                <w:szCs w:val="21"/>
              </w:rPr>
            </w:pPr>
            <w:r>
              <w:rPr>
                <w:rFonts w:hint="eastAsia"/>
                <w:szCs w:val="21"/>
              </w:rPr>
              <w:t>血压下降</w:t>
            </w:r>
            <w:r>
              <w:rPr>
                <w:szCs w:val="21"/>
              </w:rPr>
              <w:t>(%)</w:t>
            </w:r>
          </w:p>
        </w:tc>
        <w:tc>
          <w:tcPr>
            <w:tcW w:w="2268" w:type="dxa"/>
            <w:tcBorders>
              <w:top w:val="single" w:sz="4" w:space="0" w:color="auto"/>
              <w:bottom w:val="single" w:sz="4" w:space="0" w:color="auto"/>
            </w:tcBorders>
          </w:tcPr>
          <w:p w:rsidR="0042219B" w:rsidRDefault="00EF6A94">
            <w:pPr>
              <w:spacing w:line="400" w:lineRule="exact"/>
              <w:jc w:val="center"/>
              <w:rPr>
                <w:szCs w:val="21"/>
              </w:rPr>
            </w:pPr>
            <w:r>
              <w:rPr>
                <w:rFonts w:hint="eastAsia"/>
                <w:kern w:val="0"/>
                <w:szCs w:val="21"/>
              </w:rPr>
              <w:t>不良反应</w:t>
            </w:r>
            <w:r>
              <w:rPr>
                <w:kern w:val="0"/>
                <w:szCs w:val="21"/>
              </w:rPr>
              <w:t>总</w:t>
            </w:r>
            <w:r>
              <w:rPr>
                <w:rFonts w:hint="eastAsia"/>
                <w:kern w:val="0"/>
                <w:szCs w:val="21"/>
              </w:rPr>
              <w:t>发生</w:t>
            </w:r>
            <w:r>
              <w:rPr>
                <w:kern w:val="0"/>
                <w:szCs w:val="21"/>
              </w:rPr>
              <w:t>率</w:t>
            </w:r>
            <w:r>
              <w:rPr>
                <w:szCs w:val="21"/>
              </w:rPr>
              <w:t>(%)</w:t>
            </w:r>
          </w:p>
        </w:tc>
      </w:tr>
      <w:tr w:rsidR="0042219B">
        <w:trPr>
          <w:trHeight w:val="45"/>
          <w:jc w:val="center"/>
        </w:trPr>
        <w:tc>
          <w:tcPr>
            <w:tcW w:w="1134" w:type="dxa"/>
            <w:tcBorders>
              <w:top w:val="single" w:sz="4" w:space="0" w:color="auto"/>
            </w:tcBorders>
          </w:tcPr>
          <w:p w:rsidR="0042219B" w:rsidRDefault="00EF6A94">
            <w:pPr>
              <w:spacing w:line="400" w:lineRule="exact"/>
              <w:jc w:val="center"/>
              <w:rPr>
                <w:szCs w:val="21"/>
              </w:rPr>
            </w:pPr>
            <w:r>
              <w:rPr>
                <w:szCs w:val="21"/>
              </w:rPr>
              <w:t>观察组</w:t>
            </w:r>
          </w:p>
        </w:tc>
        <w:tc>
          <w:tcPr>
            <w:tcW w:w="933" w:type="dxa"/>
            <w:tcBorders>
              <w:top w:val="single" w:sz="4" w:space="0" w:color="auto"/>
            </w:tcBorders>
          </w:tcPr>
          <w:p w:rsidR="0042219B" w:rsidRDefault="00EF6A94">
            <w:pPr>
              <w:spacing w:line="400" w:lineRule="exact"/>
              <w:jc w:val="center"/>
              <w:rPr>
                <w:szCs w:val="21"/>
              </w:rPr>
            </w:pPr>
            <w:r>
              <w:rPr>
                <w:szCs w:val="21"/>
              </w:rPr>
              <w:t>51</w:t>
            </w:r>
          </w:p>
        </w:tc>
        <w:tc>
          <w:tcPr>
            <w:tcW w:w="1701" w:type="dxa"/>
            <w:tcBorders>
              <w:top w:val="single" w:sz="4" w:space="0" w:color="auto"/>
            </w:tcBorders>
          </w:tcPr>
          <w:p w:rsidR="0042219B" w:rsidRDefault="00EF6A94">
            <w:pPr>
              <w:spacing w:line="400" w:lineRule="exact"/>
              <w:jc w:val="center"/>
              <w:rPr>
                <w:szCs w:val="21"/>
              </w:rPr>
            </w:pPr>
            <w:r>
              <w:rPr>
                <w:rFonts w:hint="eastAsia"/>
                <w:kern w:val="0"/>
                <w:szCs w:val="21"/>
              </w:rPr>
              <w:t>1</w:t>
            </w:r>
            <w:r>
              <w:rPr>
                <w:kern w:val="0"/>
                <w:szCs w:val="21"/>
              </w:rPr>
              <w:t>(</w:t>
            </w:r>
            <w:r>
              <w:rPr>
                <w:rFonts w:hint="eastAsia"/>
                <w:kern w:val="0"/>
                <w:szCs w:val="21"/>
              </w:rPr>
              <w:t>1.96</w:t>
            </w:r>
            <w:r>
              <w:rPr>
                <w:kern w:val="0"/>
                <w:szCs w:val="21"/>
              </w:rPr>
              <w:t>)</w:t>
            </w:r>
          </w:p>
        </w:tc>
        <w:tc>
          <w:tcPr>
            <w:tcW w:w="1559" w:type="dxa"/>
            <w:tcBorders>
              <w:top w:val="single" w:sz="4" w:space="0" w:color="auto"/>
            </w:tcBorders>
          </w:tcPr>
          <w:p w:rsidR="0042219B" w:rsidRDefault="00EF6A94">
            <w:pPr>
              <w:spacing w:line="400" w:lineRule="exact"/>
              <w:jc w:val="center"/>
              <w:rPr>
                <w:szCs w:val="21"/>
              </w:rPr>
            </w:pPr>
            <w:r>
              <w:rPr>
                <w:rFonts w:hint="eastAsia"/>
                <w:kern w:val="0"/>
                <w:szCs w:val="21"/>
              </w:rPr>
              <w:t>1</w:t>
            </w:r>
            <w:r>
              <w:rPr>
                <w:kern w:val="0"/>
                <w:szCs w:val="21"/>
              </w:rPr>
              <w:t>(</w:t>
            </w:r>
            <w:r>
              <w:rPr>
                <w:rFonts w:hint="eastAsia"/>
                <w:kern w:val="0"/>
                <w:szCs w:val="21"/>
              </w:rPr>
              <w:t>1.96</w:t>
            </w:r>
            <w:r>
              <w:rPr>
                <w:kern w:val="0"/>
                <w:szCs w:val="21"/>
              </w:rPr>
              <w:t>)</w:t>
            </w:r>
          </w:p>
        </w:tc>
        <w:tc>
          <w:tcPr>
            <w:tcW w:w="1701" w:type="dxa"/>
            <w:tcBorders>
              <w:top w:val="single" w:sz="4" w:space="0" w:color="auto"/>
            </w:tcBorders>
          </w:tcPr>
          <w:p w:rsidR="0042219B" w:rsidRDefault="00EF6A94">
            <w:pPr>
              <w:spacing w:line="400" w:lineRule="exact"/>
              <w:jc w:val="center"/>
              <w:rPr>
                <w:szCs w:val="21"/>
              </w:rPr>
            </w:pPr>
            <w:r>
              <w:rPr>
                <w:rFonts w:hint="eastAsia"/>
                <w:kern w:val="0"/>
                <w:szCs w:val="21"/>
              </w:rPr>
              <w:t>2</w:t>
            </w:r>
            <w:r>
              <w:rPr>
                <w:kern w:val="0"/>
                <w:szCs w:val="21"/>
              </w:rPr>
              <w:t>(3</w:t>
            </w:r>
            <w:r>
              <w:rPr>
                <w:rFonts w:hint="eastAsia"/>
                <w:kern w:val="0"/>
                <w:szCs w:val="21"/>
              </w:rPr>
              <w:t>.92</w:t>
            </w:r>
            <w:r>
              <w:rPr>
                <w:kern w:val="0"/>
                <w:szCs w:val="21"/>
              </w:rPr>
              <w:t>)</w:t>
            </w:r>
          </w:p>
        </w:tc>
        <w:tc>
          <w:tcPr>
            <w:tcW w:w="1418" w:type="dxa"/>
            <w:tcBorders>
              <w:top w:val="single" w:sz="4" w:space="0" w:color="auto"/>
            </w:tcBorders>
          </w:tcPr>
          <w:p w:rsidR="0042219B" w:rsidRDefault="00EF6A94">
            <w:pPr>
              <w:spacing w:line="400" w:lineRule="exact"/>
              <w:jc w:val="center"/>
              <w:rPr>
                <w:szCs w:val="21"/>
              </w:rPr>
            </w:pPr>
            <w:r>
              <w:rPr>
                <w:rFonts w:hint="eastAsia"/>
                <w:kern w:val="0"/>
                <w:szCs w:val="21"/>
              </w:rPr>
              <w:t>1</w:t>
            </w:r>
            <w:r>
              <w:rPr>
                <w:kern w:val="0"/>
                <w:szCs w:val="21"/>
              </w:rPr>
              <w:t>(</w:t>
            </w:r>
            <w:r>
              <w:rPr>
                <w:rFonts w:hint="eastAsia"/>
                <w:kern w:val="0"/>
                <w:szCs w:val="21"/>
              </w:rPr>
              <w:t>1.96</w:t>
            </w:r>
            <w:r>
              <w:rPr>
                <w:kern w:val="0"/>
                <w:szCs w:val="21"/>
              </w:rPr>
              <w:t>)</w:t>
            </w:r>
          </w:p>
        </w:tc>
        <w:tc>
          <w:tcPr>
            <w:tcW w:w="2268" w:type="dxa"/>
            <w:tcBorders>
              <w:top w:val="single" w:sz="4" w:space="0" w:color="auto"/>
            </w:tcBorders>
          </w:tcPr>
          <w:p w:rsidR="0042219B" w:rsidRDefault="00EF6A94">
            <w:pPr>
              <w:spacing w:line="400" w:lineRule="exact"/>
              <w:jc w:val="center"/>
              <w:rPr>
                <w:szCs w:val="21"/>
              </w:rPr>
            </w:pPr>
            <w:r>
              <w:rPr>
                <w:rFonts w:hint="eastAsia"/>
                <w:kern w:val="0"/>
                <w:szCs w:val="21"/>
              </w:rPr>
              <w:t>5</w:t>
            </w:r>
            <w:r>
              <w:rPr>
                <w:kern w:val="0"/>
                <w:szCs w:val="21"/>
              </w:rPr>
              <w:t>(</w:t>
            </w:r>
            <w:proofErr w:type="gramStart"/>
            <w:r>
              <w:rPr>
                <w:kern w:val="0"/>
                <w:szCs w:val="21"/>
              </w:rPr>
              <w:t>9.</w:t>
            </w:r>
            <w:r>
              <w:rPr>
                <w:rFonts w:hint="eastAsia"/>
                <w:kern w:val="0"/>
                <w:szCs w:val="21"/>
              </w:rPr>
              <w:t>80</w:t>
            </w:r>
            <w:r>
              <w:rPr>
                <w:kern w:val="0"/>
                <w:szCs w:val="21"/>
              </w:rPr>
              <w:t>)*</w:t>
            </w:r>
            <w:proofErr w:type="gramEnd"/>
          </w:p>
        </w:tc>
      </w:tr>
      <w:tr w:rsidR="0042219B">
        <w:trPr>
          <w:trHeight w:val="45"/>
          <w:jc w:val="center"/>
        </w:trPr>
        <w:tc>
          <w:tcPr>
            <w:tcW w:w="1134" w:type="dxa"/>
          </w:tcPr>
          <w:p w:rsidR="0042219B" w:rsidRDefault="00EF6A94">
            <w:pPr>
              <w:spacing w:line="400" w:lineRule="exact"/>
              <w:jc w:val="center"/>
              <w:rPr>
                <w:szCs w:val="21"/>
              </w:rPr>
            </w:pPr>
            <w:r>
              <w:rPr>
                <w:szCs w:val="21"/>
              </w:rPr>
              <w:t>对照组</w:t>
            </w:r>
          </w:p>
        </w:tc>
        <w:tc>
          <w:tcPr>
            <w:tcW w:w="933" w:type="dxa"/>
          </w:tcPr>
          <w:p w:rsidR="0042219B" w:rsidRDefault="00EF6A94">
            <w:pPr>
              <w:spacing w:line="400" w:lineRule="exact"/>
              <w:jc w:val="center"/>
              <w:rPr>
                <w:szCs w:val="21"/>
              </w:rPr>
            </w:pPr>
            <w:r>
              <w:rPr>
                <w:szCs w:val="21"/>
              </w:rPr>
              <w:t>49</w:t>
            </w:r>
          </w:p>
        </w:tc>
        <w:tc>
          <w:tcPr>
            <w:tcW w:w="1701" w:type="dxa"/>
          </w:tcPr>
          <w:p w:rsidR="0042219B" w:rsidRDefault="00EF6A94">
            <w:pPr>
              <w:spacing w:line="400" w:lineRule="exact"/>
              <w:jc w:val="center"/>
              <w:rPr>
                <w:kern w:val="0"/>
                <w:szCs w:val="21"/>
              </w:rPr>
            </w:pPr>
            <w:r>
              <w:rPr>
                <w:kern w:val="0"/>
                <w:szCs w:val="21"/>
              </w:rPr>
              <w:t>2(4</w:t>
            </w:r>
            <w:r>
              <w:rPr>
                <w:rFonts w:hint="eastAsia"/>
                <w:kern w:val="0"/>
                <w:szCs w:val="21"/>
              </w:rPr>
              <w:t>.</w:t>
            </w:r>
            <w:r>
              <w:rPr>
                <w:kern w:val="0"/>
                <w:szCs w:val="21"/>
              </w:rPr>
              <w:t>08)</w:t>
            </w:r>
          </w:p>
        </w:tc>
        <w:tc>
          <w:tcPr>
            <w:tcW w:w="1559" w:type="dxa"/>
          </w:tcPr>
          <w:p w:rsidR="0042219B" w:rsidRDefault="00EF6A94">
            <w:pPr>
              <w:spacing w:line="400" w:lineRule="exact"/>
              <w:jc w:val="center"/>
              <w:rPr>
                <w:kern w:val="0"/>
                <w:szCs w:val="21"/>
              </w:rPr>
            </w:pPr>
            <w:r>
              <w:rPr>
                <w:rFonts w:hint="eastAsia"/>
                <w:kern w:val="0"/>
                <w:szCs w:val="21"/>
              </w:rPr>
              <w:t>4</w:t>
            </w:r>
            <w:r>
              <w:rPr>
                <w:kern w:val="0"/>
                <w:szCs w:val="21"/>
              </w:rPr>
              <w:t>(</w:t>
            </w:r>
            <w:r>
              <w:rPr>
                <w:rFonts w:hint="eastAsia"/>
                <w:kern w:val="0"/>
                <w:szCs w:val="21"/>
              </w:rPr>
              <w:t>8.16</w:t>
            </w:r>
            <w:r>
              <w:rPr>
                <w:kern w:val="0"/>
                <w:szCs w:val="21"/>
              </w:rPr>
              <w:t>)</w:t>
            </w:r>
          </w:p>
        </w:tc>
        <w:tc>
          <w:tcPr>
            <w:tcW w:w="1701" w:type="dxa"/>
          </w:tcPr>
          <w:p w:rsidR="0042219B" w:rsidRDefault="00EF6A94">
            <w:pPr>
              <w:spacing w:line="400" w:lineRule="exact"/>
              <w:jc w:val="center"/>
              <w:rPr>
                <w:kern w:val="0"/>
                <w:szCs w:val="21"/>
              </w:rPr>
            </w:pPr>
            <w:r>
              <w:rPr>
                <w:rFonts w:hint="eastAsia"/>
                <w:kern w:val="0"/>
                <w:szCs w:val="21"/>
              </w:rPr>
              <w:t>4</w:t>
            </w:r>
            <w:r>
              <w:rPr>
                <w:kern w:val="0"/>
                <w:szCs w:val="21"/>
              </w:rPr>
              <w:t>(</w:t>
            </w:r>
            <w:r>
              <w:rPr>
                <w:rFonts w:hint="eastAsia"/>
                <w:kern w:val="0"/>
                <w:szCs w:val="21"/>
              </w:rPr>
              <w:t>8.16</w:t>
            </w:r>
            <w:r>
              <w:rPr>
                <w:kern w:val="0"/>
                <w:szCs w:val="21"/>
              </w:rPr>
              <w:t>)</w:t>
            </w:r>
          </w:p>
        </w:tc>
        <w:tc>
          <w:tcPr>
            <w:tcW w:w="1418" w:type="dxa"/>
          </w:tcPr>
          <w:p w:rsidR="0042219B" w:rsidRDefault="00EF6A94">
            <w:pPr>
              <w:spacing w:line="400" w:lineRule="exact"/>
              <w:jc w:val="center"/>
              <w:rPr>
                <w:kern w:val="0"/>
                <w:szCs w:val="21"/>
              </w:rPr>
            </w:pPr>
            <w:r>
              <w:rPr>
                <w:rFonts w:hint="eastAsia"/>
                <w:kern w:val="0"/>
                <w:szCs w:val="21"/>
              </w:rPr>
              <w:t>3</w:t>
            </w:r>
            <w:r>
              <w:rPr>
                <w:kern w:val="0"/>
                <w:szCs w:val="21"/>
              </w:rPr>
              <w:t>(</w:t>
            </w:r>
            <w:r>
              <w:rPr>
                <w:rFonts w:hint="eastAsia"/>
                <w:kern w:val="0"/>
                <w:szCs w:val="21"/>
              </w:rPr>
              <w:t>6.12</w:t>
            </w:r>
            <w:r>
              <w:rPr>
                <w:kern w:val="0"/>
                <w:szCs w:val="21"/>
              </w:rPr>
              <w:t>)</w:t>
            </w:r>
          </w:p>
        </w:tc>
        <w:tc>
          <w:tcPr>
            <w:tcW w:w="2268" w:type="dxa"/>
          </w:tcPr>
          <w:p w:rsidR="0042219B" w:rsidRDefault="00EF6A94">
            <w:pPr>
              <w:spacing w:line="400" w:lineRule="exact"/>
              <w:jc w:val="center"/>
              <w:rPr>
                <w:kern w:val="0"/>
                <w:szCs w:val="21"/>
              </w:rPr>
            </w:pPr>
            <w:r>
              <w:rPr>
                <w:rFonts w:hint="eastAsia"/>
                <w:kern w:val="0"/>
                <w:szCs w:val="21"/>
              </w:rPr>
              <w:t>13</w:t>
            </w:r>
            <w:r>
              <w:rPr>
                <w:kern w:val="0"/>
                <w:szCs w:val="21"/>
              </w:rPr>
              <w:t>(</w:t>
            </w:r>
            <w:r>
              <w:rPr>
                <w:rFonts w:hint="eastAsia"/>
                <w:kern w:val="0"/>
                <w:szCs w:val="21"/>
              </w:rPr>
              <w:t>26.53</w:t>
            </w:r>
            <w:r>
              <w:rPr>
                <w:kern w:val="0"/>
                <w:szCs w:val="21"/>
              </w:rPr>
              <w:t>)</w:t>
            </w:r>
          </w:p>
        </w:tc>
      </w:tr>
      <w:tr w:rsidR="0042219B">
        <w:trPr>
          <w:trHeight w:val="45"/>
          <w:jc w:val="center"/>
        </w:trPr>
        <w:tc>
          <w:tcPr>
            <w:tcW w:w="2067" w:type="dxa"/>
            <w:gridSpan w:val="2"/>
          </w:tcPr>
          <w:p w:rsidR="0042219B" w:rsidRDefault="00EF6A94">
            <w:pPr>
              <w:spacing w:line="400" w:lineRule="exact"/>
              <w:ind w:firstLineChars="400" w:firstLine="840"/>
              <w:jc w:val="center"/>
              <w:rPr>
                <w:szCs w:val="21"/>
              </w:rPr>
            </w:pPr>
            <w:r>
              <w:rPr>
                <w:i/>
                <w:iCs/>
                <w:kern w:val="0"/>
                <w:szCs w:val="21"/>
              </w:rPr>
              <w:t>χ</w:t>
            </w:r>
            <w:r>
              <w:rPr>
                <w:kern w:val="0"/>
                <w:szCs w:val="21"/>
              </w:rPr>
              <w:t>2</w:t>
            </w:r>
            <w:r>
              <w:rPr>
                <w:kern w:val="0"/>
                <w:szCs w:val="21"/>
              </w:rPr>
              <w:t>值</w:t>
            </w:r>
          </w:p>
        </w:tc>
        <w:tc>
          <w:tcPr>
            <w:tcW w:w="1701" w:type="dxa"/>
          </w:tcPr>
          <w:p w:rsidR="0042219B" w:rsidRDefault="00EF6A94">
            <w:pPr>
              <w:spacing w:line="400" w:lineRule="exact"/>
              <w:jc w:val="center"/>
              <w:rPr>
                <w:kern w:val="0"/>
                <w:szCs w:val="21"/>
              </w:rPr>
            </w:pPr>
            <w:r>
              <w:rPr>
                <w:rFonts w:hint="eastAsia"/>
                <w:kern w:val="0"/>
                <w:szCs w:val="21"/>
              </w:rPr>
              <w:t>0.386</w:t>
            </w:r>
          </w:p>
        </w:tc>
        <w:tc>
          <w:tcPr>
            <w:tcW w:w="1559" w:type="dxa"/>
          </w:tcPr>
          <w:p w:rsidR="0042219B" w:rsidRDefault="00EF6A94">
            <w:pPr>
              <w:spacing w:line="400" w:lineRule="exact"/>
              <w:jc w:val="center"/>
              <w:rPr>
                <w:kern w:val="0"/>
                <w:szCs w:val="21"/>
              </w:rPr>
            </w:pPr>
            <w:r>
              <w:rPr>
                <w:rFonts w:hint="eastAsia"/>
                <w:kern w:val="0"/>
                <w:szCs w:val="21"/>
              </w:rPr>
              <w:t>2.024</w:t>
            </w:r>
          </w:p>
        </w:tc>
        <w:tc>
          <w:tcPr>
            <w:tcW w:w="1701" w:type="dxa"/>
          </w:tcPr>
          <w:p w:rsidR="0042219B" w:rsidRDefault="00EF6A94">
            <w:pPr>
              <w:spacing w:line="400" w:lineRule="exact"/>
              <w:jc w:val="center"/>
              <w:rPr>
                <w:kern w:val="0"/>
                <w:szCs w:val="21"/>
              </w:rPr>
            </w:pPr>
            <w:r>
              <w:rPr>
                <w:rFonts w:hint="eastAsia"/>
                <w:kern w:val="0"/>
                <w:szCs w:val="21"/>
              </w:rPr>
              <w:t>0.797</w:t>
            </w:r>
          </w:p>
        </w:tc>
        <w:tc>
          <w:tcPr>
            <w:tcW w:w="1418" w:type="dxa"/>
          </w:tcPr>
          <w:p w:rsidR="0042219B" w:rsidRDefault="00EF6A94">
            <w:pPr>
              <w:spacing w:line="400" w:lineRule="exact"/>
              <w:jc w:val="center"/>
              <w:rPr>
                <w:kern w:val="0"/>
                <w:szCs w:val="21"/>
              </w:rPr>
            </w:pPr>
            <w:r>
              <w:rPr>
                <w:rFonts w:hint="eastAsia"/>
                <w:kern w:val="0"/>
                <w:szCs w:val="21"/>
              </w:rPr>
              <w:t>1.127</w:t>
            </w:r>
          </w:p>
        </w:tc>
        <w:tc>
          <w:tcPr>
            <w:tcW w:w="2268" w:type="dxa"/>
          </w:tcPr>
          <w:p w:rsidR="0042219B" w:rsidRDefault="00EF6A94">
            <w:pPr>
              <w:spacing w:line="400" w:lineRule="exact"/>
              <w:jc w:val="center"/>
              <w:rPr>
                <w:kern w:val="0"/>
                <w:szCs w:val="21"/>
              </w:rPr>
            </w:pPr>
            <w:r>
              <w:rPr>
                <w:rFonts w:hint="eastAsia"/>
                <w:kern w:val="0"/>
                <w:szCs w:val="21"/>
              </w:rPr>
              <w:t>4.737</w:t>
            </w:r>
          </w:p>
        </w:tc>
      </w:tr>
      <w:tr w:rsidR="00DC36F2" w:rsidRPr="00DC36F2">
        <w:trPr>
          <w:trHeight w:val="45"/>
          <w:jc w:val="center"/>
        </w:trPr>
        <w:tc>
          <w:tcPr>
            <w:tcW w:w="2067" w:type="dxa"/>
            <w:gridSpan w:val="2"/>
          </w:tcPr>
          <w:p w:rsidR="0042219B" w:rsidRPr="00DC36F2" w:rsidRDefault="00EF6A94">
            <w:pPr>
              <w:spacing w:line="400" w:lineRule="exact"/>
              <w:ind w:firstLineChars="400" w:firstLine="840"/>
              <w:jc w:val="center"/>
              <w:rPr>
                <w:szCs w:val="21"/>
              </w:rPr>
            </w:pPr>
            <w:r w:rsidRPr="00DC36F2">
              <w:rPr>
                <w:i/>
                <w:kern w:val="0"/>
                <w:szCs w:val="21"/>
              </w:rPr>
              <w:t>P</w:t>
            </w:r>
            <w:r w:rsidRPr="00DC36F2">
              <w:rPr>
                <w:kern w:val="0"/>
                <w:szCs w:val="21"/>
              </w:rPr>
              <w:t>值</w:t>
            </w:r>
          </w:p>
        </w:tc>
        <w:tc>
          <w:tcPr>
            <w:tcW w:w="1701" w:type="dxa"/>
          </w:tcPr>
          <w:p w:rsidR="0042219B" w:rsidRPr="00DC36F2" w:rsidRDefault="003B626F">
            <w:pPr>
              <w:spacing w:line="400" w:lineRule="exact"/>
              <w:jc w:val="center"/>
              <w:rPr>
                <w:kern w:val="0"/>
                <w:szCs w:val="21"/>
              </w:rPr>
            </w:pPr>
            <w:r w:rsidRPr="00DC36F2">
              <w:rPr>
                <w:kern w:val="0"/>
                <w:szCs w:val="21"/>
              </w:rPr>
              <w:t>0.534</w:t>
            </w:r>
          </w:p>
        </w:tc>
        <w:tc>
          <w:tcPr>
            <w:tcW w:w="1559" w:type="dxa"/>
          </w:tcPr>
          <w:p w:rsidR="0042219B" w:rsidRPr="00DC36F2" w:rsidRDefault="003B626F">
            <w:pPr>
              <w:spacing w:line="400" w:lineRule="exact"/>
              <w:jc w:val="center"/>
              <w:rPr>
                <w:kern w:val="0"/>
                <w:szCs w:val="21"/>
              </w:rPr>
            </w:pPr>
            <w:r w:rsidRPr="00DC36F2">
              <w:rPr>
                <w:kern w:val="0"/>
                <w:szCs w:val="21"/>
              </w:rPr>
              <w:t>0.155</w:t>
            </w:r>
          </w:p>
        </w:tc>
        <w:tc>
          <w:tcPr>
            <w:tcW w:w="1701" w:type="dxa"/>
          </w:tcPr>
          <w:p w:rsidR="0042219B" w:rsidRPr="00DC36F2" w:rsidRDefault="003B626F">
            <w:pPr>
              <w:spacing w:line="400" w:lineRule="exact"/>
              <w:jc w:val="center"/>
              <w:rPr>
                <w:kern w:val="0"/>
                <w:szCs w:val="21"/>
              </w:rPr>
            </w:pPr>
            <w:r w:rsidRPr="00DC36F2">
              <w:rPr>
                <w:kern w:val="0"/>
                <w:szCs w:val="21"/>
              </w:rPr>
              <w:t>0.372</w:t>
            </w:r>
          </w:p>
        </w:tc>
        <w:tc>
          <w:tcPr>
            <w:tcW w:w="1418" w:type="dxa"/>
          </w:tcPr>
          <w:p w:rsidR="0042219B" w:rsidRPr="00DC36F2" w:rsidRDefault="003B626F">
            <w:pPr>
              <w:spacing w:line="400" w:lineRule="exact"/>
              <w:jc w:val="center"/>
              <w:rPr>
                <w:kern w:val="0"/>
                <w:szCs w:val="21"/>
              </w:rPr>
            </w:pPr>
            <w:r w:rsidRPr="00DC36F2">
              <w:rPr>
                <w:kern w:val="0"/>
                <w:szCs w:val="21"/>
              </w:rPr>
              <w:t>0.288</w:t>
            </w:r>
          </w:p>
        </w:tc>
        <w:tc>
          <w:tcPr>
            <w:tcW w:w="2268" w:type="dxa"/>
          </w:tcPr>
          <w:p w:rsidR="0042219B" w:rsidRPr="00DC36F2" w:rsidRDefault="003B626F">
            <w:pPr>
              <w:spacing w:line="400" w:lineRule="exact"/>
              <w:jc w:val="center"/>
              <w:rPr>
                <w:kern w:val="0"/>
                <w:szCs w:val="21"/>
              </w:rPr>
            </w:pPr>
            <w:r w:rsidRPr="00DC36F2">
              <w:rPr>
                <w:kern w:val="0"/>
                <w:szCs w:val="21"/>
              </w:rPr>
              <w:t>0.030</w:t>
            </w:r>
          </w:p>
        </w:tc>
      </w:tr>
    </w:tbl>
    <w:p w:rsidR="0042219B" w:rsidRPr="00DC36F2" w:rsidRDefault="00EF6A94">
      <w:pPr>
        <w:spacing w:line="400" w:lineRule="exact"/>
        <w:jc w:val="left"/>
        <w:rPr>
          <w:b/>
          <w:szCs w:val="21"/>
        </w:rPr>
      </w:pPr>
      <w:r w:rsidRPr="00DC36F2">
        <w:rPr>
          <w:b/>
          <w:szCs w:val="21"/>
        </w:rPr>
        <w:t xml:space="preserve">3. </w:t>
      </w:r>
      <w:r w:rsidRPr="00DC36F2">
        <w:rPr>
          <w:b/>
          <w:szCs w:val="21"/>
        </w:rPr>
        <w:t>讨论</w:t>
      </w:r>
    </w:p>
    <w:p w:rsidR="0042219B" w:rsidRDefault="00EF6A94">
      <w:pPr>
        <w:spacing w:line="400" w:lineRule="exact"/>
        <w:ind w:firstLineChars="200" w:firstLine="420"/>
        <w:rPr>
          <w:color w:val="333333"/>
          <w:szCs w:val="21"/>
        </w:rPr>
      </w:pPr>
      <w:r>
        <w:rPr>
          <w:rFonts w:hint="eastAsia"/>
          <w:color w:val="333333"/>
          <w:szCs w:val="21"/>
        </w:rPr>
        <w:t>抗肿瘤靶</w:t>
      </w:r>
      <w:proofErr w:type="gramStart"/>
      <w:r>
        <w:rPr>
          <w:rFonts w:hint="eastAsia"/>
          <w:color w:val="333333"/>
          <w:szCs w:val="21"/>
        </w:rPr>
        <w:t>向治疗</w:t>
      </w:r>
      <w:proofErr w:type="gramEnd"/>
      <w:r>
        <w:rPr>
          <w:rFonts w:hint="eastAsia"/>
          <w:color w:val="333333"/>
          <w:szCs w:val="21"/>
        </w:rPr>
        <w:t>往往是以肿瘤细胞过度表达的部分标志性分子为作用靶点，通过针对性阻断类药物的选择和干预，而使肿瘤的生长、进展及转移得到有效抑制。已有研究证实，在一般常规化疗前行靶</w:t>
      </w:r>
      <w:proofErr w:type="gramStart"/>
      <w:r>
        <w:rPr>
          <w:rFonts w:hint="eastAsia"/>
          <w:color w:val="333333"/>
          <w:szCs w:val="21"/>
        </w:rPr>
        <w:t>向药物</w:t>
      </w:r>
      <w:proofErr w:type="gramEnd"/>
      <w:r>
        <w:rPr>
          <w:rFonts w:hint="eastAsia"/>
          <w:color w:val="333333"/>
          <w:szCs w:val="21"/>
        </w:rPr>
        <w:t>治疗能够大幅提高恶性淋巴瘤的临床缓解率和远期生存率</w:t>
      </w:r>
      <w:r>
        <w:rPr>
          <w:szCs w:val="21"/>
          <w:vertAlign w:val="superscript"/>
        </w:rPr>
        <w:t>[</w:t>
      </w:r>
      <w:r>
        <w:rPr>
          <w:rFonts w:hint="eastAsia"/>
          <w:szCs w:val="21"/>
          <w:vertAlign w:val="superscript"/>
        </w:rPr>
        <w:t>5</w:t>
      </w:r>
      <w:r>
        <w:rPr>
          <w:szCs w:val="21"/>
          <w:vertAlign w:val="superscript"/>
        </w:rPr>
        <w:t>]</w:t>
      </w:r>
      <w:r>
        <w:rPr>
          <w:rFonts w:hint="eastAsia"/>
          <w:color w:val="333333"/>
          <w:szCs w:val="21"/>
        </w:rPr>
        <w:t>。</w:t>
      </w:r>
      <w:proofErr w:type="gramStart"/>
      <w:r>
        <w:rPr>
          <w:rFonts w:hint="eastAsia"/>
          <w:color w:val="333333"/>
          <w:szCs w:val="21"/>
        </w:rPr>
        <w:t>利妥昔单抗作为</w:t>
      </w:r>
      <w:proofErr w:type="gramEnd"/>
      <w:r>
        <w:rPr>
          <w:rFonts w:hint="eastAsia"/>
          <w:color w:val="333333"/>
          <w:szCs w:val="21"/>
        </w:rPr>
        <w:t>人源化</w:t>
      </w:r>
      <w:r>
        <w:rPr>
          <w:rFonts w:hint="eastAsia"/>
          <w:color w:val="333333"/>
          <w:szCs w:val="21"/>
        </w:rPr>
        <w:t>CD</w:t>
      </w:r>
      <w:r>
        <w:rPr>
          <w:color w:val="333333"/>
          <w:szCs w:val="21"/>
          <w:vertAlign w:val="subscript"/>
        </w:rPr>
        <w:t>20</w:t>
      </w:r>
      <w:r>
        <w:rPr>
          <w:rFonts w:hint="eastAsia"/>
          <w:color w:val="333333"/>
          <w:szCs w:val="21"/>
        </w:rPr>
        <w:t>单克隆抗体，是临床上第一个被批准用于治疗表达</w:t>
      </w:r>
      <w:r>
        <w:rPr>
          <w:rFonts w:hint="eastAsia"/>
          <w:color w:val="333333"/>
          <w:szCs w:val="21"/>
        </w:rPr>
        <w:t>CD</w:t>
      </w:r>
      <w:r>
        <w:rPr>
          <w:color w:val="333333"/>
          <w:szCs w:val="21"/>
          <w:vertAlign w:val="subscript"/>
        </w:rPr>
        <w:t>20</w:t>
      </w:r>
      <w:r>
        <w:rPr>
          <w:rFonts w:hint="eastAsia"/>
          <w:color w:val="333333"/>
          <w:szCs w:val="21"/>
        </w:rPr>
        <w:t>恶性淋巴瘤的单克隆抗体，也是目前临床上应用最为广泛的恶性淋巴瘤靶</w:t>
      </w:r>
      <w:proofErr w:type="gramStart"/>
      <w:r>
        <w:rPr>
          <w:rFonts w:hint="eastAsia"/>
          <w:color w:val="333333"/>
          <w:szCs w:val="21"/>
        </w:rPr>
        <w:t>向治疗</w:t>
      </w:r>
      <w:proofErr w:type="gramEnd"/>
      <w:r>
        <w:rPr>
          <w:rFonts w:hint="eastAsia"/>
          <w:color w:val="333333"/>
          <w:szCs w:val="21"/>
        </w:rPr>
        <w:t>药物</w:t>
      </w:r>
      <w:r>
        <w:rPr>
          <w:szCs w:val="21"/>
          <w:vertAlign w:val="superscript"/>
        </w:rPr>
        <w:t>[</w:t>
      </w:r>
      <w:r>
        <w:rPr>
          <w:rFonts w:hint="eastAsia"/>
          <w:szCs w:val="21"/>
          <w:vertAlign w:val="superscript"/>
        </w:rPr>
        <w:t>6</w:t>
      </w:r>
      <w:r>
        <w:rPr>
          <w:szCs w:val="21"/>
          <w:vertAlign w:val="superscript"/>
        </w:rPr>
        <w:t>]</w:t>
      </w:r>
      <w:r>
        <w:rPr>
          <w:rFonts w:hint="eastAsia"/>
          <w:color w:val="333333"/>
          <w:szCs w:val="21"/>
        </w:rPr>
        <w:t>。临床研究显示，抗体及补体依赖性的细胞杀伤作用，诱导肿瘤细胞凋亡及化疗增敏作用是其主要的抗肿瘤作用机制</w:t>
      </w:r>
      <w:r>
        <w:rPr>
          <w:szCs w:val="21"/>
          <w:vertAlign w:val="superscript"/>
        </w:rPr>
        <w:t>[</w:t>
      </w:r>
      <w:r>
        <w:rPr>
          <w:rFonts w:hint="eastAsia"/>
          <w:szCs w:val="21"/>
          <w:vertAlign w:val="superscript"/>
        </w:rPr>
        <w:t>7</w:t>
      </w:r>
      <w:r>
        <w:rPr>
          <w:szCs w:val="21"/>
          <w:vertAlign w:val="superscript"/>
        </w:rPr>
        <w:t>]</w:t>
      </w:r>
      <w:r>
        <w:rPr>
          <w:rFonts w:hint="eastAsia"/>
          <w:color w:val="333333"/>
          <w:szCs w:val="21"/>
        </w:rPr>
        <w:t>。以往</w:t>
      </w:r>
      <w:proofErr w:type="gramStart"/>
      <w:r>
        <w:rPr>
          <w:rFonts w:hint="eastAsia"/>
          <w:color w:val="333333"/>
          <w:szCs w:val="21"/>
        </w:rPr>
        <w:t>利妥昔单抗靶向治疗</w:t>
      </w:r>
      <w:proofErr w:type="gramEnd"/>
      <w:r>
        <w:rPr>
          <w:rFonts w:hint="eastAsia"/>
          <w:color w:val="333333"/>
          <w:szCs w:val="21"/>
        </w:rPr>
        <w:t>的护理干预大多以被动性的执行医嘱为主，各项护理流程和不良反应的处理方法均未得到明确的细化，从而造成首次滴注成功率不高，</w:t>
      </w:r>
      <w:r>
        <w:rPr>
          <w:rFonts w:hint="eastAsia"/>
          <w:kern w:val="0"/>
          <w:szCs w:val="21"/>
        </w:rPr>
        <w:t>滴注期间不良反应多，甚至无法完成既定治疗方案等诸多问题</w:t>
      </w:r>
      <w:r>
        <w:rPr>
          <w:rFonts w:hint="eastAsia"/>
          <w:color w:val="333333"/>
          <w:szCs w:val="21"/>
        </w:rPr>
        <w:t>。因此，在</w:t>
      </w:r>
      <w:proofErr w:type="gramStart"/>
      <w:r>
        <w:rPr>
          <w:rFonts w:hint="eastAsia"/>
          <w:color w:val="333333"/>
          <w:szCs w:val="21"/>
        </w:rPr>
        <w:t>利妥昔单</w:t>
      </w:r>
      <w:proofErr w:type="gramEnd"/>
      <w:r>
        <w:rPr>
          <w:rFonts w:hint="eastAsia"/>
          <w:color w:val="333333"/>
          <w:szCs w:val="21"/>
        </w:rPr>
        <w:t>抗滴注过程中予以严密的护理干预对于保证药物治疗效果至关重要。</w:t>
      </w:r>
    </w:p>
    <w:p w:rsidR="0042219B" w:rsidRDefault="00EF6A94">
      <w:pPr>
        <w:spacing w:line="400" w:lineRule="exact"/>
        <w:ind w:firstLineChars="200" w:firstLine="420"/>
        <w:rPr>
          <w:szCs w:val="21"/>
        </w:rPr>
      </w:pPr>
      <w:r>
        <w:rPr>
          <w:rFonts w:hint="eastAsia"/>
          <w:color w:val="333333"/>
          <w:szCs w:val="21"/>
        </w:rPr>
        <w:t>流程化护理主要是针对恶性淋巴瘤的治疗制定细致的流程</w:t>
      </w:r>
      <w:proofErr w:type="gramStart"/>
      <w:r>
        <w:rPr>
          <w:rFonts w:hint="eastAsia"/>
          <w:color w:val="333333"/>
          <w:szCs w:val="21"/>
        </w:rPr>
        <w:t>化行动</w:t>
      </w:r>
      <w:proofErr w:type="gramEnd"/>
      <w:r>
        <w:rPr>
          <w:rFonts w:hint="eastAsia"/>
          <w:color w:val="333333"/>
          <w:szCs w:val="21"/>
        </w:rPr>
        <w:t>方案，指导护理人员顺</w:t>
      </w:r>
      <w:r>
        <w:rPr>
          <w:rFonts w:hint="eastAsia"/>
          <w:color w:val="333333"/>
          <w:szCs w:val="21"/>
        </w:rPr>
        <w:lastRenderedPageBreak/>
        <w:t>利完成各项既定的护理目标，有效防止被动和盲目的护理操作，通过不同途径和方法强化心理护理干预，使焦虑、抑郁等负性情绪得以缓解，</w:t>
      </w:r>
      <w:proofErr w:type="gramStart"/>
      <w:r>
        <w:rPr>
          <w:rFonts w:hint="eastAsia"/>
          <w:color w:val="333333"/>
          <w:szCs w:val="21"/>
        </w:rPr>
        <w:t>使配合</w:t>
      </w:r>
      <w:proofErr w:type="gramEnd"/>
      <w:r>
        <w:rPr>
          <w:rFonts w:hint="eastAsia"/>
          <w:color w:val="333333"/>
          <w:szCs w:val="21"/>
        </w:rPr>
        <w:t>治疗的依从性大幅提高，认真做好药物相关不良反应的评估、观察及监测，使其对不良反应的预见性得到进一步的提升，</w:t>
      </w:r>
      <w:r>
        <w:rPr>
          <w:rFonts w:hint="eastAsia"/>
          <w:szCs w:val="21"/>
        </w:rPr>
        <w:t>从而及时予以针对性的干预措施而最大限度降低不良反应。</w:t>
      </w:r>
      <w:r>
        <w:rPr>
          <w:rFonts w:hAnsi="宋体"/>
          <w:szCs w:val="21"/>
        </w:rPr>
        <w:t>本研究对采用</w:t>
      </w:r>
      <w:r>
        <w:rPr>
          <w:rFonts w:hAnsi="宋体" w:hint="eastAsia"/>
          <w:szCs w:val="21"/>
        </w:rPr>
        <w:t>流程化护理的</w:t>
      </w:r>
      <w:r>
        <w:rPr>
          <w:rFonts w:hint="eastAsia"/>
          <w:szCs w:val="21"/>
        </w:rPr>
        <w:t>恶淋巴</w:t>
      </w:r>
      <w:proofErr w:type="gramStart"/>
      <w:r>
        <w:rPr>
          <w:rFonts w:hint="eastAsia"/>
          <w:szCs w:val="21"/>
        </w:rPr>
        <w:t>瘤利妥昔单抗靶向治疗</w:t>
      </w:r>
      <w:proofErr w:type="gramEnd"/>
      <w:r>
        <w:rPr>
          <w:szCs w:val="21"/>
        </w:rPr>
        <w:t>患者</w:t>
      </w:r>
      <w:r>
        <w:rPr>
          <w:rFonts w:hint="eastAsia"/>
          <w:kern w:val="0"/>
          <w:szCs w:val="21"/>
        </w:rPr>
        <w:t>临床治疗情况</w:t>
      </w:r>
      <w:r>
        <w:rPr>
          <w:kern w:val="0"/>
          <w:szCs w:val="21"/>
        </w:rPr>
        <w:t>的</w:t>
      </w:r>
      <w:r>
        <w:rPr>
          <w:rFonts w:hAnsi="宋体"/>
          <w:szCs w:val="21"/>
        </w:rPr>
        <w:t>观察后发现，该组患者</w:t>
      </w:r>
      <w:r>
        <w:rPr>
          <w:rFonts w:hint="eastAsia"/>
          <w:kern w:val="0"/>
          <w:szCs w:val="21"/>
        </w:rPr>
        <w:t>首次靶</w:t>
      </w:r>
      <w:proofErr w:type="gramStart"/>
      <w:r>
        <w:rPr>
          <w:rFonts w:hint="eastAsia"/>
          <w:kern w:val="0"/>
          <w:szCs w:val="21"/>
        </w:rPr>
        <w:t>向治疗</w:t>
      </w:r>
      <w:proofErr w:type="gramEnd"/>
      <w:r>
        <w:rPr>
          <w:rFonts w:hint="eastAsia"/>
          <w:kern w:val="0"/>
          <w:szCs w:val="21"/>
        </w:rPr>
        <w:t>滴注成功，既定治疗方案顺利完成的比率均</w:t>
      </w:r>
      <w:r>
        <w:rPr>
          <w:kern w:val="0"/>
          <w:szCs w:val="21"/>
        </w:rPr>
        <w:t>明显提高，而</w:t>
      </w:r>
      <w:r>
        <w:rPr>
          <w:rFonts w:hint="eastAsia"/>
          <w:kern w:val="0"/>
          <w:szCs w:val="21"/>
        </w:rPr>
        <w:t>滴注期间不良反应发生的比</w:t>
      </w:r>
      <w:r>
        <w:rPr>
          <w:kern w:val="0"/>
          <w:szCs w:val="21"/>
        </w:rPr>
        <w:t>率则</w:t>
      </w:r>
      <w:r>
        <w:rPr>
          <w:szCs w:val="21"/>
        </w:rPr>
        <w:t>明显降低，</w:t>
      </w:r>
      <w:r>
        <w:rPr>
          <w:rFonts w:hAnsi="宋体"/>
          <w:szCs w:val="21"/>
        </w:rPr>
        <w:t>这与</w:t>
      </w:r>
      <w:r>
        <w:rPr>
          <w:rFonts w:hint="eastAsia"/>
          <w:szCs w:val="21"/>
        </w:rPr>
        <w:t>陈素红等</w:t>
      </w:r>
      <w:r>
        <w:rPr>
          <w:rFonts w:hAnsi="宋体"/>
          <w:szCs w:val="21"/>
        </w:rPr>
        <w:t>的研究报道相一致</w:t>
      </w:r>
      <w:r>
        <w:rPr>
          <w:szCs w:val="21"/>
          <w:vertAlign w:val="superscript"/>
        </w:rPr>
        <w:t>[</w:t>
      </w:r>
      <w:r>
        <w:rPr>
          <w:rFonts w:hint="eastAsia"/>
          <w:szCs w:val="21"/>
          <w:vertAlign w:val="superscript"/>
        </w:rPr>
        <w:t>8</w:t>
      </w:r>
      <w:r>
        <w:rPr>
          <w:szCs w:val="21"/>
          <w:vertAlign w:val="superscript"/>
        </w:rPr>
        <w:t>]</w:t>
      </w:r>
      <w:r>
        <w:rPr>
          <w:rFonts w:hAnsi="宋体"/>
          <w:szCs w:val="21"/>
        </w:rPr>
        <w:t>，表明经</w:t>
      </w:r>
      <w:r>
        <w:rPr>
          <w:rFonts w:hAnsi="宋体" w:hint="eastAsia"/>
          <w:szCs w:val="21"/>
        </w:rPr>
        <w:t>流程化护理干预方案有效保证了</w:t>
      </w:r>
      <w:r>
        <w:rPr>
          <w:rFonts w:hint="eastAsia"/>
          <w:szCs w:val="21"/>
        </w:rPr>
        <w:t>恶淋巴瘤患者</w:t>
      </w:r>
      <w:proofErr w:type="gramStart"/>
      <w:r>
        <w:rPr>
          <w:rFonts w:hint="eastAsia"/>
          <w:szCs w:val="21"/>
        </w:rPr>
        <w:t>利妥昔单抗靶向治疗</w:t>
      </w:r>
      <w:proofErr w:type="gramEnd"/>
      <w:r>
        <w:rPr>
          <w:rFonts w:hint="eastAsia"/>
          <w:szCs w:val="21"/>
        </w:rPr>
        <w:t>的顺利开展，最大限度的降低了治疗过程中的药物不良反应，并推动了既定治疗方案的执行。</w:t>
      </w:r>
      <w:r>
        <w:rPr>
          <w:rFonts w:hAnsi="宋体"/>
          <w:szCs w:val="21"/>
        </w:rPr>
        <w:t>本研究中对给予</w:t>
      </w:r>
      <w:r>
        <w:rPr>
          <w:rFonts w:hAnsi="宋体" w:hint="eastAsia"/>
          <w:szCs w:val="21"/>
        </w:rPr>
        <w:t>流程化护理的</w:t>
      </w:r>
      <w:r>
        <w:rPr>
          <w:rFonts w:hint="eastAsia"/>
          <w:szCs w:val="21"/>
        </w:rPr>
        <w:t>恶淋巴</w:t>
      </w:r>
      <w:proofErr w:type="gramStart"/>
      <w:r>
        <w:rPr>
          <w:rFonts w:hint="eastAsia"/>
          <w:szCs w:val="21"/>
        </w:rPr>
        <w:t>瘤利妥昔单抗靶向治疗</w:t>
      </w:r>
      <w:proofErr w:type="gramEnd"/>
      <w:r>
        <w:rPr>
          <w:szCs w:val="21"/>
        </w:rPr>
        <w:t>患者</w:t>
      </w:r>
      <w:r>
        <w:rPr>
          <w:rFonts w:hint="eastAsia"/>
          <w:szCs w:val="21"/>
        </w:rPr>
        <w:t>负性情绪变化情况</w:t>
      </w:r>
      <w:r>
        <w:rPr>
          <w:rFonts w:hAnsi="宋体"/>
          <w:szCs w:val="21"/>
        </w:rPr>
        <w:t>的统计后发现，该组患者</w:t>
      </w:r>
      <w:r>
        <w:rPr>
          <w:rFonts w:hint="eastAsia"/>
          <w:szCs w:val="21"/>
        </w:rPr>
        <w:t>治疗后的</w:t>
      </w:r>
      <w:r>
        <w:rPr>
          <w:szCs w:val="21"/>
        </w:rPr>
        <w:t>SAS</w:t>
      </w:r>
      <w:r>
        <w:rPr>
          <w:rFonts w:hint="eastAsia"/>
          <w:szCs w:val="21"/>
        </w:rPr>
        <w:t>评分值和</w:t>
      </w:r>
      <w:r>
        <w:rPr>
          <w:szCs w:val="21"/>
        </w:rPr>
        <w:t>SDS</w:t>
      </w:r>
      <w:r>
        <w:rPr>
          <w:rFonts w:hint="eastAsia"/>
          <w:szCs w:val="21"/>
        </w:rPr>
        <w:t>评分值均明显降低，</w:t>
      </w:r>
      <w:r>
        <w:rPr>
          <w:rFonts w:hAnsi="宋体"/>
          <w:szCs w:val="21"/>
        </w:rPr>
        <w:t>这与</w:t>
      </w:r>
      <w:r>
        <w:rPr>
          <w:rFonts w:hint="eastAsia"/>
          <w:szCs w:val="21"/>
        </w:rPr>
        <w:t>王秀花等</w:t>
      </w:r>
      <w:r>
        <w:rPr>
          <w:rFonts w:hAnsi="宋体"/>
          <w:szCs w:val="21"/>
        </w:rPr>
        <w:t>的文献报道相符合</w:t>
      </w:r>
      <w:r>
        <w:rPr>
          <w:szCs w:val="21"/>
          <w:vertAlign w:val="superscript"/>
        </w:rPr>
        <w:t>[</w:t>
      </w:r>
      <w:r>
        <w:rPr>
          <w:rFonts w:hint="eastAsia"/>
          <w:szCs w:val="21"/>
          <w:vertAlign w:val="superscript"/>
        </w:rPr>
        <w:t>9</w:t>
      </w:r>
      <w:r>
        <w:rPr>
          <w:szCs w:val="21"/>
          <w:vertAlign w:val="superscript"/>
        </w:rPr>
        <w:t>]</w:t>
      </w:r>
      <w:r>
        <w:rPr>
          <w:rFonts w:hAnsi="宋体"/>
          <w:szCs w:val="21"/>
        </w:rPr>
        <w:t>，说明</w:t>
      </w:r>
      <w:r>
        <w:rPr>
          <w:rFonts w:hint="eastAsia"/>
          <w:szCs w:val="21"/>
        </w:rPr>
        <w:t>恶淋巴</w:t>
      </w:r>
      <w:proofErr w:type="gramStart"/>
      <w:r>
        <w:rPr>
          <w:rFonts w:hint="eastAsia"/>
          <w:szCs w:val="21"/>
        </w:rPr>
        <w:t>瘤利妥昔单抗靶向治疗</w:t>
      </w:r>
      <w:proofErr w:type="gramEnd"/>
      <w:r>
        <w:rPr>
          <w:szCs w:val="21"/>
        </w:rPr>
        <w:t>患者</w:t>
      </w:r>
      <w:r>
        <w:rPr>
          <w:rFonts w:hint="eastAsia"/>
          <w:szCs w:val="21"/>
        </w:rPr>
        <w:t>经</w:t>
      </w:r>
      <w:r>
        <w:rPr>
          <w:rFonts w:hAnsi="宋体" w:hint="eastAsia"/>
          <w:szCs w:val="21"/>
        </w:rPr>
        <w:t>流程化护理干预后的焦虑和抑郁情绪得以消除，心理状况全面改善，便于患者以更加积极的心态配合治疗。</w:t>
      </w:r>
      <w:r>
        <w:rPr>
          <w:rFonts w:hAnsi="宋体"/>
          <w:szCs w:val="21"/>
        </w:rPr>
        <w:t>本研究对应用</w:t>
      </w:r>
      <w:r>
        <w:rPr>
          <w:rFonts w:hAnsi="宋体" w:hint="eastAsia"/>
          <w:szCs w:val="21"/>
        </w:rPr>
        <w:t>流程化护理的</w:t>
      </w:r>
      <w:r>
        <w:rPr>
          <w:rFonts w:hint="eastAsia"/>
          <w:szCs w:val="21"/>
        </w:rPr>
        <w:t>恶淋巴</w:t>
      </w:r>
      <w:proofErr w:type="gramStart"/>
      <w:r>
        <w:rPr>
          <w:rFonts w:hint="eastAsia"/>
          <w:szCs w:val="21"/>
        </w:rPr>
        <w:t>瘤利妥昔单抗靶向治疗</w:t>
      </w:r>
      <w:proofErr w:type="gramEnd"/>
      <w:r>
        <w:rPr>
          <w:szCs w:val="21"/>
        </w:rPr>
        <w:t>患者</w:t>
      </w:r>
      <w:r>
        <w:rPr>
          <w:rFonts w:hint="eastAsia"/>
          <w:kern w:val="0"/>
          <w:szCs w:val="21"/>
        </w:rPr>
        <w:t>不良反应情况的监测</w:t>
      </w:r>
      <w:r>
        <w:rPr>
          <w:rFonts w:hAnsi="宋体"/>
          <w:szCs w:val="21"/>
        </w:rPr>
        <w:t>后发现，该组患者</w:t>
      </w:r>
      <w:r>
        <w:rPr>
          <w:szCs w:val="21"/>
        </w:rPr>
        <w:t>治疗后</w:t>
      </w:r>
      <w:r>
        <w:rPr>
          <w:rFonts w:hint="eastAsia"/>
          <w:szCs w:val="21"/>
        </w:rPr>
        <w:t>恶心呕吐，皮疹瘙痒，寒战发热，血压下降等</w:t>
      </w:r>
      <w:r>
        <w:rPr>
          <w:rFonts w:hint="eastAsia"/>
          <w:kern w:val="0"/>
          <w:szCs w:val="21"/>
        </w:rPr>
        <w:t>不良反应</w:t>
      </w:r>
      <w:r>
        <w:rPr>
          <w:kern w:val="0"/>
          <w:szCs w:val="21"/>
        </w:rPr>
        <w:t>总</w:t>
      </w:r>
      <w:r>
        <w:rPr>
          <w:rFonts w:hint="eastAsia"/>
          <w:kern w:val="0"/>
          <w:szCs w:val="21"/>
        </w:rPr>
        <w:t>发生</w:t>
      </w:r>
      <w:r>
        <w:rPr>
          <w:kern w:val="0"/>
          <w:szCs w:val="21"/>
        </w:rPr>
        <w:t>率</w:t>
      </w:r>
      <w:r>
        <w:rPr>
          <w:szCs w:val="21"/>
        </w:rPr>
        <w:t>明显降低，</w:t>
      </w:r>
      <w:r>
        <w:rPr>
          <w:rFonts w:hAnsi="宋体"/>
          <w:szCs w:val="21"/>
        </w:rPr>
        <w:t>这与</w:t>
      </w:r>
      <w:r>
        <w:rPr>
          <w:rFonts w:hint="eastAsia"/>
          <w:szCs w:val="21"/>
        </w:rPr>
        <w:t>刘玉珊</w:t>
      </w:r>
      <w:r>
        <w:rPr>
          <w:rFonts w:hAnsi="宋体"/>
          <w:szCs w:val="21"/>
        </w:rPr>
        <w:t>等的研究报道相一致</w:t>
      </w:r>
      <w:r>
        <w:rPr>
          <w:szCs w:val="21"/>
          <w:vertAlign w:val="superscript"/>
        </w:rPr>
        <w:t>[</w:t>
      </w:r>
      <w:r>
        <w:rPr>
          <w:rFonts w:hint="eastAsia"/>
          <w:szCs w:val="21"/>
          <w:vertAlign w:val="superscript"/>
        </w:rPr>
        <w:t>10</w:t>
      </w:r>
      <w:r>
        <w:rPr>
          <w:szCs w:val="21"/>
          <w:vertAlign w:val="superscript"/>
        </w:rPr>
        <w:t>]</w:t>
      </w:r>
      <w:r>
        <w:rPr>
          <w:rFonts w:hAnsi="宋体"/>
          <w:szCs w:val="21"/>
        </w:rPr>
        <w:t>，可见经</w:t>
      </w:r>
      <w:r>
        <w:rPr>
          <w:rFonts w:hAnsi="宋体" w:hint="eastAsia"/>
          <w:szCs w:val="21"/>
        </w:rPr>
        <w:t>流程化护理干预方案在保障</w:t>
      </w:r>
      <w:r>
        <w:rPr>
          <w:rFonts w:hint="eastAsia"/>
          <w:szCs w:val="21"/>
        </w:rPr>
        <w:t>恶淋巴瘤患者</w:t>
      </w:r>
      <w:proofErr w:type="gramStart"/>
      <w:r>
        <w:rPr>
          <w:rFonts w:hint="eastAsia"/>
          <w:szCs w:val="21"/>
        </w:rPr>
        <w:t>利妥昔单抗靶向治疗</w:t>
      </w:r>
      <w:proofErr w:type="gramEnd"/>
      <w:r>
        <w:rPr>
          <w:rFonts w:hint="eastAsia"/>
          <w:szCs w:val="21"/>
        </w:rPr>
        <w:t>的同时，还不同程度的降低了药用治疗所产生的相关不良反应。</w:t>
      </w:r>
    </w:p>
    <w:p w:rsidR="0042219B" w:rsidRDefault="00EF6A94">
      <w:pPr>
        <w:spacing w:line="400" w:lineRule="exact"/>
        <w:ind w:firstLineChars="200" w:firstLine="420"/>
        <w:rPr>
          <w:szCs w:val="21"/>
        </w:rPr>
      </w:pPr>
      <w:r>
        <w:rPr>
          <w:kern w:val="0"/>
          <w:szCs w:val="21"/>
        </w:rPr>
        <w:t>综上所述，</w:t>
      </w:r>
      <w:r>
        <w:rPr>
          <w:rFonts w:hint="eastAsia"/>
          <w:szCs w:val="21"/>
        </w:rPr>
        <w:t>流程化护理对于保证恶淋巴</w:t>
      </w:r>
      <w:proofErr w:type="gramStart"/>
      <w:r>
        <w:rPr>
          <w:rFonts w:hint="eastAsia"/>
          <w:szCs w:val="21"/>
        </w:rPr>
        <w:t>瘤利妥昔单抗靶向治疗</w:t>
      </w:r>
      <w:proofErr w:type="gramEnd"/>
      <w:r>
        <w:rPr>
          <w:rFonts w:hint="eastAsia"/>
          <w:szCs w:val="21"/>
        </w:rPr>
        <w:t>的顺利进行，降低相关不良反应及改善心理状况</w:t>
      </w:r>
      <w:r>
        <w:rPr>
          <w:szCs w:val="21"/>
        </w:rPr>
        <w:t>均</w:t>
      </w:r>
      <w:r>
        <w:rPr>
          <w:rFonts w:hint="eastAsia"/>
          <w:szCs w:val="21"/>
        </w:rPr>
        <w:t>呈现出十分重要的辅助治疗价值</w:t>
      </w:r>
      <w:r>
        <w:rPr>
          <w:szCs w:val="21"/>
        </w:rPr>
        <w:t>。</w:t>
      </w:r>
    </w:p>
    <w:p w:rsidR="0042219B" w:rsidRDefault="00EF6A94">
      <w:pPr>
        <w:spacing w:line="400" w:lineRule="exact"/>
        <w:rPr>
          <w:rFonts w:ascii="仿宋_GB2312" w:eastAsia="仿宋_GB2312" w:hAnsi="仿宋_GB2312" w:cs="仿宋_GB2312"/>
          <w:b/>
          <w:szCs w:val="21"/>
        </w:rPr>
      </w:pPr>
      <w:r>
        <w:rPr>
          <w:rFonts w:ascii="仿宋_GB2312" w:eastAsia="仿宋_GB2312" w:hAnsi="仿宋_GB2312" w:cs="仿宋_GB2312" w:hint="eastAsia"/>
          <w:b/>
          <w:szCs w:val="21"/>
        </w:rPr>
        <w:t>参考文献：</w:t>
      </w:r>
    </w:p>
    <w:p w:rsidR="0042219B" w:rsidRDefault="00EF6A94">
      <w:pPr>
        <w:spacing w:line="400" w:lineRule="exact"/>
        <w:rPr>
          <w:rFonts w:ascii="仿宋_GB2312" w:eastAsia="仿宋_GB2312" w:hAnsi="仿宋_GB2312" w:cs="仿宋_GB2312"/>
          <w:szCs w:val="21"/>
        </w:rPr>
      </w:pPr>
      <w:r>
        <w:rPr>
          <w:rFonts w:ascii="仿宋_GB2312" w:eastAsia="仿宋_GB2312" w:hAnsi="仿宋_GB2312" w:cs="仿宋_GB2312" w:hint="eastAsia"/>
          <w:szCs w:val="21"/>
        </w:rPr>
        <w:t>[1] 陈旭晔. 个性化护理干预对恶性淋巴瘤患者化疗后生活质量改善的探讨[J]. 当代护士，2018，25（4）：80-82.</w:t>
      </w:r>
    </w:p>
    <w:p w:rsidR="0042219B" w:rsidRDefault="00EF6A94">
      <w:pPr>
        <w:spacing w:line="400" w:lineRule="exact"/>
        <w:rPr>
          <w:rFonts w:ascii="仿宋_GB2312" w:eastAsia="仿宋_GB2312" w:hAnsi="仿宋_GB2312" w:cs="仿宋_GB2312"/>
          <w:szCs w:val="21"/>
        </w:rPr>
      </w:pPr>
      <w:r>
        <w:rPr>
          <w:rFonts w:ascii="仿宋_GB2312" w:eastAsia="仿宋_GB2312" w:hAnsi="仿宋_GB2312" w:cs="仿宋_GB2312" w:hint="eastAsia"/>
          <w:szCs w:val="21"/>
        </w:rPr>
        <w:t xml:space="preserve">[2] 李荣，刘海燕，李鑫，等. </w:t>
      </w:r>
      <w:proofErr w:type="gramStart"/>
      <w:r>
        <w:rPr>
          <w:rFonts w:ascii="仿宋_GB2312" w:eastAsia="仿宋_GB2312" w:hAnsi="仿宋_GB2312" w:cs="仿宋_GB2312" w:hint="eastAsia"/>
        </w:rPr>
        <w:t>利妥昔单</w:t>
      </w:r>
      <w:proofErr w:type="gramEnd"/>
      <w:r>
        <w:rPr>
          <w:rFonts w:ascii="仿宋_GB2312" w:eastAsia="仿宋_GB2312" w:hAnsi="仿宋_GB2312" w:cs="仿宋_GB2312" w:hint="eastAsia"/>
        </w:rPr>
        <w:t>抗注射液联合CHOP化疗方案治疗恶性淋巴瘤的疗效及对TNF-α、PDGF-BB的影响</w:t>
      </w:r>
      <w:r>
        <w:rPr>
          <w:rFonts w:ascii="仿宋_GB2312" w:eastAsia="仿宋_GB2312" w:hAnsi="仿宋_GB2312" w:cs="仿宋_GB2312" w:hint="eastAsia"/>
          <w:szCs w:val="21"/>
        </w:rPr>
        <w:t>[J]. 临床和实验医学杂志，2018，17（24）：2620-2623.</w:t>
      </w:r>
    </w:p>
    <w:p w:rsidR="0042219B" w:rsidRDefault="00EF6A94">
      <w:pPr>
        <w:spacing w:line="400" w:lineRule="exact"/>
        <w:rPr>
          <w:rFonts w:ascii="仿宋_GB2312" w:eastAsia="仿宋_GB2312" w:hAnsi="仿宋_GB2312" w:cs="仿宋_GB2312"/>
          <w:szCs w:val="21"/>
        </w:rPr>
      </w:pPr>
      <w:r>
        <w:rPr>
          <w:rFonts w:ascii="仿宋_GB2312" w:eastAsia="仿宋_GB2312" w:hAnsi="仿宋_GB2312" w:cs="仿宋_GB2312" w:hint="eastAsia"/>
          <w:szCs w:val="21"/>
        </w:rPr>
        <w:t xml:space="preserve">[3] 黄旭霞，谢梦菲，张璋. </w:t>
      </w:r>
      <w:proofErr w:type="gramStart"/>
      <w:r>
        <w:rPr>
          <w:rFonts w:ascii="仿宋_GB2312" w:eastAsia="仿宋_GB2312" w:hAnsi="仿宋_GB2312" w:cs="仿宋_GB2312" w:hint="eastAsia"/>
          <w:szCs w:val="21"/>
        </w:rPr>
        <w:t>利妥昔单</w:t>
      </w:r>
      <w:proofErr w:type="gramEnd"/>
      <w:r>
        <w:rPr>
          <w:rFonts w:ascii="仿宋_GB2312" w:eastAsia="仿宋_GB2312" w:hAnsi="仿宋_GB2312" w:cs="仿宋_GB2312" w:hint="eastAsia"/>
          <w:szCs w:val="21"/>
        </w:rPr>
        <w:t>抗联合化疗治疗复发性高侵袭性淋巴瘤的护理[J]. 全科护理</w:t>
      </w:r>
      <w:r>
        <w:rPr>
          <w:rFonts w:ascii="仿宋_GB2312" w:eastAsia="仿宋_GB2312" w:hAnsi="仿宋_GB2312" w:cs="仿宋_GB2312" w:hint="eastAsia"/>
        </w:rPr>
        <w:t>，</w:t>
      </w:r>
      <w:r>
        <w:rPr>
          <w:rFonts w:ascii="仿宋_GB2312" w:eastAsia="仿宋_GB2312" w:hAnsi="仿宋_GB2312" w:cs="仿宋_GB2312" w:hint="eastAsia"/>
          <w:szCs w:val="21"/>
        </w:rPr>
        <w:t>2017</w:t>
      </w:r>
      <w:r>
        <w:rPr>
          <w:rFonts w:ascii="仿宋_GB2312" w:eastAsia="仿宋_GB2312" w:hAnsi="仿宋_GB2312" w:cs="仿宋_GB2312" w:hint="eastAsia"/>
        </w:rPr>
        <w:t>，</w:t>
      </w:r>
      <w:r>
        <w:rPr>
          <w:rFonts w:ascii="仿宋_GB2312" w:eastAsia="仿宋_GB2312" w:hAnsi="仿宋_GB2312" w:cs="仿宋_GB2312" w:hint="eastAsia"/>
          <w:szCs w:val="21"/>
        </w:rPr>
        <w:t>15（2）：211-213.</w:t>
      </w:r>
    </w:p>
    <w:p w:rsidR="0042219B" w:rsidRDefault="00EF6A94">
      <w:pPr>
        <w:spacing w:line="400" w:lineRule="exact"/>
        <w:rPr>
          <w:rFonts w:ascii="仿宋_GB2312" w:eastAsia="仿宋_GB2312" w:hAnsi="仿宋_GB2312" w:cs="仿宋_GB2312"/>
          <w:szCs w:val="21"/>
        </w:rPr>
      </w:pPr>
      <w:r>
        <w:rPr>
          <w:rFonts w:ascii="仿宋_GB2312" w:eastAsia="仿宋_GB2312" w:hAnsi="仿宋_GB2312" w:cs="仿宋_GB2312" w:hint="eastAsia"/>
          <w:szCs w:val="21"/>
        </w:rPr>
        <w:t xml:space="preserve">[4] </w:t>
      </w:r>
      <w:proofErr w:type="gramStart"/>
      <w:r>
        <w:rPr>
          <w:rFonts w:ascii="仿宋_GB2312" w:eastAsia="仿宋_GB2312" w:hAnsi="仿宋_GB2312" w:cs="仿宋_GB2312" w:hint="eastAsia"/>
          <w:szCs w:val="21"/>
        </w:rPr>
        <w:t>林桐榆</w:t>
      </w:r>
      <w:proofErr w:type="gramEnd"/>
      <w:r>
        <w:rPr>
          <w:rFonts w:ascii="仿宋_GB2312" w:eastAsia="仿宋_GB2312" w:hAnsi="仿宋_GB2312" w:cs="仿宋_GB2312" w:hint="eastAsia"/>
          <w:szCs w:val="21"/>
        </w:rPr>
        <w:t>，朱军，</w:t>
      </w:r>
      <w:proofErr w:type="gramStart"/>
      <w:r>
        <w:rPr>
          <w:rFonts w:ascii="仿宋_GB2312" w:eastAsia="仿宋_GB2312" w:hAnsi="仿宋_GB2312" w:cs="仿宋_GB2312" w:hint="eastAsia"/>
          <w:szCs w:val="21"/>
        </w:rPr>
        <w:t>高子芬</w:t>
      </w:r>
      <w:proofErr w:type="gramEnd"/>
      <w:r>
        <w:rPr>
          <w:rFonts w:ascii="仿宋_GB2312" w:eastAsia="仿宋_GB2312" w:hAnsi="仿宋_GB2312" w:cs="仿宋_GB2312" w:hint="eastAsia"/>
          <w:szCs w:val="21"/>
        </w:rPr>
        <w:t>. 恶性淋巴瘤诊断治疗学[J]. 北京：人民卫生出版社，2013.DOI：10.3969/j.issn.1671-8631.2001.04.001</w:t>
      </w:r>
    </w:p>
    <w:p w:rsidR="0042219B" w:rsidRDefault="00EF6A94">
      <w:pPr>
        <w:spacing w:line="400" w:lineRule="exact"/>
        <w:rPr>
          <w:rFonts w:ascii="仿宋_GB2312" w:eastAsia="仿宋_GB2312" w:hAnsi="仿宋_GB2312" w:cs="仿宋_GB2312"/>
          <w:szCs w:val="21"/>
        </w:rPr>
      </w:pPr>
      <w:r>
        <w:rPr>
          <w:rFonts w:ascii="仿宋_GB2312" w:eastAsia="仿宋_GB2312" w:hAnsi="仿宋_GB2312" w:cs="仿宋_GB2312" w:hint="eastAsia"/>
          <w:szCs w:val="21"/>
        </w:rPr>
        <w:t xml:space="preserve">[5] 张文军，龚奕，肖春燕，等. </w:t>
      </w:r>
      <w:proofErr w:type="gramStart"/>
      <w:r>
        <w:rPr>
          <w:rFonts w:ascii="仿宋_GB2312" w:eastAsia="仿宋_GB2312" w:hAnsi="仿宋_GB2312" w:cs="仿宋_GB2312" w:hint="eastAsia"/>
          <w:szCs w:val="21"/>
        </w:rPr>
        <w:t>利妥昔单</w:t>
      </w:r>
      <w:proofErr w:type="gramEnd"/>
      <w:r>
        <w:rPr>
          <w:rFonts w:ascii="仿宋_GB2312" w:eastAsia="仿宋_GB2312" w:hAnsi="仿宋_GB2312" w:cs="仿宋_GB2312" w:hint="eastAsia"/>
          <w:szCs w:val="21"/>
        </w:rPr>
        <w:t>抗注射液治疗复发难治性弥漫大B细胞淋巴瘤的临床研究[J]. 中国临床药理学杂志，2018，34（15）：1806-1809.</w:t>
      </w:r>
    </w:p>
    <w:p w:rsidR="0042219B" w:rsidRDefault="00EF6A94">
      <w:pPr>
        <w:spacing w:line="400" w:lineRule="exact"/>
        <w:rPr>
          <w:rFonts w:ascii="仿宋_GB2312" w:eastAsia="仿宋_GB2312" w:hAnsi="仿宋_GB2312" w:cs="仿宋_GB2312"/>
          <w:szCs w:val="21"/>
        </w:rPr>
      </w:pPr>
      <w:r>
        <w:rPr>
          <w:rFonts w:ascii="仿宋_GB2312" w:eastAsia="仿宋_GB2312" w:hAnsi="仿宋_GB2312" w:cs="仿宋_GB2312" w:hint="eastAsia"/>
          <w:szCs w:val="21"/>
        </w:rPr>
        <w:t xml:space="preserve">[6] 叶煌阳，吕晓君，张映红，等. </w:t>
      </w:r>
      <w:proofErr w:type="gramStart"/>
      <w:r>
        <w:rPr>
          <w:rFonts w:ascii="仿宋_GB2312" w:eastAsia="仿宋_GB2312" w:hAnsi="仿宋_GB2312" w:cs="仿宋_GB2312" w:hint="eastAsia"/>
          <w:szCs w:val="21"/>
        </w:rPr>
        <w:t>利妥昔单</w:t>
      </w:r>
      <w:proofErr w:type="gramEnd"/>
      <w:r>
        <w:rPr>
          <w:rFonts w:ascii="仿宋_GB2312" w:eastAsia="仿宋_GB2312" w:hAnsi="仿宋_GB2312" w:cs="仿宋_GB2312" w:hint="eastAsia"/>
          <w:szCs w:val="21"/>
        </w:rPr>
        <w:t>抗对恶性淋巴瘤患者血清hepcidin、sCD40L、PDGF-BB与LDH水平的影响[J].中国生化药物杂志，2015，35（9）：136-138.</w:t>
      </w:r>
    </w:p>
    <w:p w:rsidR="0042219B" w:rsidRDefault="00EF6A94">
      <w:pPr>
        <w:spacing w:line="400" w:lineRule="exact"/>
        <w:rPr>
          <w:rFonts w:ascii="仿宋_GB2312" w:eastAsia="仿宋_GB2312" w:hAnsi="仿宋_GB2312" w:cs="仿宋_GB2312"/>
          <w:szCs w:val="21"/>
        </w:rPr>
      </w:pPr>
      <w:r>
        <w:rPr>
          <w:rFonts w:ascii="仿宋_GB2312" w:eastAsia="仿宋_GB2312" w:hAnsi="仿宋_GB2312" w:cs="仿宋_GB2312" w:hint="eastAsia"/>
          <w:szCs w:val="21"/>
        </w:rPr>
        <w:t xml:space="preserve">[7] 木合拜尔·阿布都尔，阿孜古丽，刘虹，等. </w:t>
      </w:r>
      <w:proofErr w:type="gramStart"/>
      <w:r>
        <w:rPr>
          <w:rFonts w:ascii="仿宋_GB2312" w:eastAsia="仿宋_GB2312" w:hAnsi="仿宋_GB2312" w:cs="仿宋_GB2312" w:hint="eastAsia"/>
          <w:szCs w:val="21"/>
        </w:rPr>
        <w:t>利妥昔</w:t>
      </w:r>
      <w:proofErr w:type="gramEnd"/>
      <w:r>
        <w:rPr>
          <w:rFonts w:ascii="仿宋_GB2312" w:eastAsia="仿宋_GB2312" w:hAnsi="仿宋_GB2312" w:cs="仿宋_GB2312" w:hint="eastAsia"/>
          <w:szCs w:val="21"/>
        </w:rPr>
        <w:t>单克隆抗体联合GDP方案化疗治疗复发弥漫大B细胞淋巴瘤的疗效、预后和安全性分析[J]. 肿瘤药学，2018，8（6）：897-902.</w:t>
      </w:r>
    </w:p>
    <w:p w:rsidR="0042219B" w:rsidRDefault="00EF6A94">
      <w:pPr>
        <w:spacing w:line="400" w:lineRule="exact"/>
        <w:rPr>
          <w:rFonts w:ascii="仿宋_GB2312" w:eastAsia="仿宋_GB2312" w:hAnsi="仿宋_GB2312" w:cs="仿宋_GB2312"/>
          <w:szCs w:val="21"/>
        </w:rPr>
      </w:pPr>
      <w:r>
        <w:rPr>
          <w:rFonts w:ascii="仿宋_GB2312" w:eastAsia="仿宋_GB2312" w:hAnsi="仿宋_GB2312" w:cs="仿宋_GB2312" w:hint="eastAsia"/>
          <w:szCs w:val="21"/>
        </w:rPr>
        <w:lastRenderedPageBreak/>
        <w:t>[8] 陈素红，柯娜，刘杏仙，等. 流程化护理在恶性淋巴瘤靶</w:t>
      </w:r>
      <w:proofErr w:type="gramStart"/>
      <w:r>
        <w:rPr>
          <w:rFonts w:ascii="仿宋_GB2312" w:eastAsia="仿宋_GB2312" w:hAnsi="仿宋_GB2312" w:cs="仿宋_GB2312" w:hint="eastAsia"/>
          <w:szCs w:val="21"/>
        </w:rPr>
        <w:t>向治疗</w:t>
      </w:r>
      <w:proofErr w:type="gramEnd"/>
      <w:r>
        <w:rPr>
          <w:rFonts w:ascii="仿宋_GB2312" w:eastAsia="仿宋_GB2312" w:hAnsi="仿宋_GB2312" w:cs="仿宋_GB2312" w:hint="eastAsia"/>
          <w:szCs w:val="21"/>
        </w:rPr>
        <w:t>中的应用[J]. 齐鲁护理杂志，2016，22（13）：71-73.</w:t>
      </w:r>
    </w:p>
    <w:p w:rsidR="0042219B" w:rsidRDefault="00EF6A94">
      <w:pPr>
        <w:spacing w:line="400" w:lineRule="exact"/>
        <w:rPr>
          <w:rFonts w:ascii="仿宋_GB2312" w:eastAsia="仿宋_GB2312" w:hAnsi="仿宋_GB2312" w:cs="仿宋_GB2312"/>
          <w:szCs w:val="21"/>
        </w:rPr>
      </w:pPr>
      <w:r>
        <w:rPr>
          <w:rFonts w:ascii="仿宋_GB2312" w:eastAsia="仿宋_GB2312" w:hAnsi="仿宋_GB2312" w:cs="仿宋_GB2312" w:hint="eastAsia"/>
          <w:szCs w:val="21"/>
        </w:rPr>
        <w:t>[9] 王秀花，殷淑君. 流程化护理在恶性淋巴瘤靶</w:t>
      </w:r>
      <w:proofErr w:type="gramStart"/>
      <w:r>
        <w:rPr>
          <w:rFonts w:ascii="仿宋_GB2312" w:eastAsia="仿宋_GB2312" w:hAnsi="仿宋_GB2312" w:cs="仿宋_GB2312" w:hint="eastAsia"/>
          <w:szCs w:val="21"/>
        </w:rPr>
        <w:t>向治疗</w:t>
      </w:r>
      <w:proofErr w:type="gramEnd"/>
      <w:r>
        <w:rPr>
          <w:rFonts w:ascii="仿宋_GB2312" w:eastAsia="仿宋_GB2312" w:hAnsi="仿宋_GB2312" w:cs="仿宋_GB2312" w:hint="eastAsia"/>
          <w:szCs w:val="21"/>
        </w:rPr>
        <w:t>中的应用及效果[J]. 首都食品与医药，</w:t>
      </w:r>
      <w:r>
        <w:rPr>
          <w:rFonts w:ascii="仿宋_GB2312" w:eastAsia="仿宋_GB2312" w:hAnsi="仿宋_GB2312" w:cs="仿宋_GB2312"/>
          <w:szCs w:val="21"/>
        </w:rPr>
        <w:t>2018,25(15):95-96.</w:t>
      </w:r>
    </w:p>
    <w:p w:rsidR="0042219B" w:rsidRPr="00341D00" w:rsidRDefault="00EF6A94" w:rsidP="00341D00">
      <w:pPr>
        <w:spacing w:line="400" w:lineRule="exact"/>
        <w:rPr>
          <w:rFonts w:ascii="仿宋_GB2312" w:eastAsia="仿宋_GB2312" w:hAnsi="仿宋_GB2312" w:cs="仿宋_GB2312" w:hint="eastAsia"/>
          <w:szCs w:val="21"/>
        </w:rPr>
      </w:pPr>
      <w:r>
        <w:rPr>
          <w:rFonts w:ascii="仿宋_GB2312" w:eastAsia="仿宋_GB2312" w:hAnsi="仿宋_GB2312" w:cs="仿宋_GB2312" w:hint="eastAsia"/>
          <w:szCs w:val="21"/>
        </w:rPr>
        <w:t>[10] 刘玉珊，石思梅，孔秋焕，等. 快速滴注</w:t>
      </w:r>
      <w:proofErr w:type="gramStart"/>
      <w:r>
        <w:rPr>
          <w:rFonts w:ascii="仿宋_GB2312" w:eastAsia="仿宋_GB2312" w:hAnsi="仿宋_GB2312" w:cs="仿宋_GB2312" w:hint="eastAsia"/>
          <w:szCs w:val="21"/>
        </w:rPr>
        <w:t>利妥昔单</w:t>
      </w:r>
      <w:proofErr w:type="gramEnd"/>
      <w:r>
        <w:rPr>
          <w:rFonts w:ascii="仿宋_GB2312" w:eastAsia="仿宋_GB2312" w:hAnsi="仿宋_GB2312" w:cs="仿宋_GB2312" w:hint="eastAsia"/>
          <w:szCs w:val="21"/>
        </w:rPr>
        <w:t>抗治疗淋巴瘤患者202例的护理[J]. 护理学报，2016，23（21）：48-50.</w:t>
      </w:r>
      <w:bookmarkStart w:id="2" w:name="_GoBack"/>
      <w:bookmarkEnd w:id="2"/>
    </w:p>
    <w:sectPr w:rsidR="0042219B" w:rsidRPr="00341D00" w:rsidSect="0042219B">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3450" w:rsidRDefault="005E3450" w:rsidP="0042219B">
      <w:r>
        <w:separator/>
      </w:r>
    </w:p>
  </w:endnote>
  <w:endnote w:type="continuationSeparator" w:id="0">
    <w:p w:rsidR="005E3450" w:rsidRDefault="005E3450" w:rsidP="00422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219B" w:rsidRDefault="00EF6A94">
    <w:pPr>
      <w:widowControl/>
      <w:shd w:val="clear" w:color="auto" w:fill="F2F9F4"/>
      <w:wordWrap w:val="0"/>
      <w:spacing w:line="270" w:lineRule="atLeast"/>
      <w:jc w:val="left"/>
      <w:rPr>
        <w:rFonts w:ascii="Arial" w:hAnsi="Arial" w:cs="Arial"/>
        <w:color w:val="000000"/>
        <w:kern w:val="0"/>
        <w:sz w:val="18"/>
        <w:szCs w:val="18"/>
      </w:rPr>
    </w:pPr>
    <w:r>
      <w:rPr>
        <w:rFonts w:ascii="Arial" w:hAnsi="Arial" w:cs="Arial"/>
        <w:color w:val="000000"/>
        <w:kern w:val="0"/>
        <w:sz w:val="18"/>
        <w:szCs w:val="18"/>
      </w:rPr>
      <w:t>收稿日期：</w:t>
    </w:r>
    <w:r>
      <w:rPr>
        <w:rFonts w:ascii="Arial" w:hAnsi="Arial" w:cs="Arial"/>
        <w:color w:val="000000"/>
        <w:kern w:val="0"/>
        <w:sz w:val="18"/>
        <w:szCs w:val="18"/>
      </w:rPr>
      <w:t> </w:t>
    </w:r>
    <w:r>
      <w:rPr>
        <w:rFonts w:ascii="Arial" w:hAnsi="Arial" w:cs="Arial" w:hint="eastAsia"/>
        <w:color w:val="000000"/>
        <w:kern w:val="0"/>
        <w:sz w:val="18"/>
        <w:szCs w:val="18"/>
      </w:rPr>
      <w:t>2019</w:t>
    </w:r>
    <w:r>
      <w:rPr>
        <w:rFonts w:ascii="Arial" w:hAnsi="Arial" w:cs="Arial"/>
        <w:color w:val="000000"/>
        <w:kern w:val="0"/>
        <w:sz w:val="18"/>
        <w:szCs w:val="18"/>
      </w:rPr>
      <w:t>-</w:t>
    </w:r>
    <w:r>
      <w:rPr>
        <w:rFonts w:ascii="Arial" w:hAnsi="Arial" w:cs="Arial" w:hint="eastAsia"/>
        <w:color w:val="000000"/>
        <w:kern w:val="0"/>
        <w:sz w:val="18"/>
        <w:szCs w:val="18"/>
      </w:rPr>
      <w:t>5</w:t>
    </w:r>
    <w:r>
      <w:rPr>
        <w:rFonts w:ascii="Arial" w:hAnsi="Arial" w:cs="Arial"/>
        <w:color w:val="000000"/>
        <w:kern w:val="0"/>
        <w:sz w:val="18"/>
        <w:szCs w:val="18"/>
      </w:rPr>
      <w:t>-</w:t>
    </w:r>
    <w:r>
      <w:rPr>
        <w:rFonts w:ascii="Arial" w:hAnsi="Arial" w:cs="Arial" w:hint="eastAsia"/>
        <w:color w:val="000000"/>
        <w:kern w:val="0"/>
        <w:sz w:val="18"/>
        <w:szCs w:val="18"/>
      </w:rPr>
      <w:t>9</w:t>
    </w:r>
  </w:p>
  <w:p w:rsidR="0042219B" w:rsidRDefault="00EF6A94">
    <w:pPr>
      <w:widowControl/>
      <w:shd w:val="clear" w:color="auto" w:fill="F2F9F4"/>
      <w:wordWrap w:val="0"/>
      <w:spacing w:line="270" w:lineRule="atLeast"/>
      <w:jc w:val="left"/>
      <w:rPr>
        <w:rFonts w:ascii="Arial" w:hAnsi="Arial" w:cs="Arial"/>
        <w:color w:val="000000"/>
        <w:kern w:val="0"/>
        <w:sz w:val="18"/>
        <w:szCs w:val="18"/>
      </w:rPr>
    </w:pPr>
    <w:r>
      <w:rPr>
        <w:rFonts w:ascii="Arial" w:hAnsi="Arial" w:cs="Arial"/>
        <w:color w:val="000000"/>
        <w:kern w:val="0"/>
        <w:sz w:val="18"/>
        <w:szCs w:val="18"/>
      </w:rPr>
      <w:t>作者简介：</w:t>
    </w:r>
    <w:r>
      <w:rPr>
        <w:rFonts w:ascii="Arial" w:hAnsi="Arial" w:cs="Arial" w:hint="eastAsia"/>
        <w:color w:val="000000"/>
        <w:kern w:val="0"/>
        <w:sz w:val="18"/>
        <w:szCs w:val="18"/>
      </w:rPr>
      <w:t>刘琼</w:t>
    </w:r>
    <w:r>
      <w:rPr>
        <w:rFonts w:ascii="Arial" w:hAnsi="Arial" w:cs="Arial"/>
        <w:color w:val="000000"/>
        <w:kern w:val="0"/>
        <w:sz w:val="18"/>
        <w:szCs w:val="18"/>
      </w:rPr>
      <w:t>（</w:t>
    </w:r>
    <w:r>
      <w:rPr>
        <w:rFonts w:ascii="Arial" w:hAnsi="Arial" w:cs="Arial" w:hint="eastAsia"/>
        <w:color w:val="000000"/>
        <w:kern w:val="0"/>
        <w:sz w:val="18"/>
        <w:szCs w:val="18"/>
      </w:rPr>
      <w:t>1989</w:t>
    </w:r>
    <w:r>
      <w:rPr>
        <w:rFonts w:ascii="Arial" w:hAnsi="Arial" w:cs="Arial"/>
        <w:color w:val="000000"/>
        <w:kern w:val="0"/>
        <w:sz w:val="18"/>
        <w:szCs w:val="18"/>
      </w:rPr>
      <w:t>－），</w:t>
    </w:r>
    <w:r>
      <w:rPr>
        <w:rFonts w:ascii="Arial" w:hAnsi="Arial" w:cs="Arial" w:hint="eastAsia"/>
        <w:color w:val="000000"/>
        <w:kern w:val="0"/>
        <w:sz w:val="18"/>
        <w:szCs w:val="18"/>
      </w:rPr>
      <w:t>女</w:t>
    </w:r>
    <w:r>
      <w:rPr>
        <w:rFonts w:ascii="Arial" w:hAnsi="Arial" w:cs="Arial"/>
        <w:color w:val="000000"/>
        <w:kern w:val="0"/>
        <w:sz w:val="18"/>
        <w:szCs w:val="18"/>
      </w:rPr>
      <w:t>（</w:t>
    </w:r>
    <w:r>
      <w:rPr>
        <w:rFonts w:ascii="Arial" w:hAnsi="Arial" w:cs="Arial" w:hint="eastAsia"/>
        <w:color w:val="000000"/>
        <w:kern w:val="0"/>
        <w:sz w:val="18"/>
        <w:szCs w:val="18"/>
      </w:rPr>
      <w:t>汉</w:t>
    </w:r>
    <w:r>
      <w:rPr>
        <w:rFonts w:ascii="Arial" w:hAnsi="Arial" w:cs="Arial"/>
        <w:color w:val="000000"/>
        <w:kern w:val="0"/>
        <w:sz w:val="18"/>
        <w:szCs w:val="18"/>
      </w:rPr>
      <w:t>族），</w:t>
    </w:r>
    <w:r>
      <w:rPr>
        <w:rFonts w:ascii="Arial" w:hAnsi="Arial" w:cs="Arial" w:hint="eastAsia"/>
        <w:color w:val="000000"/>
        <w:kern w:val="0"/>
        <w:sz w:val="18"/>
        <w:szCs w:val="18"/>
      </w:rPr>
      <w:t>湖南</w:t>
    </w:r>
    <w:r>
      <w:rPr>
        <w:rFonts w:ascii="Arial" w:hAnsi="Arial" w:cs="Arial"/>
        <w:color w:val="000000"/>
        <w:kern w:val="0"/>
        <w:sz w:val="18"/>
        <w:szCs w:val="18"/>
      </w:rPr>
      <w:t>，</w:t>
    </w:r>
    <w:r>
      <w:rPr>
        <w:rFonts w:ascii="Arial" w:hAnsi="Arial" w:cs="Arial" w:hint="eastAsia"/>
        <w:color w:val="000000"/>
        <w:kern w:val="0"/>
        <w:sz w:val="18"/>
        <w:szCs w:val="18"/>
      </w:rPr>
      <w:t>护师</w:t>
    </w:r>
    <w:r>
      <w:rPr>
        <w:rFonts w:ascii="Arial" w:hAnsi="Arial" w:cs="Arial"/>
        <w:color w:val="000000"/>
        <w:kern w:val="0"/>
        <w:sz w:val="18"/>
        <w:szCs w:val="18"/>
      </w:rPr>
      <w:t>。</w:t>
    </w:r>
  </w:p>
  <w:p w:rsidR="0042219B" w:rsidRDefault="00EF6A94">
    <w:pPr>
      <w:widowControl/>
      <w:shd w:val="clear" w:color="auto" w:fill="F2F9F4"/>
      <w:wordWrap w:val="0"/>
      <w:spacing w:line="270" w:lineRule="atLeast"/>
      <w:jc w:val="left"/>
      <w:rPr>
        <w:rFonts w:ascii="Arial" w:hAnsi="Arial" w:cs="Arial"/>
        <w:color w:val="000000"/>
        <w:kern w:val="0"/>
        <w:sz w:val="18"/>
        <w:szCs w:val="18"/>
      </w:rPr>
    </w:pPr>
    <w:r>
      <w:rPr>
        <w:rFonts w:ascii="Arial" w:hAnsi="Arial" w:cs="Arial"/>
        <w:color w:val="000000"/>
        <w:kern w:val="0"/>
        <w:sz w:val="18"/>
        <w:szCs w:val="18"/>
      </w:rPr>
      <w:t>通讯作者：</w:t>
    </w:r>
    <w:r>
      <w:rPr>
        <w:rFonts w:ascii="Arial" w:hAnsi="Arial" w:cs="Arial" w:hint="eastAsia"/>
        <w:color w:val="000000"/>
        <w:kern w:val="0"/>
        <w:sz w:val="18"/>
        <w:szCs w:val="18"/>
      </w:rPr>
      <w:t>信红亚，医学博士</w:t>
    </w:r>
    <w:r>
      <w:rPr>
        <w:rFonts w:ascii="Arial" w:hAnsi="Arial" w:cs="Arial" w:hint="eastAsia"/>
        <w:color w:val="000000"/>
        <w:kern w:val="0"/>
        <w:sz w:val="18"/>
        <w:szCs w:val="18"/>
      </w:rPr>
      <w:t>,</w:t>
    </w:r>
    <w:r>
      <w:rPr>
        <w:rFonts w:ascii="Arial" w:hAnsi="Arial" w:cs="Arial" w:hint="eastAsia"/>
        <w:color w:val="000000"/>
        <w:kern w:val="0"/>
        <w:sz w:val="18"/>
        <w:szCs w:val="18"/>
      </w:rPr>
      <w:t>中南大学湘雅医院血液科主治医师</w:t>
    </w:r>
    <w:r>
      <w:rPr>
        <w:rFonts w:ascii="Arial" w:hAnsi="Arial" w:cs="Arial" w:hint="eastAsia"/>
        <w:color w:val="000000"/>
        <w:kern w:val="0"/>
        <w:sz w:val="18"/>
        <w:szCs w:val="18"/>
      </w:rPr>
      <w:t xml:space="preserve"> xinhongya@163.com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3450" w:rsidRDefault="005E3450" w:rsidP="0042219B">
      <w:r>
        <w:separator/>
      </w:r>
    </w:p>
  </w:footnote>
  <w:footnote w:type="continuationSeparator" w:id="0">
    <w:p w:rsidR="005E3450" w:rsidRDefault="005E3450" w:rsidP="004221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33B88F7"/>
    <w:multiLevelType w:val="singleLevel"/>
    <w:tmpl w:val="C33B88F7"/>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D01BE"/>
    <w:rsid w:val="000030EC"/>
    <w:rsid w:val="0010747E"/>
    <w:rsid w:val="001D01BE"/>
    <w:rsid w:val="002045A0"/>
    <w:rsid w:val="00341D00"/>
    <w:rsid w:val="003B626F"/>
    <w:rsid w:val="003C3733"/>
    <w:rsid w:val="00420B10"/>
    <w:rsid w:val="0042219B"/>
    <w:rsid w:val="00495E7A"/>
    <w:rsid w:val="004A3C45"/>
    <w:rsid w:val="004A4B9B"/>
    <w:rsid w:val="004F0930"/>
    <w:rsid w:val="00555CE5"/>
    <w:rsid w:val="00594CFA"/>
    <w:rsid w:val="005E3450"/>
    <w:rsid w:val="006B740A"/>
    <w:rsid w:val="006F48EA"/>
    <w:rsid w:val="00800F83"/>
    <w:rsid w:val="008863B6"/>
    <w:rsid w:val="008D4811"/>
    <w:rsid w:val="009C6B31"/>
    <w:rsid w:val="00A8356C"/>
    <w:rsid w:val="00AC7F4F"/>
    <w:rsid w:val="00DC36F2"/>
    <w:rsid w:val="00EF6A94"/>
    <w:rsid w:val="00F10C45"/>
    <w:rsid w:val="00FB425A"/>
    <w:rsid w:val="00FE033F"/>
    <w:rsid w:val="00FE47FC"/>
    <w:rsid w:val="04E61153"/>
    <w:rsid w:val="0D472B64"/>
    <w:rsid w:val="14772DDB"/>
    <w:rsid w:val="15DE590E"/>
    <w:rsid w:val="16A86801"/>
    <w:rsid w:val="19464E92"/>
    <w:rsid w:val="2C85066B"/>
    <w:rsid w:val="2CBD0D8E"/>
    <w:rsid w:val="46FD18D8"/>
    <w:rsid w:val="4D4B40A5"/>
    <w:rsid w:val="56D13A49"/>
    <w:rsid w:val="5AD24DB3"/>
    <w:rsid w:val="601A7354"/>
    <w:rsid w:val="68B311FE"/>
    <w:rsid w:val="780C2CF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CEBE5F2"/>
  <w15:docId w15:val="{9CCE5A25-DB14-49BD-96B2-1149154EF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宋体"/>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2219B"/>
    <w:pPr>
      <w:widowControl w:val="0"/>
      <w:jc w:val="both"/>
    </w:pPr>
    <w:rPr>
      <w:rFonts w:ascii="Times New Roman"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rsid w:val="0042219B"/>
    <w:pPr>
      <w:jc w:val="left"/>
    </w:pPr>
  </w:style>
  <w:style w:type="paragraph" w:styleId="a5">
    <w:name w:val="Balloon Text"/>
    <w:basedOn w:val="a"/>
    <w:link w:val="a6"/>
    <w:rsid w:val="0042219B"/>
    <w:rPr>
      <w:sz w:val="18"/>
      <w:szCs w:val="18"/>
    </w:rPr>
  </w:style>
  <w:style w:type="paragraph" w:styleId="a7">
    <w:name w:val="footer"/>
    <w:basedOn w:val="a"/>
    <w:link w:val="a8"/>
    <w:uiPriority w:val="99"/>
    <w:qFormat/>
    <w:rsid w:val="0042219B"/>
    <w:pPr>
      <w:tabs>
        <w:tab w:val="center" w:pos="4153"/>
        <w:tab w:val="right" w:pos="8306"/>
      </w:tabs>
      <w:snapToGrid w:val="0"/>
      <w:jc w:val="left"/>
    </w:pPr>
    <w:rPr>
      <w:rFonts w:ascii="Calibri" w:hAnsi="Calibri" w:cs="宋体"/>
      <w:sz w:val="18"/>
      <w:szCs w:val="18"/>
    </w:rPr>
  </w:style>
  <w:style w:type="paragraph" w:styleId="a9">
    <w:name w:val="header"/>
    <w:basedOn w:val="a"/>
    <w:link w:val="aa"/>
    <w:uiPriority w:val="99"/>
    <w:qFormat/>
    <w:rsid w:val="0042219B"/>
    <w:pPr>
      <w:pBdr>
        <w:bottom w:val="single" w:sz="6" w:space="1" w:color="auto"/>
      </w:pBdr>
      <w:tabs>
        <w:tab w:val="center" w:pos="4153"/>
        <w:tab w:val="right" w:pos="8306"/>
      </w:tabs>
      <w:snapToGrid w:val="0"/>
      <w:jc w:val="center"/>
    </w:pPr>
    <w:rPr>
      <w:rFonts w:ascii="Calibri" w:hAnsi="Calibri" w:cs="宋体"/>
      <w:sz w:val="18"/>
      <w:szCs w:val="18"/>
    </w:rPr>
  </w:style>
  <w:style w:type="paragraph" w:styleId="ab">
    <w:name w:val="annotation subject"/>
    <w:basedOn w:val="a3"/>
    <w:next w:val="a3"/>
    <w:link w:val="ac"/>
    <w:rsid w:val="0042219B"/>
    <w:rPr>
      <w:b/>
      <w:bCs/>
    </w:rPr>
  </w:style>
  <w:style w:type="character" w:styleId="ad">
    <w:name w:val="annotation reference"/>
    <w:basedOn w:val="a0"/>
    <w:rsid w:val="0042219B"/>
    <w:rPr>
      <w:sz w:val="21"/>
      <w:szCs w:val="21"/>
    </w:rPr>
  </w:style>
  <w:style w:type="character" w:customStyle="1" w:styleId="aa">
    <w:name w:val="页眉 字符"/>
    <w:basedOn w:val="a0"/>
    <w:link w:val="a9"/>
    <w:uiPriority w:val="99"/>
    <w:qFormat/>
    <w:rsid w:val="0042219B"/>
    <w:rPr>
      <w:sz w:val="18"/>
      <w:szCs w:val="18"/>
    </w:rPr>
  </w:style>
  <w:style w:type="character" w:customStyle="1" w:styleId="a8">
    <w:name w:val="页脚 字符"/>
    <w:basedOn w:val="a0"/>
    <w:link w:val="a7"/>
    <w:uiPriority w:val="99"/>
    <w:qFormat/>
    <w:rsid w:val="0042219B"/>
    <w:rPr>
      <w:sz w:val="18"/>
      <w:szCs w:val="18"/>
    </w:rPr>
  </w:style>
  <w:style w:type="character" w:customStyle="1" w:styleId="a6">
    <w:name w:val="批注框文本 字符"/>
    <w:basedOn w:val="a0"/>
    <w:link w:val="a5"/>
    <w:qFormat/>
    <w:rsid w:val="0042219B"/>
    <w:rPr>
      <w:rFonts w:ascii="Times New Roman" w:hAnsi="Times New Roman" w:cs="Times New Roman"/>
      <w:kern w:val="2"/>
      <w:sz w:val="18"/>
      <w:szCs w:val="18"/>
    </w:rPr>
  </w:style>
  <w:style w:type="character" w:customStyle="1" w:styleId="a4">
    <w:name w:val="批注文字 字符"/>
    <w:basedOn w:val="a0"/>
    <w:link w:val="a3"/>
    <w:qFormat/>
    <w:rsid w:val="0042219B"/>
    <w:rPr>
      <w:rFonts w:ascii="Times New Roman" w:hAnsi="Times New Roman" w:cs="Times New Roman"/>
      <w:kern w:val="2"/>
      <w:sz w:val="21"/>
      <w:szCs w:val="24"/>
    </w:rPr>
  </w:style>
  <w:style w:type="character" w:customStyle="1" w:styleId="ac">
    <w:name w:val="批注主题 字符"/>
    <w:basedOn w:val="a4"/>
    <w:link w:val="ab"/>
    <w:qFormat/>
    <w:rsid w:val="0042219B"/>
    <w:rPr>
      <w:rFonts w:ascii="Times New Roman" w:hAnsi="Times New Roman"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0A4DD1-7C11-4EB1-BDF4-2E1D46840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6</Pages>
  <Words>1154</Words>
  <Characters>6583</Characters>
  <Application>Microsoft Office Word</Application>
  <DocSecurity>0</DocSecurity>
  <Lines>54</Lines>
  <Paragraphs>15</Paragraphs>
  <ScaleCrop>false</ScaleCrop>
  <Company>Sky123.Org</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琼 刘</cp:lastModifiedBy>
  <cp:revision>13</cp:revision>
  <dcterms:created xsi:type="dcterms:W3CDTF">2019-07-08T08:42:00Z</dcterms:created>
  <dcterms:modified xsi:type="dcterms:W3CDTF">2019-12-31T08:42:00Z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