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CF2DF" w14:textId="7F7686A9" w:rsidR="003870C9" w:rsidRPr="00AC43F8" w:rsidRDefault="00AE696A" w:rsidP="00257CA9">
      <w:pPr>
        <w:spacing w:line="360" w:lineRule="auto"/>
        <w:jc w:val="center"/>
        <w:rPr>
          <w:rFonts w:ascii="黑体" w:eastAsia="黑体" w:hAnsi="黑体"/>
          <w:b/>
          <w:bCs/>
          <w:sz w:val="36"/>
          <w:szCs w:val="36"/>
        </w:rPr>
      </w:pPr>
      <w:r w:rsidRPr="00AC43F8">
        <w:rPr>
          <w:rFonts w:ascii="黑体" w:eastAsia="黑体" w:hAnsi="黑体" w:hint="eastAsia"/>
          <w:b/>
          <w:bCs/>
          <w:sz w:val="36"/>
          <w:szCs w:val="36"/>
        </w:rPr>
        <w:t>“粤港澳”大湾</w:t>
      </w:r>
      <w:proofErr w:type="gramStart"/>
      <w:r w:rsidRPr="00AC43F8">
        <w:rPr>
          <w:rFonts w:ascii="黑体" w:eastAsia="黑体" w:hAnsi="黑体" w:hint="eastAsia"/>
          <w:b/>
          <w:bCs/>
          <w:sz w:val="36"/>
          <w:szCs w:val="36"/>
        </w:rPr>
        <w:t>区背景</w:t>
      </w:r>
      <w:proofErr w:type="gramEnd"/>
      <w:r w:rsidRPr="00AC43F8">
        <w:rPr>
          <w:rFonts w:ascii="黑体" w:eastAsia="黑体" w:hAnsi="黑体" w:hint="eastAsia"/>
          <w:b/>
          <w:bCs/>
          <w:sz w:val="36"/>
          <w:szCs w:val="36"/>
        </w:rPr>
        <w:t>下珠海港保税</w:t>
      </w:r>
      <w:r w:rsidR="003529AF" w:rsidRPr="00AC43F8">
        <w:rPr>
          <w:rFonts w:ascii="黑体" w:eastAsia="黑体" w:hAnsi="黑体" w:hint="eastAsia"/>
          <w:b/>
          <w:bCs/>
          <w:sz w:val="36"/>
          <w:szCs w:val="36"/>
        </w:rPr>
        <w:t>物流</w:t>
      </w:r>
    </w:p>
    <w:p w14:paraId="40046D85" w14:textId="79BCAD05" w:rsidR="00EA5C20" w:rsidRDefault="00AE696A" w:rsidP="00257CA9">
      <w:pPr>
        <w:spacing w:line="360" w:lineRule="auto"/>
        <w:jc w:val="center"/>
        <w:rPr>
          <w:rFonts w:ascii="黑体" w:eastAsia="黑体" w:hAnsi="黑体"/>
          <w:b/>
          <w:bCs/>
          <w:sz w:val="36"/>
          <w:szCs w:val="36"/>
        </w:rPr>
      </w:pPr>
      <w:r w:rsidRPr="00AC43F8">
        <w:rPr>
          <w:rFonts w:ascii="黑体" w:eastAsia="黑体" w:hAnsi="黑体" w:hint="eastAsia"/>
          <w:b/>
          <w:bCs/>
          <w:sz w:val="36"/>
          <w:szCs w:val="36"/>
        </w:rPr>
        <w:t>发展研究</w:t>
      </w:r>
    </w:p>
    <w:p w14:paraId="25D4E94E" w14:textId="7020348C" w:rsidR="009C15AD" w:rsidRDefault="009C15AD" w:rsidP="009C15AD">
      <w:pPr>
        <w:spacing w:line="360" w:lineRule="auto"/>
        <w:jc w:val="center"/>
        <w:rPr>
          <w:rFonts w:ascii="黑体" w:eastAsia="黑体" w:hAnsi="黑体"/>
          <w:szCs w:val="21"/>
        </w:rPr>
      </w:pPr>
      <w:r>
        <w:rPr>
          <w:rFonts w:ascii="黑体" w:eastAsia="黑体" w:hAnsi="黑体" w:hint="eastAsia"/>
          <w:szCs w:val="21"/>
        </w:rPr>
        <w:t xml:space="preserve">陶琴 </w:t>
      </w:r>
    </w:p>
    <w:p w14:paraId="12171AD0" w14:textId="6D711238" w:rsidR="009C15AD" w:rsidRPr="009C15AD" w:rsidRDefault="009C15AD" w:rsidP="009C15AD">
      <w:pPr>
        <w:spacing w:line="360" w:lineRule="auto"/>
        <w:jc w:val="center"/>
        <w:rPr>
          <w:rFonts w:ascii="黑体" w:eastAsia="黑体" w:hAnsi="黑体"/>
          <w:szCs w:val="21"/>
        </w:rPr>
      </w:pPr>
      <w:r w:rsidRPr="009C15AD">
        <w:rPr>
          <w:rFonts w:ascii="黑体" w:eastAsia="黑体" w:hAnsi="黑体" w:hint="eastAsia"/>
          <w:szCs w:val="21"/>
        </w:rPr>
        <w:t>（珠海城市职业技术学院，广东</w:t>
      </w:r>
      <w:r w:rsidRPr="009C15AD">
        <w:rPr>
          <w:rFonts w:ascii="黑体" w:eastAsia="黑体" w:hAnsi="黑体"/>
          <w:szCs w:val="21"/>
        </w:rPr>
        <w:t xml:space="preserve"> 珠海 519090）</w:t>
      </w:r>
    </w:p>
    <w:p w14:paraId="36F285CB" w14:textId="7B65F93A" w:rsidR="00C118C0" w:rsidRPr="003856CF" w:rsidRDefault="00545F6C" w:rsidP="00B01988">
      <w:pPr>
        <w:spacing w:line="360" w:lineRule="auto"/>
        <w:rPr>
          <w:rFonts w:ascii="宋体" w:eastAsia="宋体" w:hAnsi="宋体"/>
          <w:sz w:val="24"/>
          <w:szCs w:val="24"/>
        </w:rPr>
      </w:pPr>
      <w:r w:rsidRPr="00545F6C">
        <w:rPr>
          <w:rFonts w:ascii="宋体" w:eastAsia="宋体" w:hAnsi="宋体" w:hint="eastAsia"/>
          <w:b/>
          <w:bCs/>
          <w:sz w:val="24"/>
          <w:szCs w:val="24"/>
        </w:rPr>
        <w:t>摘要：</w:t>
      </w:r>
      <w:r w:rsidRPr="00545F6C">
        <w:rPr>
          <w:rFonts w:ascii="宋体" w:eastAsia="宋体" w:hAnsi="宋体" w:hint="eastAsia"/>
          <w:sz w:val="24"/>
          <w:szCs w:val="24"/>
        </w:rPr>
        <w:t>在粤港澳大湾区及国家一带一路大发展战略下，珠海港迎来了新一轮的发展机遇和挑战。</w:t>
      </w:r>
      <w:r w:rsidR="00280759">
        <w:rPr>
          <w:rFonts w:ascii="宋体" w:eastAsia="宋体" w:hAnsi="宋体" w:hint="eastAsia"/>
          <w:sz w:val="24"/>
          <w:szCs w:val="24"/>
        </w:rPr>
        <w:t>通过分析珠海港现保税物流存在的问题，提出</w:t>
      </w:r>
      <w:r w:rsidR="00C118C0">
        <w:rPr>
          <w:rFonts w:ascii="宋体" w:eastAsia="宋体" w:hAnsi="宋体" w:hint="eastAsia"/>
          <w:sz w:val="24"/>
          <w:szCs w:val="24"/>
        </w:rPr>
        <w:t>珠海港需</w:t>
      </w:r>
      <w:r w:rsidR="00280759">
        <w:rPr>
          <w:rFonts w:ascii="宋体" w:eastAsia="宋体" w:hAnsi="宋体" w:hint="eastAsia"/>
          <w:sz w:val="24"/>
          <w:szCs w:val="24"/>
        </w:rPr>
        <w:t>加快</w:t>
      </w:r>
      <w:r w:rsidR="00C118C0" w:rsidRPr="00E55BF9">
        <w:rPr>
          <w:rFonts w:ascii="宋体" w:eastAsia="宋体" w:hAnsi="宋体" w:hint="eastAsia"/>
          <w:sz w:val="24"/>
          <w:szCs w:val="24"/>
        </w:rPr>
        <w:t>推进综</w:t>
      </w:r>
      <w:r w:rsidR="00280759">
        <w:rPr>
          <w:rFonts w:ascii="宋体" w:eastAsia="宋体" w:hAnsi="宋体" w:hint="eastAsia"/>
          <w:sz w:val="24"/>
          <w:szCs w:val="24"/>
        </w:rPr>
        <w:t>合保税</w:t>
      </w:r>
      <w:r w:rsidR="00C118C0" w:rsidRPr="00E55BF9">
        <w:rPr>
          <w:rFonts w:ascii="宋体" w:eastAsia="宋体" w:hAnsi="宋体" w:hint="eastAsia"/>
          <w:sz w:val="24"/>
          <w:szCs w:val="24"/>
        </w:rPr>
        <w:t>区</w:t>
      </w:r>
      <w:r w:rsidR="00280759">
        <w:rPr>
          <w:rFonts w:ascii="宋体" w:eastAsia="宋体" w:hAnsi="宋体" w:hint="eastAsia"/>
          <w:sz w:val="24"/>
          <w:szCs w:val="24"/>
        </w:rPr>
        <w:t>的</w:t>
      </w:r>
      <w:r w:rsidR="00C118C0" w:rsidRPr="00E55BF9">
        <w:rPr>
          <w:rFonts w:ascii="宋体" w:eastAsia="宋体" w:hAnsi="宋体" w:hint="eastAsia"/>
          <w:sz w:val="24"/>
          <w:szCs w:val="24"/>
        </w:rPr>
        <w:t>规划建设</w:t>
      </w:r>
      <w:r w:rsidR="00C118C0">
        <w:rPr>
          <w:rFonts w:ascii="宋体" w:eastAsia="宋体" w:hAnsi="宋体" w:hint="eastAsia"/>
          <w:sz w:val="24"/>
          <w:szCs w:val="24"/>
        </w:rPr>
        <w:t>、</w:t>
      </w:r>
      <w:r w:rsidR="00280759" w:rsidRPr="004D0597">
        <w:rPr>
          <w:rFonts w:ascii="宋体" w:eastAsia="宋体" w:hAnsi="宋体" w:hint="eastAsia"/>
          <w:sz w:val="24"/>
          <w:szCs w:val="24"/>
        </w:rPr>
        <w:t>拓展港口货源腹地</w:t>
      </w:r>
      <w:r w:rsidR="00280759">
        <w:rPr>
          <w:rFonts w:ascii="宋体" w:eastAsia="宋体" w:hAnsi="宋体" w:hint="eastAsia"/>
          <w:sz w:val="24"/>
          <w:szCs w:val="24"/>
        </w:rPr>
        <w:t>、</w:t>
      </w:r>
      <w:r w:rsidR="00C118C0" w:rsidRPr="00E55BF9">
        <w:rPr>
          <w:rFonts w:ascii="宋体" w:eastAsia="宋体" w:hAnsi="宋体" w:hint="eastAsia"/>
          <w:sz w:val="24"/>
          <w:szCs w:val="24"/>
        </w:rPr>
        <w:t>引入大客户参与</w:t>
      </w:r>
      <w:r w:rsidR="00280759">
        <w:rPr>
          <w:rFonts w:ascii="宋体" w:eastAsia="宋体" w:hAnsi="宋体" w:hint="eastAsia"/>
          <w:sz w:val="24"/>
          <w:szCs w:val="24"/>
        </w:rPr>
        <w:t>保税物流的搭建</w:t>
      </w:r>
      <w:r w:rsidR="00C118C0">
        <w:rPr>
          <w:rFonts w:ascii="宋体" w:eastAsia="宋体" w:hAnsi="宋体" w:hint="eastAsia"/>
          <w:sz w:val="24"/>
          <w:szCs w:val="24"/>
        </w:rPr>
        <w:t>、</w:t>
      </w:r>
      <w:r w:rsidR="00C118C0" w:rsidRPr="003856CF">
        <w:rPr>
          <w:rFonts w:ascii="宋体" w:eastAsia="宋体" w:hAnsi="宋体" w:hint="eastAsia"/>
          <w:sz w:val="24"/>
          <w:szCs w:val="24"/>
        </w:rPr>
        <w:t>发挥</w:t>
      </w:r>
      <w:r w:rsidR="00280759">
        <w:rPr>
          <w:rFonts w:ascii="宋体" w:eastAsia="宋体" w:hAnsi="宋体" w:hint="eastAsia"/>
          <w:sz w:val="24"/>
          <w:szCs w:val="24"/>
        </w:rPr>
        <w:t>与</w:t>
      </w:r>
      <w:r w:rsidR="00C118C0" w:rsidRPr="003856CF">
        <w:rPr>
          <w:rFonts w:ascii="宋体" w:eastAsia="宋体" w:hAnsi="宋体" w:hint="eastAsia"/>
          <w:sz w:val="24"/>
          <w:szCs w:val="24"/>
        </w:rPr>
        <w:t>横琴自贸区</w:t>
      </w:r>
      <w:r w:rsidR="00280759">
        <w:rPr>
          <w:rFonts w:ascii="宋体" w:eastAsia="宋体" w:hAnsi="宋体" w:hint="eastAsia"/>
          <w:sz w:val="24"/>
          <w:szCs w:val="24"/>
        </w:rPr>
        <w:t>的</w:t>
      </w:r>
      <w:r w:rsidR="00C118C0" w:rsidRPr="003856CF">
        <w:rPr>
          <w:rFonts w:ascii="宋体" w:eastAsia="宋体" w:hAnsi="宋体" w:hint="eastAsia"/>
          <w:sz w:val="24"/>
          <w:szCs w:val="24"/>
        </w:rPr>
        <w:t>区港联动发展</w:t>
      </w:r>
      <w:r w:rsidR="00C118C0">
        <w:rPr>
          <w:rFonts w:ascii="宋体" w:eastAsia="宋体" w:hAnsi="宋体" w:hint="eastAsia"/>
          <w:sz w:val="24"/>
          <w:szCs w:val="24"/>
        </w:rPr>
        <w:t>、</w:t>
      </w:r>
      <w:r w:rsidR="00C118C0" w:rsidRPr="003856CF">
        <w:rPr>
          <w:rFonts w:ascii="宋体" w:eastAsia="宋体" w:hAnsi="宋体" w:hint="eastAsia"/>
          <w:sz w:val="24"/>
          <w:szCs w:val="24"/>
        </w:rPr>
        <w:t>加强湾区</w:t>
      </w:r>
      <w:r w:rsidR="00280759">
        <w:rPr>
          <w:rFonts w:ascii="宋体" w:eastAsia="宋体" w:hAnsi="宋体" w:hint="eastAsia"/>
          <w:sz w:val="24"/>
          <w:szCs w:val="24"/>
        </w:rPr>
        <w:t>内</w:t>
      </w:r>
      <w:r w:rsidR="00C118C0" w:rsidRPr="003856CF">
        <w:rPr>
          <w:rFonts w:ascii="宋体" w:eastAsia="宋体" w:hAnsi="宋体" w:hint="eastAsia"/>
          <w:sz w:val="24"/>
          <w:szCs w:val="24"/>
        </w:rPr>
        <w:t>战略合</w:t>
      </w:r>
      <w:r w:rsidR="00280759">
        <w:rPr>
          <w:rFonts w:ascii="宋体" w:eastAsia="宋体" w:hAnsi="宋体" w:hint="eastAsia"/>
          <w:sz w:val="24"/>
          <w:szCs w:val="24"/>
        </w:rPr>
        <w:t>作</w:t>
      </w:r>
      <w:r w:rsidR="00C118C0">
        <w:rPr>
          <w:rFonts w:ascii="宋体" w:eastAsia="宋体" w:hAnsi="宋体" w:hint="eastAsia"/>
          <w:sz w:val="24"/>
          <w:szCs w:val="24"/>
        </w:rPr>
        <w:t>等措施</w:t>
      </w:r>
      <w:r w:rsidR="00B01988">
        <w:rPr>
          <w:rFonts w:ascii="宋体" w:eastAsia="宋体" w:hAnsi="宋体" w:hint="eastAsia"/>
          <w:sz w:val="24"/>
          <w:szCs w:val="24"/>
        </w:rPr>
        <w:t>，旨在</w:t>
      </w:r>
      <w:r w:rsidR="00C118C0">
        <w:rPr>
          <w:rFonts w:ascii="宋体" w:eastAsia="宋体" w:hAnsi="宋体" w:hint="eastAsia"/>
          <w:sz w:val="24"/>
          <w:szCs w:val="24"/>
        </w:rPr>
        <w:t>提</w:t>
      </w:r>
      <w:r w:rsidR="00280759">
        <w:rPr>
          <w:rFonts w:ascii="宋体" w:eastAsia="宋体" w:hAnsi="宋体" w:hint="eastAsia"/>
          <w:sz w:val="24"/>
          <w:szCs w:val="24"/>
        </w:rPr>
        <w:t>高</w:t>
      </w:r>
      <w:r w:rsidR="00C118C0">
        <w:rPr>
          <w:rFonts w:ascii="宋体" w:eastAsia="宋体" w:hAnsi="宋体" w:hint="eastAsia"/>
          <w:sz w:val="24"/>
          <w:szCs w:val="24"/>
        </w:rPr>
        <w:t>港口保税能力，</w:t>
      </w:r>
      <w:r w:rsidR="00280759">
        <w:rPr>
          <w:rFonts w:ascii="宋体" w:eastAsia="宋体" w:hAnsi="宋体" w:hint="eastAsia"/>
          <w:sz w:val="24"/>
          <w:szCs w:val="24"/>
        </w:rPr>
        <w:t>提升港口发展核心竞争力</w:t>
      </w:r>
      <w:r w:rsidR="00B01988">
        <w:rPr>
          <w:rFonts w:ascii="宋体" w:eastAsia="宋体" w:hAnsi="宋体" w:hint="eastAsia"/>
          <w:sz w:val="24"/>
          <w:szCs w:val="24"/>
        </w:rPr>
        <w:t>，抢抓港口新一轮的发展机遇。</w:t>
      </w:r>
    </w:p>
    <w:p w14:paraId="47882108" w14:textId="03CEE276" w:rsidR="00545F6C" w:rsidRPr="00280759" w:rsidRDefault="00B01988" w:rsidP="00545F6C">
      <w:pPr>
        <w:spacing w:line="360" w:lineRule="auto"/>
        <w:rPr>
          <w:rFonts w:ascii="宋体" w:eastAsia="宋体" w:hAnsi="宋体"/>
          <w:b/>
          <w:bCs/>
          <w:sz w:val="24"/>
          <w:szCs w:val="24"/>
        </w:rPr>
      </w:pPr>
      <w:r>
        <w:rPr>
          <w:rFonts w:ascii="宋体" w:eastAsia="宋体" w:hAnsi="宋体" w:hint="eastAsia"/>
          <w:b/>
          <w:bCs/>
          <w:sz w:val="24"/>
          <w:szCs w:val="24"/>
        </w:rPr>
        <w:t>关键词：粤港澳</w:t>
      </w:r>
      <w:r w:rsidR="009737F6">
        <w:rPr>
          <w:rFonts w:ascii="宋体" w:eastAsia="宋体" w:hAnsi="宋体" w:hint="eastAsia"/>
          <w:b/>
          <w:bCs/>
          <w:sz w:val="24"/>
          <w:szCs w:val="24"/>
        </w:rPr>
        <w:t>大湾区</w:t>
      </w:r>
      <w:r>
        <w:rPr>
          <w:rFonts w:ascii="宋体" w:eastAsia="宋体" w:hAnsi="宋体" w:hint="eastAsia"/>
          <w:b/>
          <w:bCs/>
          <w:sz w:val="24"/>
          <w:szCs w:val="24"/>
        </w:rPr>
        <w:t>；珠海港；保税物流</w:t>
      </w:r>
    </w:p>
    <w:p w14:paraId="2B846F9F" w14:textId="77777777" w:rsidR="00545F6C" w:rsidRPr="00AC43F8" w:rsidRDefault="00545F6C" w:rsidP="00257CA9">
      <w:pPr>
        <w:spacing w:line="360" w:lineRule="auto"/>
        <w:jc w:val="center"/>
        <w:rPr>
          <w:rFonts w:ascii="黑体" w:eastAsia="黑体" w:hAnsi="黑体"/>
          <w:b/>
          <w:bCs/>
          <w:sz w:val="36"/>
          <w:szCs w:val="36"/>
        </w:rPr>
      </w:pPr>
    </w:p>
    <w:p w14:paraId="64414C11" w14:textId="6D8CB05E" w:rsidR="00AE696A" w:rsidRPr="00E509A9" w:rsidRDefault="00AE696A" w:rsidP="00257CA9">
      <w:pPr>
        <w:pStyle w:val="a3"/>
        <w:numPr>
          <w:ilvl w:val="0"/>
          <w:numId w:val="1"/>
        </w:numPr>
        <w:spacing w:line="360" w:lineRule="auto"/>
        <w:ind w:firstLineChars="0"/>
        <w:rPr>
          <w:rFonts w:ascii="宋体" w:eastAsia="宋体" w:hAnsi="宋体"/>
          <w:b/>
          <w:bCs/>
          <w:sz w:val="24"/>
          <w:szCs w:val="24"/>
        </w:rPr>
      </w:pPr>
      <w:r w:rsidRPr="00E509A9">
        <w:rPr>
          <w:rFonts w:ascii="宋体" w:eastAsia="宋体" w:hAnsi="宋体" w:hint="eastAsia"/>
          <w:b/>
          <w:bCs/>
          <w:sz w:val="24"/>
          <w:szCs w:val="24"/>
        </w:rPr>
        <w:t>引言</w:t>
      </w:r>
    </w:p>
    <w:p w14:paraId="73071BAE" w14:textId="014A68FF" w:rsidR="004B0B09" w:rsidRDefault="001E1E7F" w:rsidP="00257CA9">
      <w:pPr>
        <w:spacing w:line="360" w:lineRule="auto"/>
        <w:ind w:firstLineChars="200" w:firstLine="480"/>
        <w:rPr>
          <w:rFonts w:ascii="宋体" w:eastAsia="宋体" w:hAnsi="宋体"/>
          <w:sz w:val="24"/>
          <w:szCs w:val="24"/>
        </w:rPr>
      </w:pPr>
      <w:r w:rsidRPr="003856CF">
        <w:rPr>
          <w:rFonts w:ascii="宋体" w:eastAsia="宋体" w:hAnsi="宋体" w:hint="eastAsia"/>
          <w:sz w:val="24"/>
          <w:szCs w:val="24"/>
        </w:rPr>
        <w:t>改革开放</w:t>
      </w:r>
      <w:r w:rsidR="00776B3B" w:rsidRPr="003856CF">
        <w:rPr>
          <w:rFonts w:ascii="宋体" w:eastAsia="宋体" w:hAnsi="宋体" w:hint="eastAsia"/>
          <w:sz w:val="24"/>
          <w:szCs w:val="24"/>
        </w:rPr>
        <w:t>40年</w:t>
      </w:r>
      <w:r w:rsidRPr="003856CF">
        <w:rPr>
          <w:rFonts w:ascii="宋体" w:eastAsia="宋体" w:hAnsi="宋体" w:hint="eastAsia"/>
          <w:sz w:val="24"/>
          <w:szCs w:val="24"/>
        </w:rPr>
        <w:t>以来，特别是香港、澳门回归祖国后，粤港澳合作不断深化实化，粤港澳大湾区经济实力、区域竞争力显著增强，已具备建成国际一流湾区和世界级城市群的基础条件。</w:t>
      </w:r>
      <w:r w:rsidR="00564218" w:rsidRPr="003856CF">
        <w:rPr>
          <w:rFonts w:ascii="宋体" w:eastAsia="宋体" w:hAnsi="宋体" w:hint="eastAsia"/>
          <w:sz w:val="24"/>
          <w:szCs w:val="24"/>
        </w:rPr>
        <w:t>因此，中央制定了粤港澳大湾区</w:t>
      </w:r>
      <w:r w:rsidR="00564218" w:rsidRPr="003856CF">
        <w:rPr>
          <w:rFonts w:ascii="宋体" w:eastAsia="宋体" w:hAnsi="宋体"/>
          <w:sz w:val="24"/>
          <w:szCs w:val="24"/>
        </w:rPr>
        <w:t xml:space="preserve"> (大湾区) 的发展规划，</w:t>
      </w:r>
      <w:r w:rsidR="00776B3B" w:rsidRPr="003856CF">
        <w:rPr>
          <w:rFonts w:ascii="宋体" w:eastAsia="宋体" w:hAnsi="宋体" w:hint="eastAsia"/>
          <w:sz w:val="24"/>
          <w:szCs w:val="24"/>
        </w:rPr>
        <w:t>致力于</w:t>
      </w:r>
      <w:r w:rsidR="00564218" w:rsidRPr="003856CF">
        <w:rPr>
          <w:rFonts w:ascii="宋体" w:eastAsia="宋体" w:hAnsi="宋体"/>
          <w:sz w:val="24"/>
          <w:szCs w:val="24"/>
        </w:rPr>
        <w:t>打造与纽约湾区、旧金山湾</w:t>
      </w:r>
      <w:r w:rsidR="00564218" w:rsidRPr="003856CF">
        <w:rPr>
          <w:rFonts w:ascii="宋体" w:eastAsia="宋体" w:hAnsi="宋体" w:hint="eastAsia"/>
          <w:sz w:val="24"/>
          <w:szCs w:val="24"/>
        </w:rPr>
        <w:t>区、东京湾区相同级别的全球经济重要增长极，发挥我国经济发展的核心引擎作用。根据</w:t>
      </w:r>
      <w:r w:rsidR="00564218" w:rsidRPr="003856CF">
        <w:rPr>
          <w:rFonts w:ascii="宋体" w:eastAsia="宋体" w:hAnsi="宋体"/>
          <w:sz w:val="24"/>
          <w:szCs w:val="24"/>
        </w:rPr>
        <w:t xml:space="preserve"> 《粤港澳大湾区发展规划纲</w:t>
      </w:r>
      <w:r w:rsidR="00564218" w:rsidRPr="003856CF">
        <w:rPr>
          <w:rFonts w:ascii="宋体" w:eastAsia="宋体" w:hAnsi="宋体" w:hint="eastAsia"/>
          <w:sz w:val="24"/>
          <w:szCs w:val="24"/>
        </w:rPr>
        <w:t>要》的指导，</w:t>
      </w:r>
      <w:r w:rsidR="00776B3B" w:rsidRPr="003856CF">
        <w:rPr>
          <w:rFonts w:ascii="宋体" w:eastAsia="宋体" w:hAnsi="宋体" w:hint="eastAsia"/>
          <w:sz w:val="24"/>
          <w:szCs w:val="24"/>
        </w:rPr>
        <w:t>在湾区建设环境下，发挥香港-深圳、广州-佛山、澳门-珠海强</w:t>
      </w:r>
      <w:proofErr w:type="gramStart"/>
      <w:r w:rsidR="00776B3B" w:rsidRPr="003856CF">
        <w:rPr>
          <w:rFonts w:ascii="宋体" w:eastAsia="宋体" w:hAnsi="宋体" w:hint="eastAsia"/>
          <w:sz w:val="24"/>
          <w:szCs w:val="24"/>
        </w:rPr>
        <w:t>强</w:t>
      </w:r>
      <w:proofErr w:type="gramEnd"/>
      <w:r w:rsidR="00776B3B" w:rsidRPr="003856CF">
        <w:rPr>
          <w:rFonts w:ascii="宋体" w:eastAsia="宋体" w:hAnsi="宋体" w:hint="eastAsia"/>
          <w:sz w:val="24"/>
          <w:szCs w:val="24"/>
        </w:rPr>
        <w:t>联合的引领带动作用，深化港深、澳珠合作，加快广佛同城化建设，提升整体实力和全球影响力，引领粤港澳大湾区深度参与国际合作。</w:t>
      </w:r>
      <w:r w:rsidR="00CE378F" w:rsidRPr="003856CF">
        <w:rPr>
          <w:rFonts w:ascii="宋体" w:eastAsia="宋体" w:hAnsi="宋体" w:hint="eastAsia"/>
          <w:sz w:val="24"/>
          <w:szCs w:val="24"/>
        </w:rPr>
        <w:t>珠海毗邻澳门，以港珠澳大桥与香港</w:t>
      </w:r>
      <w:r w:rsidR="001F439D">
        <w:rPr>
          <w:rFonts w:ascii="宋体" w:eastAsia="宋体" w:hAnsi="宋体" w:hint="eastAsia"/>
          <w:sz w:val="24"/>
          <w:szCs w:val="24"/>
        </w:rPr>
        <w:t>、澳门</w:t>
      </w:r>
      <w:r w:rsidR="00CE378F" w:rsidRPr="003856CF">
        <w:rPr>
          <w:rFonts w:ascii="宋体" w:eastAsia="宋体" w:hAnsi="宋体" w:hint="eastAsia"/>
          <w:sz w:val="24"/>
          <w:szCs w:val="24"/>
        </w:rPr>
        <w:t>相连，既是一国两制相融合碰撞的前沿阵地，也是港澳融入国家发展大局、共建粤港澳大湾区的排头兵，湾区的规划及发展为珠海的发展提供了良好的区域环境，同时也给珠海港的发展提出了更高的要求。</w:t>
      </w:r>
    </w:p>
    <w:p w14:paraId="22BF2BA3" w14:textId="19ADDF20" w:rsidR="00E509A9" w:rsidRDefault="00AC43F8" w:rsidP="00257CA9">
      <w:pPr>
        <w:pStyle w:val="a3"/>
        <w:numPr>
          <w:ilvl w:val="0"/>
          <w:numId w:val="1"/>
        </w:numPr>
        <w:spacing w:line="360" w:lineRule="auto"/>
        <w:ind w:firstLineChars="0"/>
        <w:rPr>
          <w:rFonts w:ascii="宋体" w:eastAsia="宋体" w:hAnsi="宋体"/>
          <w:b/>
          <w:bCs/>
          <w:sz w:val="24"/>
          <w:szCs w:val="24"/>
        </w:rPr>
      </w:pPr>
      <w:r w:rsidRPr="00AC43F8">
        <w:rPr>
          <w:rFonts w:ascii="宋体" w:eastAsia="宋体" w:hAnsi="宋体" w:hint="eastAsia"/>
          <w:b/>
          <w:bCs/>
          <w:sz w:val="24"/>
          <w:szCs w:val="24"/>
        </w:rPr>
        <w:t>粤港澳</w:t>
      </w:r>
      <w:r>
        <w:rPr>
          <w:rFonts w:ascii="宋体" w:eastAsia="宋体" w:hAnsi="宋体" w:hint="eastAsia"/>
          <w:b/>
          <w:bCs/>
          <w:sz w:val="24"/>
          <w:szCs w:val="24"/>
        </w:rPr>
        <w:t>大</w:t>
      </w:r>
      <w:r w:rsidRPr="00AC43F8">
        <w:rPr>
          <w:rFonts w:ascii="宋体" w:eastAsia="宋体" w:hAnsi="宋体" w:hint="eastAsia"/>
          <w:b/>
          <w:bCs/>
          <w:sz w:val="24"/>
          <w:szCs w:val="24"/>
        </w:rPr>
        <w:t>湾区</w:t>
      </w:r>
      <w:r w:rsidR="00E64A75">
        <w:rPr>
          <w:rFonts w:ascii="宋体" w:eastAsia="宋体" w:hAnsi="宋体" w:hint="eastAsia"/>
          <w:b/>
          <w:bCs/>
          <w:sz w:val="24"/>
          <w:szCs w:val="24"/>
        </w:rPr>
        <w:t>给</w:t>
      </w:r>
      <w:r w:rsidRPr="00AC43F8">
        <w:rPr>
          <w:rFonts w:ascii="宋体" w:eastAsia="宋体" w:hAnsi="宋体" w:hint="eastAsia"/>
          <w:b/>
          <w:bCs/>
          <w:sz w:val="24"/>
          <w:szCs w:val="24"/>
        </w:rPr>
        <w:t>珠海港发展带来的机遇</w:t>
      </w:r>
    </w:p>
    <w:p w14:paraId="2E3E72A3" w14:textId="43D8EF83" w:rsidR="00AC43F8" w:rsidRDefault="00AC43F8" w:rsidP="00257CA9">
      <w:pPr>
        <w:pStyle w:val="a3"/>
        <w:spacing w:line="360" w:lineRule="auto"/>
        <w:ind w:left="420" w:firstLineChars="0" w:firstLine="0"/>
        <w:rPr>
          <w:rFonts w:ascii="宋体" w:eastAsia="宋体" w:hAnsi="宋体"/>
          <w:sz w:val="24"/>
          <w:szCs w:val="24"/>
        </w:rPr>
      </w:pPr>
      <w:r w:rsidRPr="002213EE">
        <w:rPr>
          <w:rFonts w:ascii="宋体" w:eastAsia="宋体" w:hAnsi="宋体" w:hint="eastAsia"/>
          <w:sz w:val="24"/>
          <w:szCs w:val="24"/>
        </w:rPr>
        <w:t>（一）</w:t>
      </w:r>
      <w:r w:rsidR="002213EE">
        <w:rPr>
          <w:rFonts w:ascii="宋体" w:eastAsia="宋体" w:hAnsi="宋体" w:hint="eastAsia"/>
          <w:sz w:val="24"/>
          <w:szCs w:val="24"/>
        </w:rPr>
        <w:t>粤港澳</w:t>
      </w:r>
      <w:r w:rsidR="008801F7">
        <w:rPr>
          <w:rFonts w:ascii="宋体" w:eastAsia="宋体" w:hAnsi="宋体" w:hint="eastAsia"/>
          <w:sz w:val="24"/>
          <w:szCs w:val="24"/>
        </w:rPr>
        <w:t>大湾区</w:t>
      </w:r>
      <w:r w:rsidR="002213EE">
        <w:rPr>
          <w:rFonts w:ascii="宋体" w:eastAsia="宋体" w:hAnsi="宋体" w:hint="eastAsia"/>
          <w:sz w:val="24"/>
          <w:szCs w:val="24"/>
        </w:rPr>
        <w:t>经济为珠海港提供了广大的空间</w:t>
      </w:r>
    </w:p>
    <w:p w14:paraId="6C3FBB95" w14:textId="59DF129F" w:rsidR="004D0597" w:rsidRPr="004D0597" w:rsidRDefault="004D0597" w:rsidP="008801F7">
      <w:pPr>
        <w:spacing w:line="360" w:lineRule="auto"/>
        <w:ind w:firstLineChars="200" w:firstLine="480"/>
        <w:rPr>
          <w:rFonts w:ascii="宋体" w:eastAsia="宋体" w:hAnsi="宋体"/>
          <w:sz w:val="24"/>
          <w:szCs w:val="24"/>
        </w:rPr>
      </w:pPr>
      <w:r w:rsidRPr="00257CA9">
        <w:rPr>
          <w:rFonts w:ascii="宋体" w:eastAsia="宋体" w:hAnsi="宋体" w:hint="eastAsia"/>
          <w:sz w:val="24"/>
          <w:szCs w:val="24"/>
        </w:rPr>
        <w:t>粤港澳大湾区包括香港、澳门和广东省广州市、深圳市、珠海市、佛山市、惠州市、东莞市、中山市、江门市、肇庆市珠三角九市），是我国开放程度最高、经济活力最强的区域之一，在国家发展大局中具有重要战略地位。</w:t>
      </w:r>
      <w:proofErr w:type="gramStart"/>
      <w:r w:rsidR="008801F7">
        <w:rPr>
          <w:rFonts w:ascii="宋体" w:eastAsia="宋体" w:hAnsi="宋体" w:hint="eastAsia"/>
          <w:sz w:val="24"/>
          <w:szCs w:val="24"/>
        </w:rPr>
        <w:t>且湾区</w:t>
      </w:r>
      <w:proofErr w:type="gramEnd"/>
      <w:r w:rsidR="008801F7" w:rsidRPr="008801F7">
        <w:rPr>
          <w:rFonts w:ascii="宋体" w:eastAsia="宋体" w:hAnsi="宋体" w:hint="eastAsia"/>
          <w:sz w:val="24"/>
          <w:szCs w:val="24"/>
        </w:rPr>
        <w:t>经济发</w:t>
      </w:r>
      <w:r w:rsidR="008801F7" w:rsidRPr="008801F7">
        <w:rPr>
          <w:rFonts w:ascii="宋体" w:eastAsia="宋体" w:hAnsi="宋体" w:hint="eastAsia"/>
          <w:sz w:val="24"/>
          <w:szCs w:val="24"/>
        </w:rPr>
        <w:lastRenderedPageBreak/>
        <w:t>展水平全国领先，产业体系完备，集群优势明显，经济互补性强，香港、澳门服务业高度发达，珠三角九市已初步形成以战略性新兴产业为先导、先进制造业和现代服务业为主体的产业结构，2017年大湾区经济总量约10</w:t>
      </w:r>
      <w:proofErr w:type="gramStart"/>
      <w:r w:rsidR="008801F7" w:rsidRPr="008801F7">
        <w:rPr>
          <w:rFonts w:ascii="宋体" w:eastAsia="宋体" w:hAnsi="宋体" w:hint="eastAsia"/>
          <w:sz w:val="24"/>
          <w:szCs w:val="24"/>
        </w:rPr>
        <w:t>万亿</w:t>
      </w:r>
      <w:proofErr w:type="gramEnd"/>
      <w:r w:rsidR="008801F7" w:rsidRPr="008801F7">
        <w:rPr>
          <w:rFonts w:ascii="宋体" w:eastAsia="宋体" w:hAnsi="宋体" w:hint="eastAsia"/>
          <w:sz w:val="24"/>
          <w:szCs w:val="24"/>
        </w:rPr>
        <w:t>元。</w:t>
      </w:r>
      <w:r w:rsidR="00E55BF9">
        <w:rPr>
          <w:rFonts w:ascii="宋体" w:eastAsia="宋体" w:hAnsi="宋体" w:hint="eastAsia"/>
          <w:sz w:val="24"/>
          <w:szCs w:val="24"/>
        </w:rPr>
        <w:t>先进</w:t>
      </w:r>
      <w:r w:rsidR="008801F7">
        <w:rPr>
          <w:rFonts w:ascii="宋体" w:eastAsia="宋体" w:hAnsi="宋体" w:hint="eastAsia"/>
          <w:sz w:val="24"/>
          <w:szCs w:val="24"/>
        </w:rPr>
        <w:t>的湾区经济为珠海港提供了广大的发展空间。</w:t>
      </w:r>
    </w:p>
    <w:p w14:paraId="7D2C4B35" w14:textId="0F01C586" w:rsidR="00DA2D93" w:rsidRPr="009737F6" w:rsidRDefault="00DA2D93" w:rsidP="00257CA9">
      <w:pPr>
        <w:pStyle w:val="a3"/>
        <w:spacing w:line="360" w:lineRule="auto"/>
        <w:ind w:left="420" w:firstLineChars="0" w:firstLine="0"/>
        <w:rPr>
          <w:rFonts w:ascii="宋体" w:eastAsia="宋体" w:hAnsi="宋体"/>
          <w:sz w:val="24"/>
          <w:szCs w:val="24"/>
        </w:rPr>
      </w:pPr>
      <w:r w:rsidRPr="009737F6">
        <w:rPr>
          <w:rFonts w:ascii="宋体" w:eastAsia="宋体" w:hAnsi="宋体" w:hint="eastAsia"/>
          <w:sz w:val="24"/>
          <w:szCs w:val="24"/>
        </w:rPr>
        <w:t>（二）珠海港</w:t>
      </w:r>
      <w:r w:rsidR="004D0597" w:rsidRPr="009737F6">
        <w:rPr>
          <w:rFonts w:ascii="宋体" w:eastAsia="宋体" w:hAnsi="宋体" w:hint="eastAsia"/>
          <w:sz w:val="24"/>
          <w:szCs w:val="24"/>
        </w:rPr>
        <w:t>的发展积累</w:t>
      </w:r>
      <w:r w:rsidRPr="009737F6">
        <w:rPr>
          <w:rFonts w:ascii="宋体" w:eastAsia="宋体" w:hAnsi="宋体" w:hint="eastAsia"/>
          <w:sz w:val="24"/>
          <w:szCs w:val="24"/>
        </w:rPr>
        <w:t>为融入粤港澳奠定了坚实的基础</w:t>
      </w:r>
    </w:p>
    <w:p w14:paraId="0A8E4DC7" w14:textId="783C2649" w:rsidR="00C118C0" w:rsidRDefault="008801F7" w:rsidP="009737F6">
      <w:pPr>
        <w:spacing w:line="360" w:lineRule="auto"/>
        <w:ind w:firstLineChars="200" w:firstLine="480"/>
        <w:rPr>
          <w:rFonts w:ascii="宋体" w:eastAsia="宋体" w:hAnsi="宋体"/>
          <w:sz w:val="24"/>
          <w:szCs w:val="24"/>
        </w:rPr>
      </w:pPr>
      <w:r w:rsidRPr="009737F6">
        <w:rPr>
          <w:rFonts w:ascii="宋体" w:eastAsia="宋体" w:hAnsi="宋体" w:hint="eastAsia"/>
          <w:sz w:val="24"/>
          <w:szCs w:val="24"/>
        </w:rPr>
        <w:t>2018年，珠海港集团共完成港口货物吞吐量1.25亿吨，完成集装箱吞吐量236.71万TEU</w:t>
      </w:r>
      <w:r w:rsidR="00C118C0" w:rsidRPr="009737F6">
        <w:rPr>
          <w:rFonts w:ascii="宋体" w:eastAsia="宋体" w:hAnsi="宋体" w:hint="eastAsia"/>
          <w:sz w:val="24"/>
          <w:szCs w:val="24"/>
        </w:rPr>
        <w:t>。</w:t>
      </w:r>
      <w:r w:rsidR="009737F6" w:rsidRPr="009737F6">
        <w:rPr>
          <w:rFonts w:ascii="宋体" w:eastAsia="宋体" w:hAnsi="宋体" w:hint="eastAsia"/>
          <w:sz w:val="24"/>
          <w:szCs w:val="24"/>
        </w:rPr>
        <w:t>目前，珠海港集团开通集装箱班轮航线64条，其中，国际航线17条，包括高栏通往日本、越南、南太平洋、台湾以及香港、澳门等国家和地区；在柬埔寨、越南等地设立了海外办事处，为东南亚业务进一步开展打下坚实基础；沿海干线升级优化后共25条，通往海口、日照、厦门、大连等多个全国沿海主要港口。</w:t>
      </w:r>
      <w:r w:rsidR="005D48AB" w:rsidRPr="003856CF">
        <w:rPr>
          <w:rFonts w:ascii="宋体" w:eastAsia="宋体" w:hAnsi="宋体" w:hint="eastAsia"/>
          <w:sz w:val="24"/>
          <w:szCs w:val="24"/>
        </w:rPr>
        <w:t>珠海港</w:t>
      </w:r>
      <w:r w:rsidR="004E7CB6">
        <w:rPr>
          <w:rFonts w:ascii="宋体" w:eastAsia="宋体" w:hAnsi="宋体" w:hint="eastAsia"/>
          <w:sz w:val="24"/>
          <w:szCs w:val="24"/>
        </w:rPr>
        <w:t>发展</w:t>
      </w:r>
      <w:r w:rsidR="005D48AB" w:rsidRPr="003856CF">
        <w:rPr>
          <w:rFonts w:ascii="宋体" w:eastAsia="宋体" w:hAnsi="宋体" w:hint="eastAsia"/>
          <w:sz w:val="24"/>
          <w:szCs w:val="24"/>
        </w:rPr>
        <w:t>已经具有一定规模，</w:t>
      </w:r>
      <w:r w:rsidR="005D48AB">
        <w:rPr>
          <w:rFonts w:ascii="宋体" w:eastAsia="宋体" w:hAnsi="宋体" w:hint="eastAsia"/>
          <w:sz w:val="24"/>
          <w:szCs w:val="24"/>
        </w:rPr>
        <w:t>高栏作为珠海主港区，随着高栏港</w:t>
      </w:r>
      <w:r w:rsidR="005D48AB" w:rsidRPr="003856CF">
        <w:rPr>
          <w:rFonts w:ascii="宋体" w:eastAsia="宋体" w:hAnsi="宋体" w:hint="eastAsia"/>
          <w:sz w:val="24"/>
          <w:szCs w:val="24"/>
        </w:rPr>
        <w:t>10万吨级集装箱码头的投产运营，</w:t>
      </w:r>
      <w:r w:rsidR="005D48AB">
        <w:rPr>
          <w:rFonts w:ascii="宋体" w:eastAsia="宋体" w:hAnsi="宋体" w:hint="eastAsia"/>
          <w:sz w:val="24"/>
          <w:szCs w:val="24"/>
        </w:rPr>
        <w:t>15万吨主航道疏浚工程的竣工，</w:t>
      </w:r>
      <w:r w:rsidR="005D48AB" w:rsidRPr="003856CF">
        <w:rPr>
          <w:rFonts w:ascii="宋体" w:eastAsia="宋体" w:hAnsi="宋体" w:hint="eastAsia"/>
          <w:sz w:val="24"/>
          <w:szCs w:val="24"/>
        </w:rPr>
        <w:t>珠海港进入快速发展阶段。</w:t>
      </w:r>
    </w:p>
    <w:p w14:paraId="323D381B" w14:textId="4FAE8C54" w:rsidR="002213EE" w:rsidRPr="009737F6" w:rsidRDefault="002213EE" w:rsidP="009737F6">
      <w:pPr>
        <w:spacing w:line="360" w:lineRule="auto"/>
        <w:ind w:firstLineChars="200" w:firstLine="480"/>
        <w:rPr>
          <w:rFonts w:ascii="宋体" w:eastAsia="宋体" w:hAnsi="宋体"/>
          <w:sz w:val="24"/>
          <w:szCs w:val="24"/>
        </w:rPr>
      </w:pPr>
      <w:r w:rsidRPr="009737F6">
        <w:rPr>
          <w:rFonts w:ascii="宋体" w:eastAsia="宋体" w:hAnsi="宋体" w:hint="eastAsia"/>
          <w:sz w:val="24"/>
          <w:szCs w:val="24"/>
        </w:rPr>
        <w:t>（</w:t>
      </w:r>
      <w:r w:rsidR="004D0597" w:rsidRPr="009737F6">
        <w:rPr>
          <w:rFonts w:ascii="宋体" w:eastAsia="宋体" w:hAnsi="宋体" w:hint="eastAsia"/>
          <w:sz w:val="24"/>
          <w:szCs w:val="24"/>
        </w:rPr>
        <w:t>三</w:t>
      </w:r>
      <w:r w:rsidRPr="009737F6">
        <w:rPr>
          <w:rFonts w:ascii="宋体" w:eastAsia="宋体" w:hAnsi="宋体" w:hint="eastAsia"/>
          <w:sz w:val="24"/>
          <w:szCs w:val="24"/>
        </w:rPr>
        <w:t>）港口资源整合</w:t>
      </w:r>
      <w:r w:rsidR="004A5FEC" w:rsidRPr="009737F6">
        <w:rPr>
          <w:rFonts w:ascii="宋体" w:eastAsia="宋体" w:hAnsi="宋体" w:hint="eastAsia"/>
          <w:sz w:val="24"/>
          <w:szCs w:val="24"/>
        </w:rPr>
        <w:t>的大趋势</w:t>
      </w:r>
      <w:r w:rsidR="001F439D" w:rsidRPr="009737F6">
        <w:rPr>
          <w:rFonts w:ascii="宋体" w:eastAsia="宋体" w:hAnsi="宋体" w:hint="eastAsia"/>
          <w:sz w:val="24"/>
          <w:szCs w:val="24"/>
        </w:rPr>
        <w:t>为</w:t>
      </w:r>
      <w:r w:rsidRPr="009737F6">
        <w:rPr>
          <w:rFonts w:ascii="宋体" w:eastAsia="宋体" w:hAnsi="宋体" w:hint="eastAsia"/>
          <w:sz w:val="24"/>
          <w:szCs w:val="24"/>
        </w:rPr>
        <w:t>珠海港</w:t>
      </w:r>
      <w:r w:rsidR="004D0597" w:rsidRPr="009737F6">
        <w:rPr>
          <w:rFonts w:ascii="宋体" w:eastAsia="宋体" w:hAnsi="宋体" w:hint="eastAsia"/>
          <w:sz w:val="24"/>
          <w:szCs w:val="24"/>
        </w:rPr>
        <w:t>注入了发展动力</w:t>
      </w:r>
    </w:p>
    <w:p w14:paraId="3A82C35F" w14:textId="4BD9E87A" w:rsidR="00E55BF9" w:rsidRPr="009737F6" w:rsidRDefault="00E55BF9" w:rsidP="009737F6">
      <w:pPr>
        <w:spacing w:line="360" w:lineRule="auto"/>
        <w:ind w:firstLineChars="200" w:firstLine="480"/>
        <w:rPr>
          <w:rFonts w:ascii="宋体" w:eastAsia="宋体" w:hAnsi="宋体"/>
          <w:sz w:val="24"/>
          <w:szCs w:val="24"/>
        </w:rPr>
      </w:pPr>
      <w:r w:rsidRPr="009737F6">
        <w:rPr>
          <w:rFonts w:ascii="宋体" w:eastAsia="宋体" w:hAnsi="宋体" w:hint="eastAsia"/>
          <w:sz w:val="24"/>
          <w:szCs w:val="24"/>
        </w:rPr>
        <w:t>粤港澳发展规划纲要指出，</w:t>
      </w:r>
      <w:r w:rsidR="009A3E01" w:rsidRPr="009737F6">
        <w:rPr>
          <w:rFonts w:ascii="宋体" w:eastAsia="宋体" w:hAnsi="宋体" w:hint="eastAsia"/>
          <w:sz w:val="24"/>
          <w:szCs w:val="24"/>
        </w:rPr>
        <w:t>支持粤港澳加强合作，共同参与“一带一路”建设，</w:t>
      </w:r>
      <w:r w:rsidRPr="009737F6">
        <w:rPr>
          <w:rFonts w:ascii="宋体" w:eastAsia="宋体" w:hAnsi="宋体" w:hint="eastAsia"/>
          <w:sz w:val="24"/>
          <w:szCs w:val="24"/>
        </w:rPr>
        <w:t>加强粤港澳港口国际合作，建设区域性港口联盟。</w:t>
      </w:r>
      <w:r w:rsidR="009A3E01" w:rsidRPr="009737F6">
        <w:rPr>
          <w:rFonts w:ascii="宋体" w:eastAsia="宋体" w:hAnsi="宋体" w:hint="eastAsia"/>
          <w:sz w:val="24"/>
          <w:szCs w:val="24"/>
        </w:rPr>
        <w:t>纵观近几年国内港口的发展，</w:t>
      </w:r>
      <w:r w:rsidR="009A3E01" w:rsidRPr="009737F6">
        <w:rPr>
          <w:rFonts w:ascii="宋体" w:eastAsia="宋体" w:hAnsi="宋体"/>
          <w:sz w:val="24"/>
          <w:szCs w:val="24"/>
        </w:rPr>
        <w:t>宁波-舟山港、温州港、</w:t>
      </w:r>
      <w:proofErr w:type="gramStart"/>
      <w:r w:rsidR="009A3E01" w:rsidRPr="009737F6">
        <w:rPr>
          <w:rFonts w:ascii="宋体" w:eastAsia="宋体" w:hAnsi="宋体"/>
          <w:sz w:val="24"/>
          <w:szCs w:val="24"/>
        </w:rPr>
        <w:t>台州港</w:t>
      </w:r>
      <w:proofErr w:type="gramEnd"/>
      <w:r w:rsidR="009A3E01" w:rsidRPr="009737F6">
        <w:rPr>
          <w:rFonts w:ascii="宋体" w:eastAsia="宋体" w:hAnsi="宋体"/>
          <w:sz w:val="24"/>
          <w:szCs w:val="24"/>
        </w:rPr>
        <w:t>等港口</w:t>
      </w:r>
      <w:r w:rsidR="002368D9" w:rsidRPr="009737F6">
        <w:rPr>
          <w:rFonts w:ascii="宋体" w:eastAsia="宋体" w:hAnsi="宋体" w:hint="eastAsia"/>
          <w:sz w:val="24"/>
          <w:szCs w:val="24"/>
        </w:rPr>
        <w:t>已</w:t>
      </w:r>
      <w:r w:rsidR="009A3E01" w:rsidRPr="009737F6">
        <w:rPr>
          <w:rFonts w:ascii="宋体" w:eastAsia="宋体" w:hAnsi="宋体"/>
          <w:sz w:val="24"/>
          <w:szCs w:val="24"/>
        </w:rPr>
        <w:t>实现整合和统一运营。2016年，天津港集团与</w:t>
      </w:r>
      <w:proofErr w:type="gramStart"/>
      <w:r w:rsidR="009A3E01" w:rsidRPr="009737F6">
        <w:rPr>
          <w:rFonts w:ascii="宋体" w:eastAsia="宋体" w:hAnsi="宋体"/>
          <w:sz w:val="24"/>
          <w:szCs w:val="24"/>
        </w:rPr>
        <w:t>唐山港</w:t>
      </w:r>
      <w:proofErr w:type="gramEnd"/>
      <w:r w:rsidR="009A3E01" w:rsidRPr="009737F6">
        <w:rPr>
          <w:rFonts w:ascii="宋体" w:eastAsia="宋体" w:hAnsi="宋体"/>
          <w:sz w:val="24"/>
          <w:szCs w:val="24"/>
        </w:rPr>
        <w:t>集团共同出资组建唐山集装箱码头有</w:t>
      </w:r>
      <w:bookmarkStart w:id="0" w:name="_GoBack"/>
      <w:bookmarkEnd w:id="0"/>
      <w:r w:rsidR="009A3E01" w:rsidRPr="009737F6">
        <w:rPr>
          <w:rFonts w:ascii="宋体" w:eastAsia="宋体" w:hAnsi="宋体"/>
          <w:sz w:val="24"/>
          <w:szCs w:val="24"/>
        </w:rPr>
        <w:t>限公司</w:t>
      </w:r>
      <w:r w:rsidR="009A3E01" w:rsidRPr="009737F6">
        <w:rPr>
          <w:rFonts w:ascii="宋体" w:eastAsia="宋体" w:hAnsi="宋体" w:hint="eastAsia"/>
          <w:sz w:val="24"/>
          <w:szCs w:val="24"/>
        </w:rPr>
        <w:t>，</w:t>
      </w:r>
      <w:r w:rsidR="009A3E01" w:rsidRPr="009737F6">
        <w:rPr>
          <w:rFonts w:ascii="宋体" w:eastAsia="宋体" w:hAnsi="宋体"/>
          <w:sz w:val="24"/>
          <w:szCs w:val="24"/>
        </w:rPr>
        <w:t>海南省人民政府发布《海南省港口资源整合方案》，提出重点整合“四方五港”。2017年，江苏省港口集团有限公司成立，将省内八大国有港口企业纳入旗下。</w:t>
      </w:r>
      <w:r w:rsidR="009A3E01" w:rsidRPr="009737F6">
        <w:rPr>
          <w:rFonts w:ascii="宋体" w:eastAsia="宋体" w:hAnsi="宋体" w:hint="eastAsia"/>
          <w:sz w:val="24"/>
          <w:szCs w:val="24"/>
        </w:rPr>
        <w:t>广东省为推进港口资源整合，初步提出以广州港集团、深圳港集团为两大主体，分区域整合省内国有港口资产。通过整合，避免省内港口间的恶性竞争，促进港口资源的优化配置，助力粤港澳大湾区航运经济协同一体化发展。在此次港口资源整合的背景下，珠海港所处的竞争环境会在一定程度上得到</w:t>
      </w:r>
      <w:r w:rsidR="00F353D0" w:rsidRPr="009737F6">
        <w:rPr>
          <w:rFonts w:ascii="宋体" w:eastAsia="宋体" w:hAnsi="宋体" w:hint="eastAsia"/>
          <w:sz w:val="24"/>
          <w:szCs w:val="24"/>
        </w:rPr>
        <w:t>改善，同样也对珠海港为在整合环境下的竞争力提出了更高的要求。</w:t>
      </w:r>
    </w:p>
    <w:p w14:paraId="3E65A6E2" w14:textId="55B22CCA" w:rsidR="00AE696A" w:rsidRPr="00E509A9" w:rsidRDefault="00BF6279" w:rsidP="00257CA9">
      <w:pPr>
        <w:pStyle w:val="a3"/>
        <w:numPr>
          <w:ilvl w:val="0"/>
          <w:numId w:val="1"/>
        </w:numPr>
        <w:spacing w:line="360" w:lineRule="auto"/>
        <w:ind w:firstLineChars="0"/>
        <w:rPr>
          <w:rFonts w:ascii="宋体" w:eastAsia="宋体" w:hAnsi="宋体"/>
          <w:b/>
          <w:bCs/>
          <w:sz w:val="24"/>
          <w:szCs w:val="24"/>
        </w:rPr>
      </w:pPr>
      <w:r w:rsidRPr="00E509A9">
        <w:rPr>
          <w:rFonts w:ascii="宋体" w:eastAsia="宋体" w:hAnsi="宋体" w:hint="eastAsia"/>
          <w:b/>
          <w:bCs/>
          <w:sz w:val="24"/>
          <w:szCs w:val="24"/>
        </w:rPr>
        <w:t>珠海港保税</w:t>
      </w:r>
      <w:r w:rsidR="009F7760" w:rsidRPr="00E509A9">
        <w:rPr>
          <w:rFonts w:ascii="宋体" w:eastAsia="宋体" w:hAnsi="宋体" w:hint="eastAsia"/>
          <w:b/>
          <w:bCs/>
          <w:sz w:val="24"/>
          <w:szCs w:val="24"/>
        </w:rPr>
        <w:t>物流</w:t>
      </w:r>
      <w:r w:rsidRPr="00E509A9">
        <w:rPr>
          <w:rFonts w:ascii="宋体" w:eastAsia="宋体" w:hAnsi="宋体" w:hint="eastAsia"/>
          <w:b/>
          <w:bCs/>
          <w:sz w:val="24"/>
          <w:szCs w:val="24"/>
        </w:rPr>
        <w:t>的</w:t>
      </w:r>
      <w:r w:rsidR="00F50F9B" w:rsidRPr="00E509A9">
        <w:rPr>
          <w:rFonts w:ascii="宋体" w:eastAsia="宋体" w:hAnsi="宋体" w:hint="eastAsia"/>
          <w:b/>
          <w:bCs/>
          <w:sz w:val="24"/>
          <w:szCs w:val="24"/>
        </w:rPr>
        <w:t>发展现状</w:t>
      </w:r>
    </w:p>
    <w:p w14:paraId="4919534E" w14:textId="50B8F705" w:rsidR="009F7760" w:rsidRPr="001571FF" w:rsidRDefault="001571FF" w:rsidP="00257CA9">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009F7760" w:rsidRPr="001571FF">
        <w:rPr>
          <w:rFonts w:ascii="宋体" w:eastAsia="宋体" w:hAnsi="宋体" w:hint="eastAsia"/>
          <w:sz w:val="24"/>
          <w:szCs w:val="24"/>
        </w:rPr>
        <w:t>珠海港高栏港区保税功能薄弱</w:t>
      </w:r>
    </w:p>
    <w:p w14:paraId="1CAFA129" w14:textId="445138DF" w:rsidR="009F7760" w:rsidRDefault="009F7760" w:rsidP="00257CA9">
      <w:pPr>
        <w:spacing w:line="360" w:lineRule="auto"/>
        <w:ind w:firstLineChars="200" w:firstLine="480"/>
        <w:rPr>
          <w:rFonts w:ascii="宋体" w:eastAsia="宋体" w:hAnsi="宋体"/>
          <w:sz w:val="24"/>
          <w:szCs w:val="24"/>
        </w:rPr>
      </w:pPr>
      <w:r w:rsidRPr="009F7760">
        <w:rPr>
          <w:rFonts w:ascii="宋体" w:eastAsia="宋体" w:hAnsi="宋体" w:hint="eastAsia"/>
          <w:sz w:val="24"/>
          <w:szCs w:val="24"/>
        </w:rPr>
        <w:t>珠海市现</w:t>
      </w:r>
      <w:r>
        <w:rPr>
          <w:rFonts w:ascii="宋体" w:eastAsia="宋体" w:hAnsi="宋体" w:hint="eastAsia"/>
          <w:sz w:val="24"/>
          <w:szCs w:val="24"/>
        </w:rPr>
        <w:t>存</w:t>
      </w:r>
      <w:r w:rsidRPr="009F7760">
        <w:rPr>
          <w:rFonts w:ascii="宋体" w:eastAsia="宋体" w:hAnsi="宋体" w:hint="eastAsia"/>
          <w:sz w:val="24"/>
          <w:szCs w:val="24"/>
        </w:rPr>
        <w:t>珠海保税区、珠澳跨境工业区、横琴新区自贸试验片区三个海关特殊监管区域</w:t>
      </w:r>
      <w:r w:rsidR="00F2704C">
        <w:rPr>
          <w:rFonts w:ascii="宋体" w:eastAsia="宋体" w:hAnsi="宋体" w:hint="eastAsia"/>
          <w:sz w:val="24"/>
          <w:szCs w:val="24"/>
        </w:rPr>
        <w:t>，珠海港作为珠海市“以港立市”的承载主体，目前尚未规划建设</w:t>
      </w:r>
      <w:r w:rsidR="00F2704C">
        <w:rPr>
          <w:rFonts w:ascii="宋体" w:eastAsia="宋体" w:hAnsi="宋体" w:hint="eastAsia"/>
          <w:sz w:val="24"/>
          <w:szCs w:val="24"/>
        </w:rPr>
        <w:lastRenderedPageBreak/>
        <w:t>综合保税区。</w:t>
      </w:r>
      <w:r w:rsidRPr="009F7760">
        <w:rPr>
          <w:rFonts w:ascii="宋体" w:eastAsia="宋体" w:hAnsi="宋体" w:hint="eastAsia"/>
          <w:sz w:val="24"/>
          <w:szCs w:val="24"/>
        </w:rPr>
        <w:t>珠海港位于珠江口西部，是珠江口西部最主要的深水良港</w:t>
      </w:r>
      <w:r>
        <w:rPr>
          <w:rFonts w:ascii="宋体" w:eastAsia="宋体" w:hAnsi="宋体" w:hint="eastAsia"/>
          <w:sz w:val="24"/>
          <w:szCs w:val="24"/>
        </w:rPr>
        <w:t>，是</w:t>
      </w:r>
      <w:r w:rsidRPr="009F7760">
        <w:rPr>
          <w:rFonts w:ascii="宋体" w:eastAsia="宋体" w:hAnsi="宋体" w:hint="eastAsia"/>
          <w:sz w:val="24"/>
          <w:szCs w:val="24"/>
        </w:rPr>
        <w:t>华南地区枢纽港，具有不可替代的地位。</w:t>
      </w:r>
      <w:r w:rsidRPr="003856CF">
        <w:rPr>
          <w:rFonts w:ascii="宋体" w:eastAsia="宋体" w:hAnsi="宋体" w:hint="eastAsia"/>
          <w:sz w:val="24"/>
          <w:szCs w:val="24"/>
        </w:rPr>
        <w:t>但现阶段珠海港的港口保税</w:t>
      </w:r>
      <w:r w:rsidR="00F2704C">
        <w:rPr>
          <w:rFonts w:ascii="宋体" w:eastAsia="宋体" w:hAnsi="宋体" w:hint="eastAsia"/>
          <w:sz w:val="24"/>
          <w:szCs w:val="24"/>
        </w:rPr>
        <w:t>区域仅局限在货主保税仓，</w:t>
      </w:r>
      <w:r w:rsidRPr="003856CF">
        <w:rPr>
          <w:rFonts w:ascii="宋体" w:eastAsia="宋体" w:hAnsi="宋体" w:hint="eastAsia"/>
          <w:sz w:val="24"/>
          <w:szCs w:val="24"/>
        </w:rPr>
        <w:t>物流服务功能仍然局限于传统的集装箱装卸、运输、仓储、堆存、报关报检、船代、货代等基本物流服务</w:t>
      </w:r>
      <w:r w:rsidR="00F2704C">
        <w:rPr>
          <w:rFonts w:ascii="宋体" w:eastAsia="宋体" w:hAnsi="宋体" w:hint="eastAsia"/>
          <w:sz w:val="24"/>
          <w:szCs w:val="24"/>
        </w:rPr>
        <w:t>，</w:t>
      </w:r>
      <w:r w:rsidRPr="003856CF">
        <w:rPr>
          <w:rFonts w:ascii="宋体" w:eastAsia="宋体" w:hAnsi="宋体" w:hint="eastAsia"/>
          <w:sz w:val="24"/>
          <w:szCs w:val="24"/>
        </w:rPr>
        <w:t>全程物流、保税加工、贸易展示、跨国采购、物流金融、信息服务等增值物流服务功能仍十分薄弱，</w:t>
      </w:r>
      <w:r w:rsidR="00CF61F0" w:rsidRPr="009F7760">
        <w:rPr>
          <w:rFonts w:ascii="宋体" w:eastAsia="宋体" w:hAnsi="宋体" w:hint="eastAsia"/>
          <w:sz w:val="24"/>
          <w:szCs w:val="24"/>
        </w:rPr>
        <w:t>使珠海作为核心城市、交通枢纽城市和现代化区域中心城市的辐射、带动和服务功能与作用不能充分发挥</w:t>
      </w:r>
      <w:r w:rsidRPr="003856CF">
        <w:rPr>
          <w:rFonts w:ascii="宋体" w:eastAsia="宋体" w:hAnsi="宋体" w:hint="eastAsia"/>
          <w:sz w:val="24"/>
          <w:szCs w:val="24"/>
        </w:rPr>
        <w:t>。</w:t>
      </w:r>
    </w:p>
    <w:p w14:paraId="42A6088B" w14:textId="348C3962" w:rsidR="006E5249" w:rsidRPr="004E7CB6" w:rsidRDefault="006E5249" w:rsidP="00257CA9">
      <w:pPr>
        <w:spacing w:line="360" w:lineRule="auto"/>
        <w:ind w:firstLineChars="200" w:firstLine="480"/>
        <w:rPr>
          <w:rFonts w:ascii="宋体" w:eastAsia="宋体" w:hAnsi="宋体"/>
          <w:sz w:val="24"/>
          <w:szCs w:val="24"/>
        </w:rPr>
      </w:pPr>
      <w:r w:rsidRPr="004E7CB6">
        <w:rPr>
          <w:rFonts w:ascii="宋体" w:eastAsia="宋体" w:hAnsi="宋体" w:hint="eastAsia"/>
          <w:sz w:val="24"/>
          <w:szCs w:val="24"/>
        </w:rPr>
        <w:t>（二）珠海港货量有待于进一步提升</w:t>
      </w:r>
    </w:p>
    <w:p w14:paraId="42A57E3D" w14:textId="01CB19AA" w:rsidR="00C36C92" w:rsidRDefault="006E5249" w:rsidP="00257CA9">
      <w:pPr>
        <w:spacing w:line="360" w:lineRule="auto"/>
        <w:ind w:firstLineChars="200" w:firstLine="480"/>
        <w:rPr>
          <w:rFonts w:ascii="宋体" w:eastAsia="宋体" w:hAnsi="宋体"/>
          <w:sz w:val="24"/>
          <w:szCs w:val="24"/>
        </w:rPr>
      </w:pPr>
      <w:r w:rsidRPr="004E7CB6">
        <w:rPr>
          <w:rFonts w:ascii="宋体" w:eastAsia="宋体" w:hAnsi="宋体" w:hint="eastAsia"/>
          <w:sz w:val="24"/>
          <w:szCs w:val="24"/>
        </w:rPr>
        <w:t>“十二五”期间，珠海港成功实现了亿吨大港的突破，在珠三角港口群中的货物吞吐量占比逐年上升。截至</w:t>
      </w:r>
      <w:r w:rsidRPr="004E7CB6">
        <w:rPr>
          <w:rFonts w:ascii="宋体" w:eastAsia="宋体" w:hAnsi="宋体"/>
          <w:sz w:val="24"/>
          <w:szCs w:val="24"/>
        </w:rPr>
        <w:t>201</w:t>
      </w:r>
      <w:r w:rsidRPr="004E7CB6">
        <w:rPr>
          <w:rFonts w:ascii="宋体" w:eastAsia="宋体" w:hAnsi="宋体" w:hint="eastAsia"/>
          <w:sz w:val="24"/>
          <w:szCs w:val="24"/>
        </w:rPr>
        <w:t>8</w:t>
      </w:r>
      <w:r w:rsidRPr="004E7CB6">
        <w:rPr>
          <w:rFonts w:ascii="宋体" w:eastAsia="宋体" w:hAnsi="宋体"/>
          <w:sz w:val="24"/>
          <w:szCs w:val="24"/>
        </w:rPr>
        <w:t>年，珠海港完成货物吞吐量</w:t>
      </w:r>
      <w:r w:rsidRPr="004E7CB6">
        <w:rPr>
          <w:rFonts w:ascii="宋体" w:eastAsia="宋体" w:hAnsi="宋体" w:hint="eastAsia"/>
          <w:sz w:val="24"/>
          <w:szCs w:val="24"/>
        </w:rPr>
        <w:t>1.25亿吨</w:t>
      </w:r>
      <w:r w:rsidR="004E7CB6" w:rsidRPr="004E7CB6">
        <w:rPr>
          <w:rFonts w:ascii="宋体" w:eastAsia="宋体" w:hAnsi="宋体" w:hint="eastAsia"/>
          <w:sz w:val="24"/>
          <w:szCs w:val="24"/>
        </w:rPr>
        <w:t>，</w:t>
      </w:r>
      <w:r w:rsidRPr="004E7CB6">
        <w:rPr>
          <w:rFonts w:ascii="宋体" w:eastAsia="宋体" w:hAnsi="宋体" w:hint="eastAsia"/>
          <w:sz w:val="24"/>
          <w:szCs w:val="24"/>
        </w:rPr>
        <w:t>完成集装箱吞吐量236.71万TEU。但粤港澳大湾</w:t>
      </w:r>
      <w:r w:rsidRPr="009018DD">
        <w:rPr>
          <w:rFonts w:ascii="宋体" w:eastAsia="宋体" w:hAnsi="宋体" w:hint="eastAsia"/>
          <w:sz w:val="24"/>
          <w:szCs w:val="24"/>
        </w:rPr>
        <w:t>区内港口众多，包括香港港、深圳港、广州港、珠海港、虎门港、江门港、中山港等，区域港口间地理</w:t>
      </w:r>
      <w:r w:rsidRPr="004E7CB6">
        <w:rPr>
          <w:rFonts w:ascii="宋体" w:eastAsia="宋体" w:hAnsi="宋体" w:hint="eastAsia"/>
          <w:sz w:val="24"/>
          <w:szCs w:val="24"/>
        </w:rPr>
        <w:t>位置毗邻，港口腹地虽各有侧重，但基本重叠，</w:t>
      </w:r>
      <w:proofErr w:type="gramStart"/>
      <w:r w:rsidRPr="004E7CB6">
        <w:rPr>
          <w:rFonts w:ascii="宋体" w:eastAsia="宋体" w:hAnsi="宋体" w:hint="eastAsia"/>
          <w:sz w:val="24"/>
          <w:szCs w:val="24"/>
        </w:rPr>
        <w:t>故湾区内</w:t>
      </w:r>
      <w:proofErr w:type="gramEnd"/>
      <w:r w:rsidRPr="004E7CB6">
        <w:rPr>
          <w:rFonts w:ascii="宋体" w:eastAsia="宋体" w:hAnsi="宋体" w:hint="eastAsia"/>
          <w:sz w:val="24"/>
          <w:szCs w:val="24"/>
        </w:rPr>
        <w:t>货源竞争异常激烈。珠海港货量相对于香港港、深圳港、广州港等港口货量仍显不足，这是制约珠海港保税物流发展的一大重要因素。</w:t>
      </w:r>
    </w:p>
    <w:p w14:paraId="2290CDD1" w14:textId="11E35343" w:rsidR="0016774E" w:rsidRDefault="0016774E" w:rsidP="0016774E">
      <w:pPr>
        <w:spacing w:line="360" w:lineRule="auto"/>
        <w:jc w:val="center"/>
        <w:rPr>
          <w:rFonts w:ascii="宋体" w:eastAsia="宋体" w:hAnsi="宋体"/>
          <w:sz w:val="18"/>
          <w:szCs w:val="18"/>
        </w:rPr>
      </w:pPr>
      <w:r>
        <w:rPr>
          <w:rFonts w:hint="eastAsia"/>
          <w:noProof/>
          <w:sz w:val="22"/>
          <w:szCs w:val="24"/>
        </w:rPr>
        <w:drawing>
          <wp:inline distT="0" distB="0" distL="114300" distR="114300" wp14:anchorId="58FDF6F3" wp14:editId="45F35661">
            <wp:extent cx="4977130" cy="2929255"/>
            <wp:effectExtent l="0" t="0" r="13970" b="444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211540" w14:textId="28347CAE" w:rsidR="00C36C92" w:rsidRPr="009018DD" w:rsidRDefault="009018DD" w:rsidP="0016774E">
      <w:pPr>
        <w:spacing w:line="360" w:lineRule="auto"/>
        <w:jc w:val="center"/>
        <w:rPr>
          <w:rFonts w:ascii="宋体" w:eastAsia="宋体" w:hAnsi="宋体"/>
          <w:sz w:val="18"/>
          <w:szCs w:val="18"/>
        </w:rPr>
      </w:pPr>
      <w:r>
        <w:rPr>
          <w:rFonts w:ascii="宋体" w:eastAsia="宋体" w:hAnsi="宋体" w:hint="eastAsia"/>
          <w:sz w:val="18"/>
          <w:szCs w:val="18"/>
        </w:rPr>
        <w:t>图1</w:t>
      </w:r>
      <w:r>
        <w:rPr>
          <w:rFonts w:ascii="宋体" w:eastAsia="宋体" w:hAnsi="宋体"/>
          <w:sz w:val="18"/>
          <w:szCs w:val="18"/>
        </w:rPr>
        <w:t xml:space="preserve"> </w:t>
      </w:r>
      <w:r w:rsidRPr="009018DD">
        <w:rPr>
          <w:rFonts w:ascii="宋体" w:eastAsia="宋体" w:hAnsi="宋体" w:hint="eastAsia"/>
          <w:sz w:val="18"/>
          <w:szCs w:val="18"/>
        </w:rPr>
        <w:t>粤港澳大湾区内主要港口货物吞吐量</w:t>
      </w:r>
    </w:p>
    <w:p w14:paraId="60325C9B" w14:textId="062E6C90" w:rsidR="003A49A9" w:rsidRPr="006E5249" w:rsidRDefault="006E5249" w:rsidP="00257CA9">
      <w:pPr>
        <w:spacing w:line="360" w:lineRule="auto"/>
        <w:ind w:firstLineChars="200" w:firstLine="480"/>
        <w:rPr>
          <w:rFonts w:ascii="宋体" w:eastAsia="宋体" w:hAnsi="宋体"/>
          <w:sz w:val="24"/>
          <w:szCs w:val="24"/>
        </w:rPr>
      </w:pPr>
      <w:r>
        <w:rPr>
          <w:rFonts w:ascii="宋体" w:eastAsia="宋体" w:hAnsi="宋体" w:hint="eastAsia"/>
          <w:sz w:val="24"/>
          <w:szCs w:val="24"/>
        </w:rPr>
        <w:t>（三）</w:t>
      </w:r>
      <w:r w:rsidR="003A49A9" w:rsidRPr="006E5249">
        <w:rPr>
          <w:rFonts w:ascii="宋体" w:eastAsia="宋体" w:hAnsi="宋体" w:hint="eastAsia"/>
          <w:sz w:val="24"/>
          <w:szCs w:val="24"/>
        </w:rPr>
        <w:t>珠海港区港联动有待于进一步加强</w:t>
      </w:r>
    </w:p>
    <w:p w14:paraId="11E376E8" w14:textId="77777777" w:rsidR="0006728A" w:rsidRPr="003856CF" w:rsidRDefault="0006728A" w:rsidP="00257CA9">
      <w:pPr>
        <w:spacing w:line="360" w:lineRule="auto"/>
        <w:ind w:firstLineChars="200" w:firstLine="480"/>
        <w:rPr>
          <w:rFonts w:ascii="宋体" w:eastAsia="宋体" w:hAnsi="宋体"/>
          <w:sz w:val="24"/>
          <w:szCs w:val="24"/>
        </w:rPr>
      </w:pPr>
      <w:r w:rsidRPr="003856CF">
        <w:rPr>
          <w:rFonts w:ascii="宋体" w:eastAsia="宋体" w:hAnsi="宋体" w:hint="eastAsia"/>
          <w:sz w:val="24"/>
          <w:szCs w:val="24"/>
        </w:rPr>
        <w:t>粤港澳大湾区经济一体化，离不开保税物流和各种要素的便捷流动。海关的制度创新为保税物流和各种要素在珠三角的便捷流动创造了条件。纵观粤港澳大</w:t>
      </w:r>
      <w:r w:rsidRPr="003856CF">
        <w:rPr>
          <w:rFonts w:ascii="宋体" w:eastAsia="宋体" w:hAnsi="宋体" w:hint="eastAsia"/>
          <w:sz w:val="24"/>
          <w:szCs w:val="24"/>
        </w:rPr>
        <w:lastRenderedPageBreak/>
        <w:t>湾区内保税物流十分发达的香港港、广州南沙港、深圳盐田港等港口，都是通过港区与保税区功能的叠加，区港联动实现港口跨越式发展。而珠海港目前保税物流的功能局限于仓储等基础物流功能，港口物流功能与保税区、自贸区保税功能难以有效融合，区港联动政策及措施十分不足，不利于珠海市港航物流产业转型发展、粤港澳大湾区保税物流等各种要素的便捷流动及粤港澳大湾区经济一体化。</w:t>
      </w:r>
    </w:p>
    <w:p w14:paraId="5AA16F36" w14:textId="2609E9DE" w:rsidR="0032564A" w:rsidRPr="006E5249" w:rsidRDefault="0044544A" w:rsidP="00257CA9">
      <w:pPr>
        <w:pStyle w:val="a3"/>
        <w:numPr>
          <w:ilvl w:val="0"/>
          <w:numId w:val="7"/>
        </w:numPr>
        <w:spacing w:line="360" w:lineRule="auto"/>
        <w:ind w:firstLineChars="0"/>
        <w:rPr>
          <w:rFonts w:ascii="宋体" w:eastAsia="宋体" w:hAnsi="宋体"/>
          <w:sz w:val="24"/>
          <w:szCs w:val="24"/>
        </w:rPr>
      </w:pPr>
      <w:r w:rsidRPr="006E5249">
        <w:rPr>
          <w:rFonts w:ascii="宋体" w:eastAsia="宋体" w:hAnsi="宋体" w:hint="eastAsia"/>
          <w:sz w:val="24"/>
          <w:szCs w:val="24"/>
        </w:rPr>
        <w:t>珠海港保税物流服务能力与管理水平有待于提高</w:t>
      </w:r>
    </w:p>
    <w:p w14:paraId="3B30DEFF" w14:textId="77777777" w:rsidR="0006728A" w:rsidRPr="003856CF" w:rsidRDefault="0006728A" w:rsidP="00257CA9">
      <w:pPr>
        <w:spacing w:line="360" w:lineRule="auto"/>
        <w:ind w:firstLineChars="200" w:firstLine="480"/>
        <w:rPr>
          <w:rFonts w:ascii="宋体" w:eastAsia="宋体" w:hAnsi="宋体"/>
          <w:sz w:val="24"/>
          <w:szCs w:val="24"/>
        </w:rPr>
      </w:pPr>
      <w:r w:rsidRPr="003856CF">
        <w:rPr>
          <w:rFonts w:ascii="宋体" w:eastAsia="宋体" w:hAnsi="宋体" w:hint="eastAsia"/>
          <w:sz w:val="24"/>
          <w:szCs w:val="24"/>
        </w:rPr>
        <w:t>由于珠海港保税物流功能薄弱，保税物流服务能力十分不足，保税物流管理理念及管理水平不高，己经成为制约其进一步发展的重要因素，难以为珠江口西部地区的物流提供更便捷便宜的保税物流服务。目前粤港澳大湾区仅在珠三角中心、珠江口东岸有两个保税港区，珠江口西岸保税物流亟须大力发展，以便形成互动，利用保税监管的制度创新，促进保税物流和各种要素的在珠三角区域便捷流动。</w:t>
      </w:r>
    </w:p>
    <w:p w14:paraId="7E15EC1C" w14:textId="58D5066A" w:rsidR="00F50F9B" w:rsidRPr="00E509A9" w:rsidRDefault="00F50F9B" w:rsidP="009737F6">
      <w:pPr>
        <w:pStyle w:val="a3"/>
        <w:numPr>
          <w:ilvl w:val="0"/>
          <w:numId w:val="1"/>
        </w:numPr>
        <w:spacing w:line="360" w:lineRule="auto"/>
        <w:ind w:firstLineChars="0"/>
        <w:rPr>
          <w:rFonts w:ascii="宋体" w:eastAsia="宋体" w:hAnsi="宋体"/>
          <w:b/>
          <w:bCs/>
          <w:sz w:val="24"/>
          <w:szCs w:val="24"/>
        </w:rPr>
      </w:pPr>
      <w:r w:rsidRPr="00E509A9">
        <w:rPr>
          <w:rFonts w:ascii="宋体" w:eastAsia="宋体" w:hAnsi="宋体" w:hint="eastAsia"/>
          <w:b/>
          <w:bCs/>
          <w:sz w:val="24"/>
          <w:szCs w:val="24"/>
        </w:rPr>
        <w:t>珠海港</w:t>
      </w:r>
      <w:r w:rsidR="002D00D7" w:rsidRPr="00E509A9">
        <w:rPr>
          <w:rFonts w:ascii="宋体" w:eastAsia="宋体" w:hAnsi="宋体" w:hint="eastAsia"/>
          <w:b/>
          <w:bCs/>
          <w:sz w:val="24"/>
          <w:szCs w:val="24"/>
        </w:rPr>
        <w:t>保税物流</w:t>
      </w:r>
      <w:r w:rsidRPr="00E509A9">
        <w:rPr>
          <w:rFonts w:ascii="宋体" w:eastAsia="宋体" w:hAnsi="宋体" w:hint="eastAsia"/>
          <w:b/>
          <w:bCs/>
          <w:sz w:val="24"/>
          <w:szCs w:val="24"/>
        </w:rPr>
        <w:t>发展的建议</w:t>
      </w:r>
    </w:p>
    <w:p w14:paraId="4333A4E5" w14:textId="4B83A1AF" w:rsidR="0044544A" w:rsidRPr="004D0597" w:rsidRDefault="004D0597" w:rsidP="009737F6">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0044544A" w:rsidRPr="004D0597">
        <w:rPr>
          <w:rFonts w:ascii="宋体" w:eastAsia="宋体" w:hAnsi="宋体" w:hint="eastAsia"/>
          <w:sz w:val="24"/>
          <w:szCs w:val="24"/>
        </w:rPr>
        <w:t>积极对接国家战略，拓展港口货源腹地</w:t>
      </w:r>
    </w:p>
    <w:p w14:paraId="4F529BB3" w14:textId="0ED02F51" w:rsidR="0044544A" w:rsidRPr="003856CF" w:rsidRDefault="0044544A" w:rsidP="009737F6">
      <w:pPr>
        <w:snapToGrid w:val="0"/>
        <w:spacing w:line="360" w:lineRule="auto"/>
        <w:ind w:firstLineChars="200" w:firstLine="480"/>
        <w:rPr>
          <w:rFonts w:ascii="宋体" w:eastAsia="宋体" w:hAnsi="宋体"/>
          <w:sz w:val="24"/>
          <w:szCs w:val="24"/>
        </w:rPr>
      </w:pPr>
      <w:r w:rsidRPr="003856CF">
        <w:rPr>
          <w:rFonts w:ascii="宋体" w:eastAsia="宋体" w:hAnsi="宋体" w:hint="eastAsia"/>
          <w:sz w:val="24"/>
          <w:szCs w:val="24"/>
        </w:rPr>
        <w:t>一方面，在粤港澳大湾区</w:t>
      </w:r>
      <w:r w:rsidR="004A5FEC">
        <w:rPr>
          <w:rFonts w:ascii="宋体" w:eastAsia="宋体" w:hAnsi="宋体" w:hint="eastAsia"/>
          <w:sz w:val="24"/>
          <w:szCs w:val="24"/>
        </w:rPr>
        <w:t>发展</w:t>
      </w:r>
      <w:r w:rsidRPr="003856CF">
        <w:rPr>
          <w:rFonts w:ascii="宋体" w:eastAsia="宋体" w:hAnsi="宋体" w:hint="eastAsia"/>
          <w:sz w:val="24"/>
          <w:szCs w:val="24"/>
        </w:rPr>
        <w:t>背景下，继续深化对接国家“一带一路”战略，加快珠海港西南地区内陆港建设，并积极开通珠海港至内陆港海铁联运班列，开辟珠海港至南亚、西亚地区港口的外贸航线；完善珠海港至我国沿海主要港口内外贸航线网络，同时进一步深化“西江战略”，加强珠海港西江流域水运网点建设，加密西江驳船航线网络及航班密度，以形成海铁联运、江海联运网络</w:t>
      </w:r>
      <w:r w:rsidR="00B01988">
        <w:rPr>
          <w:rFonts w:ascii="宋体" w:eastAsia="宋体" w:hAnsi="宋体" w:hint="eastAsia"/>
          <w:sz w:val="24"/>
          <w:szCs w:val="24"/>
        </w:rPr>
        <w:t>。</w:t>
      </w:r>
      <w:r w:rsidRPr="003856CF">
        <w:rPr>
          <w:rFonts w:ascii="宋体" w:eastAsia="宋体" w:hAnsi="宋体" w:hint="eastAsia"/>
          <w:sz w:val="24"/>
          <w:szCs w:val="24"/>
        </w:rPr>
        <w:t>通过流程再造、模式创新和全程服务，与制造业尤其是装备制造业联动发展，促进珠江西岸先进装备制造产业带的产业集聚</w:t>
      </w:r>
      <w:r w:rsidR="004A5FEC">
        <w:rPr>
          <w:rFonts w:ascii="宋体" w:eastAsia="宋体" w:hAnsi="宋体" w:hint="eastAsia"/>
          <w:sz w:val="24"/>
          <w:szCs w:val="24"/>
        </w:rPr>
        <w:t>，</w:t>
      </w:r>
      <w:r w:rsidR="004A5FEC" w:rsidRPr="003856CF">
        <w:rPr>
          <w:rFonts w:ascii="宋体" w:eastAsia="宋体" w:hAnsi="宋体" w:hint="eastAsia"/>
          <w:sz w:val="24"/>
          <w:szCs w:val="24"/>
        </w:rPr>
        <w:t>创新拓展</w:t>
      </w:r>
      <w:r w:rsidR="004A5FEC">
        <w:rPr>
          <w:rFonts w:ascii="宋体" w:eastAsia="宋体" w:hAnsi="宋体" w:hint="eastAsia"/>
          <w:sz w:val="24"/>
          <w:szCs w:val="24"/>
        </w:rPr>
        <w:t>港口</w:t>
      </w:r>
      <w:r w:rsidR="004A5FEC" w:rsidRPr="003856CF">
        <w:rPr>
          <w:rFonts w:ascii="宋体" w:eastAsia="宋体" w:hAnsi="宋体" w:hint="eastAsia"/>
          <w:sz w:val="24"/>
          <w:szCs w:val="24"/>
        </w:rPr>
        <w:t>货源</w:t>
      </w:r>
      <w:r w:rsidR="004A5FEC">
        <w:rPr>
          <w:rFonts w:ascii="宋体" w:eastAsia="宋体" w:hAnsi="宋体" w:hint="eastAsia"/>
          <w:sz w:val="24"/>
          <w:szCs w:val="24"/>
        </w:rPr>
        <w:t>，为保税物流搭建提供货量保障</w:t>
      </w:r>
      <w:r w:rsidRPr="003856CF">
        <w:rPr>
          <w:rFonts w:ascii="宋体" w:eastAsia="宋体" w:hAnsi="宋体"/>
          <w:sz w:val="24"/>
          <w:szCs w:val="24"/>
        </w:rPr>
        <w:t>。</w:t>
      </w:r>
    </w:p>
    <w:p w14:paraId="398EBA76" w14:textId="6B62721C" w:rsidR="0044544A" w:rsidRPr="00E55BF9" w:rsidRDefault="00E55BF9" w:rsidP="009737F6">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0044544A" w:rsidRPr="00E55BF9">
        <w:rPr>
          <w:rFonts w:ascii="宋体" w:eastAsia="宋体" w:hAnsi="宋体" w:hint="eastAsia"/>
          <w:sz w:val="24"/>
          <w:szCs w:val="24"/>
        </w:rPr>
        <w:t>推进</w:t>
      </w:r>
      <w:r w:rsidR="004004CF">
        <w:rPr>
          <w:rFonts w:ascii="宋体" w:eastAsia="宋体" w:hAnsi="宋体" w:hint="eastAsia"/>
          <w:sz w:val="24"/>
          <w:szCs w:val="24"/>
        </w:rPr>
        <w:t>珠海港高栏</w:t>
      </w:r>
      <w:r w:rsidR="0044544A" w:rsidRPr="00E55BF9">
        <w:rPr>
          <w:rFonts w:ascii="宋体" w:eastAsia="宋体" w:hAnsi="宋体" w:hint="eastAsia"/>
          <w:sz w:val="24"/>
          <w:szCs w:val="24"/>
        </w:rPr>
        <w:t>综</w:t>
      </w:r>
      <w:r w:rsidR="004004CF">
        <w:rPr>
          <w:rFonts w:ascii="宋体" w:eastAsia="宋体" w:hAnsi="宋体" w:hint="eastAsia"/>
          <w:sz w:val="24"/>
          <w:szCs w:val="24"/>
        </w:rPr>
        <w:t>合</w:t>
      </w:r>
      <w:r w:rsidR="0044544A" w:rsidRPr="00E55BF9">
        <w:rPr>
          <w:rFonts w:ascii="宋体" w:eastAsia="宋体" w:hAnsi="宋体" w:hint="eastAsia"/>
          <w:sz w:val="24"/>
          <w:szCs w:val="24"/>
        </w:rPr>
        <w:t>保</w:t>
      </w:r>
      <w:r w:rsidR="004004CF">
        <w:rPr>
          <w:rFonts w:ascii="宋体" w:eastAsia="宋体" w:hAnsi="宋体" w:hint="eastAsia"/>
          <w:sz w:val="24"/>
          <w:szCs w:val="24"/>
        </w:rPr>
        <w:t>税</w:t>
      </w:r>
      <w:r w:rsidR="0044544A" w:rsidRPr="00E55BF9">
        <w:rPr>
          <w:rFonts w:ascii="宋体" w:eastAsia="宋体" w:hAnsi="宋体" w:hint="eastAsia"/>
          <w:sz w:val="24"/>
          <w:szCs w:val="24"/>
        </w:rPr>
        <w:t>区规划建设</w:t>
      </w:r>
      <w:r w:rsidR="00E509A9" w:rsidRPr="00E55BF9">
        <w:rPr>
          <w:rFonts w:ascii="宋体" w:eastAsia="宋体" w:hAnsi="宋体" w:hint="eastAsia"/>
          <w:sz w:val="24"/>
          <w:szCs w:val="24"/>
        </w:rPr>
        <w:t>，完善</w:t>
      </w:r>
      <w:r w:rsidR="004004CF">
        <w:rPr>
          <w:rFonts w:ascii="宋体" w:eastAsia="宋体" w:hAnsi="宋体" w:hint="eastAsia"/>
          <w:sz w:val="24"/>
          <w:szCs w:val="24"/>
        </w:rPr>
        <w:t>港口</w:t>
      </w:r>
      <w:r w:rsidR="00E509A9" w:rsidRPr="00E55BF9">
        <w:rPr>
          <w:rFonts w:ascii="宋体" w:eastAsia="宋体" w:hAnsi="宋体" w:hint="eastAsia"/>
          <w:sz w:val="24"/>
          <w:szCs w:val="24"/>
        </w:rPr>
        <w:t xml:space="preserve">保税物流功能 </w:t>
      </w:r>
    </w:p>
    <w:p w14:paraId="616D6159" w14:textId="1C20C7E6" w:rsidR="002D620E" w:rsidRPr="003856CF" w:rsidRDefault="002D620E" w:rsidP="009737F6">
      <w:pPr>
        <w:snapToGrid w:val="0"/>
        <w:spacing w:line="360" w:lineRule="auto"/>
        <w:ind w:firstLineChars="200" w:firstLine="480"/>
        <w:rPr>
          <w:rFonts w:ascii="宋体" w:eastAsia="宋体" w:hAnsi="宋体"/>
          <w:sz w:val="24"/>
          <w:szCs w:val="24"/>
        </w:rPr>
      </w:pPr>
      <w:r w:rsidRPr="003856CF">
        <w:rPr>
          <w:rFonts w:ascii="宋体" w:eastAsia="宋体" w:hAnsi="宋体" w:hint="eastAsia"/>
          <w:sz w:val="24"/>
          <w:szCs w:val="24"/>
        </w:rPr>
        <w:t>珠海物流“十三五”规划中明确指出，为提高港口综合实力，“十三五”期间珠海市需加大推进加快推进珠海港高栏</w:t>
      </w:r>
      <w:r w:rsidR="004A5FEC">
        <w:rPr>
          <w:rFonts w:ascii="宋体" w:eastAsia="宋体" w:hAnsi="宋体" w:hint="eastAsia"/>
          <w:sz w:val="24"/>
          <w:szCs w:val="24"/>
        </w:rPr>
        <w:t>港</w:t>
      </w:r>
      <w:r w:rsidRPr="003856CF">
        <w:rPr>
          <w:rFonts w:ascii="宋体" w:eastAsia="宋体" w:hAnsi="宋体" w:hint="eastAsia"/>
          <w:sz w:val="24"/>
          <w:szCs w:val="24"/>
        </w:rPr>
        <w:t>后方物流园区建设，积极申报综合保税区，大力促进国</w:t>
      </w:r>
      <w:r w:rsidRPr="003856CF">
        <w:rPr>
          <w:rFonts w:ascii="宋体" w:eastAsia="宋体" w:hAnsi="宋体"/>
          <w:sz w:val="24"/>
          <w:szCs w:val="24"/>
        </w:rPr>
        <w:t>际商贸物流的发展</w:t>
      </w:r>
      <w:r w:rsidR="004A5FEC">
        <w:rPr>
          <w:rFonts w:ascii="宋体" w:eastAsia="宋体" w:hAnsi="宋体" w:hint="eastAsia"/>
          <w:sz w:val="24"/>
          <w:szCs w:val="24"/>
        </w:rPr>
        <w:t>。加快推进综合保税区的规划建设，重</w:t>
      </w:r>
      <w:r w:rsidRPr="003856CF">
        <w:rPr>
          <w:rFonts w:ascii="宋体" w:eastAsia="宋体" w:hAnsi="宋体" w:hint="eastAsia"/>
          <w:sz w:val="24"/>
          <w:szCs w:val="24"/>
        </w:rPr>
        <w:t>点发展保税物流、保税仓储、保税加工及贸易展示等综合服务，通过加强保税物流的建设，完善保税物流功能布局，将珠海港打造成珠江西岸最大的国际物流中心，提升珠海港在粤港澳大湾区内的影响力。</w:t>
      </w:r>
    </w:p>
    <w:p w14:paraId="5BEF402D" w14:textId="7B0DD28E" w:rsidR="0044544A" w:rsidRPr="00E55BF9" w:rsidRDefault="00E55BF9" w:rsidP="009737F6">
      <w:pPr>
        <w:spacing w:line="360" w:lineRule="auto"/>
        <w:ind w:firstLineChars="200" w:firstLine="480"/>
        <w:rPr>
          <w:rFonts w:ascii="宋体" w:eastAsia="宋体" w:hAnsi="宋体"/>
          <w:sz w:val="24"/>
          <w:szCs w:val="24"/>
        </w:rPr>
      </w:pPr>
      <w:r>
        <w:rPr>
          <w:rFonts w:ascii="宋体" w:eastAsia="宋体" w:hAnsi="宋体" w:hint="eastAsia"/>
          <w:sz w:val="24"/>
          <w:szCs w:val="24"/>
        </w:rPr>
        <w:t>（三）</w:t>
      </w:r>
      <w:r w:rsidR="0044544A" w:rsidRPr="00E55BF9">
        <w:rPr>
          <w:rFonts w:ascii="宋体" w:eastAsia="宋体" w:hAnsi="宋体" w:hint="eastAsia"/>
          <w:sz w:val="24"/>
          <w:szCs w:val="24"/>
        </w:rPr>
        <w:t>引入大客户，参与珠海港</w:t>
      </w:r>
      <w:r w:rsidR="004004CF">
        <w:rPr>
          <w:rFonts w:ascii="宋体" w:eastAsia="宋体" w:hAnsi="宋体" w:hint="eastAsia"/>
          <w:sz w:val="24"/>
          <w:szCs w:val="24"/>
        </w:rPr>
        <w:t>综合保税区</w:t>
      </w:r>
      <w:r w:rsidR="0044544A" w:rsidRPr="00E55BF9">
        <w:rPr>
          <w:rFonts w:ascii="宋体" w:eastAsia="宋体" w:hAnsi="宋体" w:hint="eastAsia"/>
          <w:sz w:val="24"/>
          <w:szCs w:val="24"/>
        </w:rPr>
        <w:t>建设</w:t>
      </w:r>
    </w:p>
    <w:p w14:paraId="0EFF5005" w14:textId="77777777" w:rsidR="0044544A" w:rsidRPr="003856CF" w:rsidRDefault="0044544A" w:rsidP="009737F6">
      <w:pPr>
        <w:snapToGrid w:val="0"/>
        <w:spacing w:line="360" w:lineRule="auto"/>
        <w:ind w:firstLineChars="200" w:firstLine="480"/>
        <w:rPr>
          <w:rFonts w:ascii="宋体" w:eastAsia="宋体" w:hAnsi="宋体"/>
          <w:sz w:val="24"/>
          <w:szCs w:val="24"/>
        </w:rPr>
      </w:pPr>
      <w:r w:rsidRPr="003856CF">
        <w:rPr>
          <w:rFonts w:ascii="宋体" w:eastAsia="宋体" w:hAnsi="宋体" w:hint="eastAsia"/>
          <w:sz w:val="24"/>
          <w:szCs w:val="24"/>
        </w:rPr>
        <w:lastRenderedPageBreak/>
        <w:t>港口物流作为资本密集型行业，存在着投入大，回收期长的特点。可引入全球大型战略投资者参与珠海港保税物流建设，在缓解投资者资金压力的同时，发挥双方的优势条件，聚集货源，优势互补，壮大产业，保障保税物流的可持续性发展。</w:t>
      </w:r>
    </w:p>
    <w:p w14:paraId="29C8A4F5" w14:textId="107CDD7A" w:rsidR="0044544A" w:rsidRPr="003856CF" w:rsidRDefault="00E509A9" w:rsidP="009737F6">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（四）</w:t>
      </w:r>
      <w:r w:rsidR="0044544A" w:rsidRPr="003856CF">
        <w:rPr>
          <w:rFonts w:ascii="宋体" w:eastAsia="宋体" w:hAnsi="宋体" w:hint="eastAsia"/>
          <w:sz w:val="24"/>
          <w:szCs w:val="24"/>
        </w:rPr>
        <w:t>发挥横琴自贸区优势，形成区港联动发展</w:t>
      </w:r>
    </w:p>
    <w:p w14:paraId="66A634BA" w14:textId="3F32143E" w:rsidR="0044544A" w:rsidRPr="003856CF" w:rsidRDefault="0044544A" w:rsidP="009737F6">
      <w:pPr>
        <w:snapToGrid w:val="0"/>
        <w:spacing w:line="360" w:lineRule="auto"/>
        <w:ind w:firstLineChars="200" w:firstLine="480"/>
        <w:rPr>
          <w:rFonts w:ascii="宋体" w:eastAsia="宋体" w:hAnsi="宋体"/>
          <w:sz w:val="24"/>
          <w:szCs w:val="24"/>
        </w:rPr>
      </w:pPr>
      <w:r w:rsidRPr="003856CF">
        <w:rPr>
          <w:rFonts w:ascii="宋体" w:eastAsia="宋体" w:hAnsi="宋体" w:hint="eastAsia"/>
          <w:sz w:val="24"/>
          <w:szCs w:val="24"/>
        </w:rPr>
        <w:t>自横琴自贸区成立以来，珠海港仍缺乏与横琴自贸</w:t>
      </w:r>
      <w:proofErr w:type="gramStart"/>
      <w:r w:rsidRPr="003856CF">
        <w:rPr>
          <w:rFonts w:ascii="宋体" w:eastAsia="宋体" w:hAnsi="宋体" w:hint="eastAsia"/>
          <w:sz w:val="24"/>
          <w:szCs w:val="24"/>
        </w:rPr>
        <w:t>区有效</w:t>
      </w:r>
      <w:proofErr w:type="gramEnd"/>
      <w:r w:rsidRPr="003856CF">
        <w:rPr>
          <w:rFonts w:ascii="宋体" w:eastAsia="宋体" w:hAnsi="宋体" w:hint="eastAsia"/>
          <w:sz w:val="24"/>
          <w:szCs w:val="24"/>
        </w:rPr>
        <w:t>联动的政策与举措支撑，尤其是目前珠海港保税物流功能只停留在货主独立的保税仓层面，保税物流功能相对比较薄弱，这将是制约珠海港货物进出口的巨大短板。如果这一情形得不到改善，既不利于推动珠海港实现以港立市，也</w:t>
      </w:r>
      <w:r w:rsidRPr="003856CF">
        <w:rPr>
          <w:rFonts w:ascii="宋体" w:eastAsia="宋体" w:hAnsi="宋体"/>
          <w:sz w:val="24"/>
          <w:szCs w:val="24"/>
        </w:rPr>
        <w:t>不利于</w:t>
      </w:r>
      <w:r w:rsidRPr="003856CF">
        <w:rPr>
          <w:rFonts w:ascii="宋体" w:eastAsia="宋体" w:hAnsi="宋体" w:hint="eastAsia"/>
          <w:sz w:val="24"/>
          <w:szCs w:val="24"/>
        </w:rPr>
        <w:t>横琴</w:t>
      </w:r>
      <w:r w:rsidRPr="003856CF">
        <w:rPr>
          <w:rFonts w:ascii="宋体" w:eastAsia="宋体" w:hAnsi="宋体"/>
          <w:sz w:val="24"/>
          <w:szCs w:val="24"/>
        </w:rPr>
        <w:t>自贸区</w:t>
      </w:r>
      <w:r w:rsidRPr="003856CF">
        <w:rPr>
          <w:rFonts w:ascii="宋体" w:eastAsia="宋体" w:hAnsi="宋体" w:hint="eastAsia"/>
          <w:sz w:val="24"/>
          <w:szCs w:val="24"/>
        </w:rPr>
        <w:t>做大高端商贸业的规模，极大地影响产业链的延伸和产业集群发展格局。</w:t>
      </w:r>
    </w:p>
    <w:p w14:paraId="624E3B19" w14:textId="1405A43A" w:rsidR="0044544A" w:rsidRPr="003856CF" w:rsidRDefault="00E509A9" w:rsidP="009737F6">
      <w:pPr>
        <w:snapToGrid w:val="0"/>
        <w:spacing w:line="360" w:lineRule="auto"/>
        <w:ind w:firstLineChars="200" w:firstLine="480"/>
        <w:rPr>
          <w:rFonts w:ascii="宋体" w:eastAsia="宋体" w:hAnsi="宋体"/>
          <w:sz w:val="24"/>
          <w:szCs w:val="24"/>
        </w:rPr>
      </w:pPr>
      <w:r>
        <w:rPr>
          <w:rFonts w:ascii="宋体" w:eastAsia="宋体" w:hAnsi="宋体" w:hint="eastAsia"/>
          <w:sz w:val="24"/>
          <w:szCs w:val="24"/>
        </w:rPr>
        <w:t>（五）</w:t>
      </w:r>
      <w:r w:rsidR="0044544A" w:rsidRPr="003856CF">
        <w:rPr>
          <w:rFonts w:ascii="宋体" w:eastAsia="宋体" w:hAnsi="宋体" w:hint="eastAsia"/>
          <w:sz w:val="24"/>
          <w:szCs w:val="24"/>
        </w:rPr>
        <w:t>加强粤港澳大湾区战略合作，拓展高栏港区综合保税区服务范畴</w:t>
      </w:r>
    </w:p>
    <w:p w14:paraId="43E685FA" w14:textId="4CBB49BC" w:rsidR="0044544A" w:rsidRPr="003856CF" w:rsidRDefault="0044544A" w:rsidP="009737F6">
      <w:pPr>
        <w:snapToGrid w:val="0"/>
        <w:spacing w:line="360" w:lineRule="auto"/>
        <w:ind w:firstLineChars="200" w:firstLine="480"/>
        <w:rPr>
          <w:rFonts w:ascii="宋体" w:eastAsia="宋体" w:hAnsi="宋体"/>
          <w:sz w:val="24"/>
          <w:szCs w:val="24"/>
        </w:rPr>
      </w:pPr>
      <w:r w:rsidRPr="003856CF">
        <w:rPr>
          <w:rFonts w:ascii="宋体" w:eastAsia="宋体" w:hAnsi="宋体" w:hint="eastAsia"/>
          <w:sz w:val="24"/>
          <w:szCs w:val="24"/>
        </w:rPr>
        <w:t>2015年珠海已经落实与巴伐利亚州化学产业集群合作协议，并致力加快建设“巴伐利亚州—广东省精细化工产业园”；同时，珠海港亦与瓜达尔港缔结友好港关系，瓜达尔港是巴基斯坦第三大港口，是东亚国家转口贸易及中亚内陆国家出海口。</w:t>
      </w:r>
      <w:r w:rsidR="004A5FEC">
        <w:rPr>
          <w:rFonts w:ascii="宋体" w:eastAsia="宋体" w:hAnsi="宋体" w:hint="eastAsia"/>
          <w:sz w:val="24"/>
          <w:szCs w:val="24"/>
        </w:rPr>
        <w:t>在此基础上，</w:t>
      </w:r>
      <w:r w:rsidRPr="00C45898">
        <w:rPr>
          <w:rFonts w:ascii="宋体" w:eastAsia="宋体" w:hAnsi="宋体" w:hint="eastAsia"/>
          <w:sz w:val="24"/>
          <w:szCs w:val="24"/>
        </w:rPr>
        <w:t>通过加强粤港澳大湾区各城市及一带一路沿线</w:t>
      </w:r>
      <w:proofErr w:type="gramStart"/>
      <w:r w:rsidRPr="00C45898">
        <w:rPr>
          <w:rFonts w:ascii="宋体" w:eastAsia="宋体" w:hAnsi="宋体" w:hint="eastAsia"/>
          <w:sz w:val="24"/>
          <w:szCs w:val="24"/>
        </w:rPr>
        <w:t>各国家间经贸</w:t>
      </w:r>
      <w:proofErr w:type="gramEnd"/>
      <w:r w:rsidRPr="00C45898">
        <w:rPr>
          <w:rFonts w:ascii="宋体" w:eastAsia="宋体" w:hAnsi="宋体" w:hint="eastAsia"/>
          <w:sz w:val="24"/>
          <w:szCs w:val="24"/>
        </w:rPr>
        <w:t>合作，采取多项举措进一步加强国内与国际之间的交流，延伸港口保税服务链，拓展珠海港保税物流服务范畴，提升珠海港保税物流全球影响力。</w:t>
      </w:r>
    </w:p>
    <w:p w14:paraId="08DEB080" w14:textId="0F6B0515" w:rsidR="007B50F7" w:rsidRPr="004004CF" w:rsidRDefault="007B50F7" w:rsidP="009737F6">
      <w:pPr>
        <w:spacing w:line="360" w:lineRule="auto"/>
        <w:ind w:firstLineChars="175" w:firstLine="368"/>
        <w:rPr>
          <w:rFonts w:ascii="宋体" w:eastAsia="宋体" w:hAnsi="宋体"/>
          <w:szCs w:val="21"/>
        </w:rPr>
      </w:pPr>
      <w:r w:rsidRPr="004004CF">
        <w:rPr>
          <w:rFonts w:ascii="宋体" w:eastAsia="宋体" w:hAnsi="宋体" w:hint="eastAsia"/>
          <w:szCs w:val="21"/>
        </w:rPr>
        <w:t>参考文献：</w:t>
      </w:r>
    </w:p>
    <w:p w14:paraId="0EE2DABA" w14:textId="2CE98F31" w:rsidR="009737F6" w:rsidRPr="004004CF" w:rsidRDefault="005C0CBD" w:rsidP="004004CF">
      <w:pPr>
        <w:spacing w:line="360" w:lineRule="auto"/>
        <w:ind w:firstLineChars="175" w:firstLine="368"/>
        <w:rPr>
          <w:rFonts w:ascii="宋体" w:eastAsia="宋体" w:hAnsi="宋体"/>
          <w:szCs w:val="21"/>
        </w:rPr>
      </w:pPr>
      <w:r w:rsidRPr="004004CF">
        <w:rPr>
          <w:rFonts w:ascii="宋体" w:eastAsia="宋体" w:hAnsi="宋体"/>
          <w:szCs w:val="21"/>
        </w:rPr>
        <w:t>[1]</w:t>
      </w:r>
      <w:proofErr w:type="gramStart"/>
      <w:r w:rsidR="009737F6" w:rsidRPr="004004CF">
        <w:rPr>
          <w:rFonts w:ascii="宋体" w:eastAsia="宋体" w:hAnsi="宋体"/>
          <w:szCs w:val="21"/>
        </w:rPr>
        <w:t>苗建琳</w:t>
      </w:r>
      <w:proofErr w:type="gramEnd"/>
      <w:r w:rsidR="009737F6" w:rsidRPr="004004CF">
        <w:rPr>
          <w:rFonts w:ascii="宋体" w:eastAsia="宋体" w:hAnsi="宋体"/>
          <w:szCs w:val="21"/>
        </w:rPr>
        <w:t xml:space="preserve">.对我国综合保税区发展现状、问题及对策的分析[J].经贸实践,2017(06):129. </w:t>
      </w:r>
    </w:p>
    <w:p w14:paraId="256B9A98" w14:textId="358319FB" w:rsidR="005C0CBD" w:rsidRPr="004004CF" w:rsidRDefault="00F13553" w:rsidP="004004CF">
      <w:pPr>
        <w:spacing w:line="360" w:lineRule="auto"/>
        <w:ind w:firstLineChars="175" w:firstLine="368"/>
        <w:rPr>
          <w:rFonts w:ascii="宋体" w:eastAsia="宋体" w:hAnsi="宋体"/>
          <w:szCs w:val="21"/>
        </w:rPr>
      </w:pPr>
      <w:r w:rsidRPr="004004CF">
        <w:rPr>
          <w:rFonts w:ascii="宋体" w:eastAsia="宋体" w:hAnsi="宋体"/>
          <w:szCs w:val="21"/>
        </w:rPr>
        <w:t>[2]</w:t>
      </w:r>
      <w:r w:rsidR="004004CF" w:rsidRPr="004004CF">
        <w:rPr>
          <w:rFonts w:ascii="宋体" w:eastAsia="宋体" w:hAnsi="宋体"/>
          <w:szCs w:val="21"/>
        </w:rPr>
        <w:t>徐薇. 长春兴隆综合保税区发展研究[D].吉林大学,2016.</w:t>
      </w:r>
    </w:p>
    <w:p w14:paraId="0E22BE98" w14:textId="018891CC" w:rsidR="00981316" w:rsidRPr="004004CF" w:rsidRDefault="00F13553" w:rsidP="009737F6">
      <w:pPr>
        <w:pStyle w:val="a3"/>
        <w:spacing w:line="360" w:lineRule="auto"/>
        <w:ind w:left="420" w:firstLineChars="0" w:firstLine="0"/>
        <w:rPr>
          <w:rFonts w:ascii="宋体" w:eastAsia="宋体" w:hAnsi="宋体"/>
          <w:szCs w:val="21"/>
        </w:rPr>
      </w:pPr>
      <w:r w:rsidRPr="004004CF">
        <w:rPr>
          <w:rFonts w:ascii="宋体" w:eastAsia="宋体" w:hAnsi="宋体"/>
          <w:szCs w:val="21"/>
        </w:rPr>
        <w:t>[</w:t>
      </w:r>
      <w:r w:rsidRPr="004004CF">
        <w:rPr>
          <w:rFonts w:ascii="宋体" w:eastAsia="宋体" w:hAnsi="宋体" w:hint="eastAsia"/>
          <w:szCs w:val="21"/>
        </w:rPr>
        <w:t>3</w:t>
      </w:r>
      <w:r w:rsidRPr="004004CF">
        <w:rPr>
          <w:rFonts w:ascii="宋体" w:eastAsia="宋体" w:hAnsi="宋体"/>
          <w:szCs w:val="21"/>
        </w:rPr>
        <w:t>]</w:t>
      </w:r>
      <w:r w:rsidR="004004CF" w:rsidRPr="004004CF">
        <w:rPr>
          <w:rFonts w:ascii="宋体" w:eastAsia="宋体" w:hAnsi="宋体"/>
          <w:szCs w:val="21"/>
        </w:rPr>
        <w:t>张哲辉,邢虎松.我国港口物流园区发展现状及趋势分析[J].生产力研究,2018(07):78-81.</w:t>
      </w:r>
    </w:p>
    <w:p w14:paraId="26A8CFF4" w14:textId="6F4DF55B" w:rsidR="00F13553" w:rsidRPr="004004CF" w:rsidRDefault="00981316" w:rsidP="009737F6">
      <w:pPr>
        <w:pStyle w:val="a3"/>
        <w:spacing w:line="360" w:lineRule="auto"/>
        <w:ind w:left="420" w:firstLineChars="0" w:firstLine="0"/>
        <w:rPr>
          <w:rFonts w:ascii="宋体" w:eastAsia="宋体" w:hAnsi="宋体"/>
          <w:szCs w:val="21"/>
        </w:rPr>
      </w:pPr>
      <w:r w:rsidRPr="004004CF">
        <w:rPr>
          <w:rFonts w:ascii="宋体" w:eastAsia="宋体" w:hAnsi="宋体" w:hint="eastAsia"/>
          <w:szCs w:val="21"/>
        </w:rPr>
        <w:t>[</w:t>
      </w:r>
      <w:r w:rsidRPr="004004CF">
        <w:rPr>
          <w:rFonts w:ascii="宋体" w:eastAsia="宋体" w:hAnsi="宋体"/>
          <w:szCs w:val="21"/>
        </w:rPr>
        <w:t>4]</w:t>
      </w:r>
      <w:r w:rsidR="00F13553" w:rsidRPr="004004CF">
        <w:rPr>
          <w:rFonts w:ascii="宋体" w:eastAsia="宋体" w:hAnsi="宋体" w:hint="eastAsia"/>
          <w:szCs w:val="21"/>
        </w:rPr>
        <w:t>粤港澳大湾区发展规划纲要</w:t>
      </w:r>
      <w:r w:rsidR="00F13553" w:rsidRPr="004004CF">
        <w:rPr>
          <w:rFonts w:ascii="宋体" w:eastAsia="宋体" w:hAnsi="宋体"/>
          <w:szCs w:val="21"/>
        </w:rPr>
        <w:t>,2019</w:t>
      </w:r>
    </w:p>
    <w:p w14:paraId="4117ADE1" w14:textId="77777777" w:rsidR="00981316" w:rsidRPr="004004CF" w:rsidRDefault="00981316" w:rsidP="007B50F7">
      <w:pPr>
        <w:pStyle w:val="a3"/>
        <w:spacing w:line="360" w:lineRule="auto"/>
        <w:ind w:left="420" w:firstLineChars="0" w:firstLine="0"/>
        <w:rPr>
          <w:rFonts w:ascii="宋体" w:eastAsia="宋体" w:hAnsi="宋体"/>
          <w:sz w:val="24"/>
          <w:szCs w:val="24"/>
        </w:rPr>
      </w:pPr>
    </w:p>
    <w:sectPr w:rsidR="00981316" w:rsidRPr="004004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6EAF0" w14:textId="77777777" w:rsidR="00F83845" w:rsidRDefault="00F83845" w:rsidP="00F2704C">
      <w:r>
        <w:separator/>
      </w:r>
    </w:p>
  </w:endnote>
  <w:endnote w:type="continuationSeparator" w:id="0">
    <w:p w14:paraId="7CBBAC95" w14:textId="77777777" w:rsidR="00F83845" w:rsidRDefault="00F83845" w:rsidP="00F27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D1809" w14:textId="77777777" w:rsidR="00F83845" w:rsidRDefault="00F83845" w:rsidP="00F2704C">
      <w:r>
        <w:separator/>
      </w:r>
    </w:p>
  </w:footnote>
  <w:footnote w:type="continuationSeparator" w:id="0">
    <w:p w14:paraId="72A15CD2" w14:textId="77777777" w:rsidR="00F83845" w:rsidRDefault="00F83845" w:rsidP="00F27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9F0"/>
    <w:multiLevelType w:val="hybridMultilevel"/>
    <w:tmpl w:val="81843798"/>
    <w:lvl w:ilvl="0" w:tplc="04A68FD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6B2958"/>
    <w:multiLevelType w:val="hybridMultilevel"/>
    <w:tmpl w:val="1E227332"/>
    <w:lvl w:ilvl="0" w:tplc="1D0252AC">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881754"/>
    <w:multiLevelType w:val="hybridMultilevel"/>
    <w:tmpl w:val="08ECAD62"/>
    <w:lvl w:ilvl="0" w:tplc="D76E1644">
      <w:start w:val="1"/>
      <w:numFmt w:val="japaneseCounting"/>
      <w:lvlText w:val="%1、"/>
      <w:lvlJc w:val="left"/>
      <w:pPr>
        <w:ind w:left="420" w:hanging="420"/>
      </w:pPr>
      <w:rPr>
        <w:rFonts w:hint="default"/>
      </w:rPr>
    </w:lvl>
    <w:lvl w:ilvl="1" w:tplc="778257AC">
      <w:start w:val="1"/>
      <w:numFmt w:val="japaneseCounting"/>
      <w:lvlText w:val="（%2）"/>
      <w:lvlJc w:val="left"/>
      <w:pPr>
        <w:ind w:left="1429" w:hanging="720"/>
      </w:pPr>
      <w:rPr>
        <w:rFonts w:hint="default"/>
      </w:rPr>
    </w:lvl>
    <w:lvl w:ilvl="2" w:tplc="1B68CBFC">
      <w:start w:val="4"/>
      <w:numFmt w:val="japaneseCounting"/>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186FBA"/>
    <w:multiLevelType w:val="hybridMultilevel"/>
    <w:tmpl w:val="F8687670"/>
    <w:lvl w:ilvl="0" w:tplc="9CB097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ED44AA"/>
    <w:multiLevelType w:val="hybridMultilevel"/>
    <w:tmpl w:val="BD141762"/>
    <w:lvl w:ilvl="0" w:tplc="F3FCC2CC">
      <w:start w:val="1"/>
      <w:numFmt w:val="japaneseCounting"/>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655C5774"/>
    <w:multiLevelType w:val="hybridMultilevel"/>
    <w:tmpl w:val="935A5AA8"/>
    <w:lvl w:ilvl="0" w:tplc="4C141254">
      <w:start w:val="4"/>
      <w:numFmt w:val="japaneseCounting"/>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701242DC"/>
    <w:multiLevelType w:val="hybridMultilevel"/>
    <w:tmpl w:val="44D05386"/>
    <w:lvl w:ilvl="0" w:tplc="473AFC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4"/>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D9"/>
    <w:rsid w:val="0006728A"/>
    <w:rsid w:val="000A71BB"/>
    <w:rsid w:val="001571FF"/>
    <w:rsid w:val="0016774E"/>
    <w:rsid w:val="001D3D3E"/>
    <w:rsid w:val="001E1E7F"/>
    <w:rsid w:val="001F439D"/>
    <w:rsid w:val="002119EB"/>
    <w:rsid w:val="002213EE"/>
    <w:rsid w:val="002306B9"/>
    <w:rsid w:val="002368D9"/>
    <w:rsid w:val="002421F3"/>
    <w:rsid w:val="00257CA9"/>
    <w:rsid w:val="00280759"/>
    <w:rsid w:val="00292BDA"/>
    <w:rsid w:val="002D00D7"/>
    <w:rsid w:val="002D620E"/>
    <w:rsid w:val="002D7765"/>
    <w:rsid w:val="0032564A"/>
    <w:rsid w:val="003529AF"/>
    <w:rsid w:val="00373BB6"/>
    <w:rsid w:val="003856CF"/>
    <w:rsid w:val="003870C9"/>
    <w:rsid w:val="003A18C9"/>
    <w:rsid w:val="003A49A9"/>
    <w:rsid w:val="003B3E08"/>
    <w:rsid w:val="004004CF"/>
    <w:rsid w:val="0044544A"/>
    <w:rsid w:val="004A5FEC"/>
    <w:rsid w:val="004B0B09"/>
    <w:rsid w:val="004D0597"/>
    <w:rsid w:val="004D1898"/>
    <w:rsid w:val="004E1BF8"/>
    <w:rsid w:val="004E7CB6"/>
    <w:rsid w:val="00545F6C"/>
    <w:rsid w:val="00564218"/>
    <w:rsid w:val="00573CE7"/>
    <w:rsid w:val="005C0CBD"/>
    <w:rsid w:val="005D48AB"/>
    <w:rsid w:val="006E5249"/>
    <w:rsid w:val="00776B3B"/>
    <w:rsid w:val="007B50F7"/>
    <w:rsid w:val="007C4276"/>
    <w:rsid w:val="008801F7"/>
    <w:rsid w:val="008A45B4"/>
    <w:rsid w:val="009018DD"/>
    <w:rsid w:val="00906FA9"/>
    <w:rsid w:val="0091117D"/>
    <w:rsid w:val="009737F6"/>
    <w:rsid w:val="00981316"/>
    <w:rsid w:val="009A1E3F"/>
    <w:rsid w:val="009A3E01"/>
    <w:rsid w:val="009B29E4"/>
    <w:rsid w:val="009C15AD"/>
    <w:rsid w:val="009F7760"/>
    <w:rsid w:val="00A46EAF"/>
    <w:rsid w:val="00AB5A0C"/>
    <w:rsid w:val="00AC43F8"/>
    <w:rsid w:val="00AC61F7"/>
    <w:rsid w:val="00AE696A"/>
    <w:rsid w:val="00B01988"/>
    <w:rsid w:val="00B733F2"/>
    <w:rsid w:val="00BF6279"/>
    <w:rsid w:val="00C118C0"/>
    <w:rsid w:val="00C36C92"/>
    <w:rsid w:val="00C45898"/>
    <w:rsid w:val="00CA0AF5"/>
    <w:rsid w:val="00CE378F"/>
    <w:rsid w:val="00CF61F0"/>
    <w:rsid w:val="00D02F79"/>
    <w:rsid w:val="00D93260"/>
    <w:rsid w:val="00DA2D93"/>
    <w:rsid w:val="00E10725"/>
    <w:rsid w:val="00E509A9"/>
    <w:rsid w:val="00E55BF9"/>
    <w:rsid w:val="00E64A75"/>
    <w:rsid w:val="00EA2FD9"/>
    <w:rsid w:val="00F13553"/>
    <w:rsid w:val="00F2704C"/>
    <w:rsid w:val="00F353D0"/>
    <w:rsid w:val="00F50F9B"/>
    <w:rsid w:val="00F51CE3"/>
    <w:rsid w:val="00F83845"/>
    <w:rsid w:val="00FB3283"/>
    <w:rsid w:val="00FF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142F2"/>
  <w15:chartTrackingRefBased/>
  <w15:docId w15:val="{2AEA27E7-EC74-465F-85F6-1780B07F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44544A"/>
    <w:pPr>
      <w:keepNext/>
      <w:keepLines/>
      <w:spacing w:before="260" w:after="260" w:line="413" w:lineRule="auto"/>
      <w:outlineLvl w:val="1"/>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96A"/>
    <w:pPr>
      <w:ind w:firstLineChars="200" w:firstLine="420"/>
    </w:pPr>
  </w:style>
  <w:style w:type="character" w:customStyle="1" w:styleId="20">
    <w:name w:val="标题 2 字符"/>
    <w:basedOn w:val="a0"/>
    <w:link w:val="2"/>
    <w:rsid w:val="0044544A"/>
    <w:rPr>
      <w:rFonts w:ascii="Arial" w:eastAsia="黑体" w:hAnsi="Arial"/>
      <w:b/>
      <w:sz w:val="28"/>
    </w:rPr>
  </w:style>
  <w:style w:type="character" w:styleId="a4">
    <w:name w:val="Hyperlink"/>
    <w:basedOn w:val="a0"/>
    <w:uiPriority w:val="99"/>
    <w:semiHidden/>
    <w:unhideWhenUsed/>
    <w:rsid w:val="004E1BF8"/>
    <w:rPr>
      <w:color w:val="0000FF"/>
      <w:u w:val="single"/>
    </w:rPr>
  </w:style>
  <w:style w:type="paragraph" w:styleId="a5">
    <w:name w:val="header"/>
    <w:basedOn w:val="a"/>
    <w:link w:val="a6"/>
    <w:uiPriority w:val="99"/>
    <w:unhideWhenUsed/>
    <w:rsid w:val="00F2704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2704C"/>
    <w:rPr>
      <w:sz w:val="18"/>
      <w:szCs w:val="18"/>
    </w:rPr>
  </w:style>
  <w:style w:type="paragraph" w:styleId="a7">
    <w:name w:val="footer"/>
    <w:basedOn w:val="a"/>
    <w:link w:val="a8"/>
    <w:uiPriority w:val="99"/>
    <w:unhideWhenUsed/>
    <w:rsid w:val="00F2704C"/>
    <w:pPr>
      <w:tabs>
        <w:tab w:val="center" w:pos="4153"/>
        <w:tab w:val="right" w:pos="8306"/>
      </w:tabs>
      <w:snapToGrid w:val="0"/>
      <w:jc w:val="left"/>
    </w:pPr>
    <w:rPr>
      <w:sz w:val="18"/>
      <w:szCs w:val="18"/>
    </w:rPr>
  </w:style>
  <w:style w:type="character" w:customStyle="1" w:styleId="a8">
    <w:name w:val="页脚 字符"/>
    <w:basedOn w:val="a0"/>
    <w:link w:val="a7"/>
    <w:uiPriority w:val="99"/>
    <w:rsid w:val="00F270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6315">
      <w:bodyDiv w:val="1"/>
      <w:marLeft w:val="0"/>
      <w:marRight w:val="0"/>
      <w:marTop w:val="0"/>
      <w:marBottom w:val="0"/>
      <w:divBdr>
        <w:top w:val="none" w:sz="0" w:space="0" w:color="auto"/>
        <w:left w:val="none" w:sz="0" w:space="0" w:color="auto"/>
        <w:bottom w:val="none" w:sz="0" w:space="0" w:color="auto"/>
        <w:right w:val="none" w:sz="0" w:space="0" w:color="auto"/>
      </w:divBdr>
      <w:divsChild>
        <w:div w:id="1130711849">
          <w:marLeft w:val="0"/>
          <w:marRight w:val="0"/>
          <w:marTop w:val="0"/>
          <w:marBottom w:val="0"/>
          <w:divBdr>
            <w:top w:val="none" w:sz="0" w:space="0" w:color="auto"/>
            <w:left w:val="none" w:sz="0" w:space="0" w:color="auto"/>
            <w:bottom w:val="none" w:sz="0" w:space="0" w:color="auto"/>
            <w:right w:val="none" w:sz="0" w:space="0" w:color="auto"/>
          </w:divBdr>
          <w:divsChild>
            <w:div w:id="20297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3200000000000002E-2"/>
          <c:y val="0.127"/>
          <c:w val="0.92742500000000005"/>
          <c:h val="0.71723333333333295"/>
        </c:manualLayout>
      </c:layout>
      <c:barChart>
        <c:barDir val="col"/>
        <c:grouping val="clustered"/>
        <c:varyColors val="0"/>
        <c:ser>
          <c:idx val="0"/>
          <c:order val="0"/>
          <c:tx>
            <c:strRef>
              <c:f>Sheet1!$B$1</c:f>
              <c:strCache>
                <c:ptCount val="1"/>
                <c:pt idx="0">
                  <c:v>香港港</c:v>
                </c:pt>
              </c:strCache>
            </c:strRef>
          </c:tx>
          <c:spPr>
            <a:solidFill>
              <a:schemeClr val="accent1"/>
            </a:solidFill>
            <a:ln>
              <a:noFill/>
            </a:ln>
            <a:effectLst/>
          </c:spPr>
          <c:invertIfNegative val="0"/>
          <c:cat>
            <c:numRef>
              <c:f>Sheet1!$A$2:$A$6</c:f>
              <c:numCache>
                <c:formatCode>General</c:formatCode>
                <c:ptCount val="5"/>
                <c:pt idx="0">
                  <c:v>2014</c:v>
                </c:pt>
                <c:pt idx="1">
                  <c:v>2015</c:v>
                </c:pt>
                <c:pt idx="2">
                  <c:v>2016</c:v>
                </c:pt>
                <c:pt idx="3">
                  <c:v>2017</c:v>
                </c:pt>
                <c:pt idx="4">
                  <c:v>2018</c:v>
                </c:pt>
              </c:numCache>
            </c:numRef>
          </c:cat>
          <c:val>
            <c:numRef>
              <c:f>Sheet1!$B$2:$B$6</c:f>
              <c:numCache>
                <c:formatCode>General</c:formatCode>
                <c:ptCount val="5"/>
                <c:pt idx="0">
                  <c:v>29700</c:v>
                </c:pt>
                <c:pt idx="1">
                  <c:v>25660</c:v>
                </c:pt>
                <c:pt idx="2">
                  <c:v>25670</c:v>
                </c:pt>
                <c:pt idx="3">
                  <c:v>28150</c:v>
                </c:pt>
                <c:pt idx="4">
                  <c:v>25850</c:v>
                </c:pt>
              </c:numCache>
            </c:numRef>
          </c:val>
          <c:extLst>
            <c:ext xmlns:c16="http://schemas.microsoft.com/office/drawing/2014/chart" uri="{C3380CC4-5D6E-409C-BE32-E72D297353CC}">
              <c16:uniqueId val="{00000000-ED02-43B5-BE01-A47BBAAA56F7}"/>
            </c:ext>
          </c:extLst>
        </c:ser>
        <c:ser>
          <c:idx val="1"/>
          <c:order val="1"/>
          <c:tx>
            <c:strRef>
              <c:f>Sheet1!$C$1</c:f>
              <c:strCache>
                <c:ptCount val="1"/>
                <c:pt idx="0">
                  <c:v>深圳港</c:v>
                </c:pt>
              </c:strCache>
            </c:strRef>
          </c:tx>
          <c:spPr>
            <a:solidFill>
              <a:schemeClr val="accent2"/>
            </a:solidFill>
            <a:ln>
              <a:noFill/>
            </a:ln>
            <a:effectLst/>
          </c:spPr>
          <c:invertIfNegative val="0"/>
          <c:cat>
            <c:numRef>
              <c:f>Sheet1!$A$2:$A$6</c:f>
              <c:numCache>
                <c:formatCode>General</c:formatCode>
                <c:ptCount val="5"/>
                <c:pt idx="0">
                  <c:v>2014</c:v>
                </c:pt>
                <c:pt idx="1">
                  <c:v>2015</c:v>
                </c:pt>
                <c:pt idx="2">
                  <c:v>2016</c:v>
                </c:pt>
                <c:pt idx="3">
                  <c:v>2017</c:v>
                </c:pt>
                <c:pt idx="4">
                  <c:v>2018</c:v>
                </c:pt>
              </c:numCache>
            </c:numRef>
          </c:cat>
          <c:val>
            <c:numRef>
              <c:f>Sheet1!$C$2:$C$6</c:f>
              <c:numCache>
                <c:formatCode>General</c:formatCode>
                <c:ptCount val="5"/>
                <c:pt idx="0">
                  <c:v>19400</c:v>
                </c:pt>
                <c:pt idx="1">
                  <c:v>21706</c:v>
                </c:pt>
                <c:pt idx="2">
                  <c:v>21400</c:v>
                </c:pt>
                <c:pt idx="3">
                  <c:v>24210</c:v>
                </c:pt>
                <c:pt idx="4">
                  <c:v>25000</c:v>
                </c:pt>
              </c:numCache>
            </c:numRef>
          </c:val>
          <c:extLst>
            <c:ext xmlns:c16="http://schemas.microsoft.com/office/drawing/2014/chart" uri="{C3380CC4-5D6E-409C-BE32-E72D297353CC}">
              <c16:uniqueId val="{00000001-ED02-43B5-BE01-A47BBAAA56F7}"/>
            </c:ext>
          </c:extLst>
        </c:ser>
        <c:ser>
          <c:idx val="2"/>
          <c:order val="2"/>
          <c:tx>
            <c:strRef>
              <c:f>Sheet1!$D$1</c:f>
              <c:strCache>
                <c:ptCount val="1"/>
                <c:pt idx="0">
                  <c:v>广州港</c:v>
                </c:pt>
              </c:strCache>
            </c:strRef>
          </c:tx>
          <c:spPr>
            <a:solidFill>
              <a:schemeClr val="accent3"/>
            </a:solidFill>
            <a:ln>
              <a:noFill/>
            </a:ln>
            <a:effectLst/>
          </c:spPr>
          <c:invertIfNegative val="0"/>
          <c:cat>
            <c:numRef>
              <c:f>Sheet1!$A$2:$A$6</c:f>
              <c:numCache>
                <c:formatCode>General</c:formatCode>
                <c:ptCount val="5"/>
                <c:pt idx="0">
                  <c:v>2014</c:v>
                </c:pt>
                <c:pt idx="1">
                  <c:v>2015</c:v>
                </c:pt>
                <c:pt idx="2">
                  <c:v>2016</c:v>
                </c:pt>
                <c:pt idx="3">
                  <c:v>2017</c:v>
                </c:pt>
                <c:pt idx="4">
                  <c:v>2018</c:v>
                </c:pt>
              </c:numCache>
            </c:numRef>
          </c:cat>
          <c:val>
            <c:numRef>
              <c:f>Sheet1!$D$2:$D$6</c:f>
              <c:numCache>
                <c:formatCode>General</c:formatCode>
                <c:ptCount val="5"/>
                <c:pt idx="0">
                  <c:v>50036.3</c:v>
                </c:pt>
                <c:pt idx="1">
                  <c:v>52000</c:v>
                </c:pt>
                <c:pt idx="2">
                  <c:v>54400</c:v>
                </c:pt>
                <c:pt idx="3">
                  <c:v>59000</c:v>
                </c:pt>
                <c:pt idx="4">
                  <c:v>61500</c:v>
                </c:pt>
              </c:numCache>
            </c:numRef>
          </c:val>
          <c:extLst>
            <c:ext xmlns:c16="http://schemas.microsoft.com/office/drawing/2014/chart" uri="{C3380CC4-5D6E-409C-BE32-E72D297353CC}">
              <c16:uniqueId val="{00000002-ED02-43B5-BE01-A47BBAAA56F7}"/>
            </c:ext>
          </c:extLst>
        </c:ser>
        <c:ser>
          <c:idx val="3"/>
          <c:order val="3"/>
          <c:tx>
            <c:strRef>
              <c:f>Sheet1!$E$1</c:f>
              <c:strCache>
                <c:ptCount val="1"/>
                <c:pt idx="0">
                  <c:v>珠海港</c:v>
                </c:pt>
              </c:strCache>
            </c:strRef>
          </c:tx>
          <c:spPr>
            <a:solidFill>
              <a:schemeClr val="accent4"/>
            </a:solidFill>
            <a:ln>
              <a:noFill/>
            </a:ln>
            <a:effectLst/>
          </c:spPr>
          <c:invertIfNegative val="0"/>
          <c:cat>
            <c:numRef>
              <c:f>Sheet1!$A$2:$A$6</c:f>
              <c:numCache>
                <c:formatCode>General</c:formatCode>
                <c:ptCount val="5"/>
                <c:pt idx="0">
                  <c:v>2014</c:v>
                </c:pt>
                <c:pt idx="1">
                  <c:v>2015</c:v>
                </c:pt>
                <c:pt idx="2">
                  <c:v>2016</c:v>
                </c:pt>
                <c:pt idx="3">
                  <c:v>2017</c:v>
                </c:pt>
                <c:pt idx="4">
                  <c:v>2018</c:v>
                </c:pt>
              </c:numCache>
            </c:numRef>
          </c:cat>
          <c:val>
            <c:numRef>
              <c:f>Sheet1!$E$2:$E$6</c:f>
              <c:numCache>
                <c:formatCode>General</c:formatCode>
                <c:ptCount val="5"/>
                <c:pt idx="0">
                  <c:v>10795.31</c:v>
                </c:pt>
                <c:pt idx="1">
                  <c:v>11000</c:v>
                </c:pt>
                <c:pt idx="2">
                  <c:v>11778.13</c:v>
                </c:pt>
                <c:pt idx="3">
                  <c:v>13600</c:v>
                </c:pt>
                <c:pt idx="4">
                  <c:v>12500</c:v>
                </c:pt>
              </c:numCache>
            </c:numRef>
          </c:val>
          <c:extLst>
            <c:ext xmlns:c16="http://schemas.microsoft.com/office/drawing/2014/chart" uri="{C3380CC4-5D6E-409C-BE32-E72D297353CC}">
              <c16:uniqueId val="{00000003-ED02-43B5-BE01-A47BBAAA56F7}"/>
            </c:ext>
          </c:extLst>
        </c:ser>
        <c:dLbls>
          <c:showLegendKey val="0"/>
          <c:showVal val="0"/>
          <c:showCatName val="0"/>
          <c:showSerName val="0"/>
          <c:showPercent val="0"/>
          <c:showBubbleSize val="0"/>
        </c:dLbls>
        <c:gapWidth val="219"/>
        <c:overlap val="-27"/>
        <c:axId val="221644621"/>
        <c:axId val="435094760"/>
      </c:barChart>
      <c:catAx>
        <c:axId val="22164462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35094760"/>
        <c:crosses val="autoZero"/>
        <c:auto val="1"/>
        <c:lblAlgn val="ctr"/>
        <c:lblOffset val="100"/>
        <c:noMultiLvlLbl val="0"/>
      </c:catAx>
      <c:valAx>
        <c:axId val="4350947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1644621"/>
        <c:crosses val="autoZero"/>
        <c:crossBetween val="between"/>
      </c:valAx>
      <c:spPr>
        <a:noFill/>
        <a:ln>
          <a:noFill/>
        </a:ln>
        <a:effectLst/>
      </c:spPr>
    </c:plotArea>
    <c:legend>
      <c:legendPos val="b"/>
      <c:layout>
        <c:manualLayout>
          <c:xMode val="edge"/>
          <c:yMode val="edge"/>
          <c:x val="0.32137500000000002"/>
          <c:y val="0.91949999999999998"/>
          <c:w val="0.41925000000000001"/>
          <c:h val="5.5500000000000001E-2"/>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2055</TotalTime>
  <Pages>1</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港航3</dc:creator>
  <cp:keywords/>
  <dc:description/>
  <cp:lastModifiedBy>港航3</cp:lastModifiedBy>
  <cp:revision>55</cp:revision>
  <dcterms:created xsi:type="dcterms:W3CDTF">2019-09-10T02:16:00Z</dcterms:created>
  <dcterms:modified xsi:type="dcterms:W3CDTF">2020-01-02T02:11:00Z</dcterms:modified>
</cp:coreProperties>
</file>