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hint="eastAsia"/>
          <w:sz w:val="30"/>
          <w:szCs w:val="30"/>
          <w:lang w:val="en-US" w:eastAsia="zh-CN"/>
        </w:rPr>
      </w:pPr>
      <w:r>
        <w:rPr>
          <w:rFonts w:hint="eastAsia"/>
          <w:lang w:val="en-US" w:eastAsia="zh-CN"/>
        </w:rPr>
        <w:t xml:space="preserve">                   </w:t>
      </w:r>
      <w:r>
        <w:rPr>
          <w:rFonts w:hint="eastAsia"/>
          <w:sz w:val="30"/>
          <w:szCs w:val="30"/>
          <w:lang w:val="en-US" w:eastAsia="zh-CN"/>
        </w:rPr>
        <w:t>妊娠合并血小板减少症86例临床分析</w:t>
      </w:r>
    </w:p>
    <w:p>
      <w:pPr>
        <w:ind w:firstLine="3000" w:firstLineChars="1000"/>
        <w:rPr>
          <w:rFonts w:hint="default"/>
          <w:sz w:val="30"/>
          <w:szCs w:val="30"/>
          <w:lang w:val="en-US" w:eastAsia="zh-CN"/>
        </w:rPr>
      </w:pPr>
      <w:bookmarkStart w:id="0" w:name="_GoBack"/>
      <w:bookmarkEnd w:id="0"/>
      <w:r>
        <w:rPr>
          <w:rFonts w:hint="eastAsia"/>
          <w:sz w:val="30"/>
          <w:szCs w:val="30"/>
          <w:lang w:val="en-US" w:eastAsia="zh-CN"/>
        </w:rPr>
        <w:t>张燕娜  杨书玲</w:t>
      </w:r>
    </w:p>
    <w:p>
      <w:pPr>
        <w:ind w:firstLine="1500" w:firstLineChars="500"/>
        <w:rPr>
          <w:rFonts w:hint="default"/>
          <w:sz w:val="30"/>
          <w:szCs w:val="30"/>
          <w:lang w:val="en-US" w:eastAsia="zh-CN"/>
        </w:rPr>
      </w:pPr>
      <w:r>
        <w:rPr>
          <w:rFonts w:hint="eastAsia"/>
          <w:sz w:val="30"/>
          <w:szCs w:val="30"/>
          <w:lang w:val="en-US" w:eastAsia="zh-CN"/>
        </w:rPr>
        <w:t>（长葛市人民医院，河南 许昌461000）</w:t>
      </w:r>
    </w:p>
    <w:p>
      <w:pPr>
        <w:ind w:firstLine="600" w:firstLineChars="0"/>
        <w:rPr>
          <w:rFonts w:hint="eastAsia"/>
          <w:sz w:val="30"/>
          <w:szCs w:val="30"/>
          <w:lang w:val="en-US" w:eastAsia="zh-CN"/>
        </w:rPr>
      </w:pPr>
      <w:r>
        <w:rPr>
          <w:rFonts w:hint="eastAsia"/>
          <w:sz w:val="30"/>
          <w:szCs w:val="30"/>
          <w:lang w:val="en-US" w:eastAsia="zh-CN"/>
        </w:rPr>
        <w:t xml:space="preserve"> 摘要：目的：探究86例妊娠合并血小板减少患者临床分析，  </w:t>
      </w:r>
    </w:p>
    <w:p>
      <w:pPr>
        <w:rPr>
          <w:rFonts w:hint="eastAsia"/>
          <w:sz w:val="30"/>
          <w:szCs w:val="30"/>
          <w:lang w:val="en-US" w:eastAsia="zh-CN"/>
        </w:rPr>
      </w:pPr>
      <w:r>
        <w:rPr>
          <w:rFonts w:hint="eastAsia"/>
          <w:sz w:val="30"/>
          <w:szCs w:val="30"/>
          <w:lang w:val="en-US" w:eastAsia="zh-CN"/>
        </w:rPr>
        <w:t>方法：收集2018年1月至2019年9月在长葛市人民医院住院的86例妊娠合并血小板减少患者，与86例正常孕妇对比，进行回顾性病例对照研究，比较两组分娩方式及母婴结局。</w:t>
      </w:r>
    </w:p>
    <w:p>
      <w:pPr>
        <w:ind w:firstLine="600" w:firstLineChars="200"/>
        <w:rPr>
          <w:rFonts w:hint="eastAsia"/>
          <w:sz w:val="30"/>
          <w:szCs w:val="30"/>
          <w:lang w:val="en-US" w:eastAsia="zh-CN"/>
        </w:rPr>
      </w:pPr>
      <w:r>
        <w:rPr>
          <w:rFonts w:hint="eastAsia"/>
          <w:sz w:val="30"/>
          <w:szCs w:val="30"/>
          <w:lang w:val="en-US" w:eastAsia="zh-CN"/>
        </w:rPr>
        <w:t>结果：研究组剖宫产率76.74%（66/86）与对照组41.86%（36/86）比较差异有统计学意义P&gt;0.05，研究组早产率20.93%，产后出血率12.8%，胎儿呼吸窘迫发生率19.8%，新生儿血小板减少发生率3.5%，新生儿颅内出血发生率2.3%，均高于对照组；</w:t>
      </w:r>
    </w:p>
    <w:p>
      <w:pPr>
        <w:ind w:firstLine="0" w:firstLineChars="0"/>
        <w:rPr>
          <w:rFonts w:hint="eastAsia"/>
          <w:sz w:val="30"/>
          <w:szCs w:val="30"/>
          <w:lang w:val="en-US" w:eastAsia="zh-CN"/>
        </w:rPr>
      </w:pPr>
      <w:r>
        <w:rPr>
          <w:rFonts w:hint="eastAsia"/>
          <w:sz w:val="30"/>
          <w:szCs w:val="30"/>
          <w:lang w:val="en-US" w:eastAsia="zh-CN"/>
        </w:rPr>
        <w:t xml:space="preserve">    结论：妊娠合并血小板减少提高胎儿早产，产妇产后出血几率，且容易出现胎儿宫内窘迫，新生儿血小板减少等并发症，应给予重视。</w:t>
      </w:r>
    </w:p>
    <w:p>
      <w:pPr>
        <w:ind w:firstLine="600" w:firstLineChars="0"/>
        <w:rPr>
          <w:rFonts w:hint="eastAsia"/>
          <w:sz w:val="30"/>
          <w:szCs w:val="30"/>
          <w:lang w:val="en-US" w:eastAsia="zh-CN"/>
        </w:rPr>
      </w:pPr>
      <w:r>
        <w:rPr>
          <w:rFonts w:hint="eastAsia"/>
          <w:sz w:val="30"/>
          <w:szCs w:val="30"/>
          <w:lang w:val="en-US" w:eastAsia="zh-CN"/>
        </w:rPr>
        <w:t xml:space="preserve">关键词：妊娠 血小板减少 分娩方式 产后出血 母婴结局 </w:t>
      </w:r>
    </w:p>
    <w:p>
      <w:pPr>
        <w:ind w:firstLine="600" w:firstLineChars="200"/>
        <w:rPr>
          <w:rFonts w:hint="eastAsia"/>
          <w:sz w:val="30"/>
          <w:szCs w:val="30"/>
          <w:lang w:val="en-US" w:eastAsia="zh-CN"/>
        </w:rPr>
      </w:pPr>
      <w:r>
        <w:rPr>
          <w:rFonts w:hint="eastAsia"/>
          <w:sz w:val="30"/>
          <w:szCs w:val="30"/>
          <w:lang w:val="en-US" w:eastAsia="zh-CN"/>
        </w:rPr>
        <w:t xml:space="preserve">妊娠合并血小板减少是围生期一种常见疾病；常由多种内科合并症及妊娠并发症引起；严重血小板减少的患者，可危及生命。血小板减少增加了孕产妇在妊娠，分娩，手术 或麻醉过程中的出血风险；对孕产妇和新生儿的生命安全造成了严重威胁，加强围生期保健与处理可以明显改善妊娠结局，本文回顾了我院对86例妊娠合并血小板减少患者的处理方案，分析报告如下所述：                                                   </w:t>
      </w:r>
    </w:p>
    <w:p>
      <w:pPr>
        <w:numPr>
          <w:ilvl w:val="0"/>
          <w:numId w:val="0"/>
        </w:numPr>
        <w:ind w:leftChars="0" w:firstLine="0" w:firstLineChars="0"/>
        <w:rPr>
          <w:rFonts w:hint="eastAsia"/>
          <w:sz w:val="30"/>
          <w:szCs w:val="30"/>
          <w:lang w:val="en-US" w:eastAsia="zh-CN"/>
        </w:rPr>
      </w:pPr>
      <w:r>
        <w:rPr>
          <w:rFonts w:hint="eastAsia"/>
          <w:sz w:val="30"/>
          <w:szCs w:val="30"/>
          <w:lang w:val="en-US" w:eastAsia="zh-CN"/>
        </w:rPr>
        <w:t xml:space="preserve">   1.1一般资料：收集我院临床诊断妊娠合并血小板减少（&lt;100×10</w:t>
      </w:r>
      <w:r>
        <w:rPr>
          <w:rFonts w:hint="eastAsia"/>
          <w:sz w:val="30"/>
          <w:szCs w:val="30"/>
          <w:vertAlign w:val="superscript"/>
          <w:lang w:val="en-US" w:eastAsia="zh-CN"/>
        </w:rPr>
        <w:t>9</w:t>
      </w:r>
      <w:r>
        <w:rPr>
          <w:rFonts w:hint="eastAsia"/>
          <w:position w:val="-6"/>
          <w:sz w:val="30"/>
          <w:szCs w:val="30"/>
          <w:vertAlign w:val="superscript"/>
          <w:lang w:val="en-US" w:eastAsia="zh-CN"/>
        </w:rPr>
        <w:object>
          <v:shape id="_x0000_i1025" o:spt="75" type="#_x0000_t75" style="height:13.95pt;width:1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 w:val="30"/>
          <w:szCs w:val="30"/>
          <w:lang w:val="en-US" w:eastAsia="zh-CN"/>
        </w:rPr>
        <w:t>》）的患者86例，年龄18~42岁之间，平均年龄（30</w:t>
      </w:r>
      <w:r>
        <w:rPr>
          <w:rFonts w:hint="eastAsia"/>
          <w:sz w:val="30"/>
          <w:szCs w:val="30"/>
          <w:u w:val="single"/>
          <w:lang w:val="en-US" w:eastAsia="zh-CN"/>
        </w:rPr>
        <w:t>+2</w:t>
      </w:r>
      <w:r>
        <w:rPr>
          <w:rFonts w:hint="eastAsia"/>
          <w:sz w:val="30"/>
          <w:szCs w:val="30"/>
          <w:lang w:val="en-US" w:eastAsia="zh-CN"/>
        </w:rPr>
        <w:t>）岁，初产妇39例，经产妇47例，剖宫产66例，分娩孕周为（35</w:t>
      </w:r>
      <w:r>
        <w:rPr>
          <w:rFonts w:hint="eastAsia"/>
          <w:sz w:val="30"/>
          <w:szCs w:val="30"/>
          <w:u w:val="single"/>
          <w:lang w:val="en-US" w:eastAsia="zh-CN"/>
        </w:rPr>
        <w:t>+</w:t>
      </w:r>
      <w:r>
        <w:rPr>
          <w:rFonts w:hint="eastAsia"/>
          <w:sz w:val="30"/>
          <w:szCs w:val="30"/>
          <w:u w:val="none"/>
          <w:lang w:val="en-US" w:eastAsia="zh-CN"/>
        </w:rPr>
        <w:t>3.2</w:t>
      </w:r>
      <w:r>
        <w:rPr>
          <w:rFonts w:hint="eastAsia"/>
          <w:sz w:val="30"/>
          <w:szCs w:val="30"/>
          <w:u w:val="single"/>
          <w:lang w:val="en-US" w:eastAsia="zh-CN"/>
        </w:rPr>
        <w:t>周</w:t>
      </w:r>
      <w:r>
        <w:rPr>
          <w:rFonts w:hint="eastAsia"/>
          <w:sz w:val="30"/>
          <w:szCs w:val="30"/>
          <w:lang w:val="en-US" w:eastAsia="zh-CN"/>
        </w:rPr>
        <w:t>），发现妊娠前血小板减少占22例，妊娠后发现血小板减少64例，将86例健康产妇作为对照组，年龄19~39岁，平均年龄（29</w:t>
      </w:r>
      <w:r>
        <w:rPr>
          <w:rFonts w:hint="eastAsia"/>
          <w:sz w:val="30"/>
          <w:szCs w:val="30"/>
          <w:u w:val="single"/>
          <w:lang w:val="en-US" w:eastAsia="zh-CN"/>
        </w:rPr>
        <w:t>+</w:t>
      </w:r>
      <w:r>
        <w:rPr>
          <w:rFonts w:hint="eastAsia"/>
          <w:sz w:val="30"/>
          <w:szCs w:val="30"/>
          <w:lang w:val="en-US" w:eastAsia="zh-CN"/>
        </w:rPr>
        <w:t xml:space="preserve"> 3）岁，两组产妇的一般资料对比，差异有统计学意义，P&gt;0.05，具有可比性，遵循的程序均符合相关伦理学标准，并通过我院伦理委员会审核，所有研究对象患者及其家属均知情同意。</w:t>
      </w:r>
    </w:p>
    <w:p>
      <w:pPr>
        <w:numPr>
          <w:ilvl w:val="0"/>
          <w:numId w:val="0"/>
        </w:numPr>
        <w:ind w:leftChars="0" w:firstLine="0" w:firstLineChars="0"/>
        <w:rPr>
          <w:rFonts w:hint="eastAsia" w:ascii="新宋体" w:hAnsi="新宋体" w:eastAsia="新宋体" w:cs="新宋体"/>
          <w:sz w:val="30"/>
          <w:szCs w:val="30"/>
          <w:lang w:val="en-US" w:eastAsia="zh-CN"/>
        </w:rPr>
      </w:pPr>
      <w:r>
        <w:rPr>
          <w:rFonts w:hint="eastAsia"/>
          <w:sz w:val="30"/>
          <w:szCs w:val="30"/>
          <w:lang w:val="en-US" w:eastAsia="zh-CN"/>
        </w:rPr>
        <w:t xml:space="preserve">   1.2 病因及临床表现：病因及分组情况见表1，为了便于分析及讨论，将86例患者分为3组：血小板计数&gt;50×10</w:t>
      </w:r>
      <w:r>
        <w:rPr>
          <w:rFonts w:hint="eastAsia"/>
          <w:sz w:val="30"/>
          <w:szCs w:val="30"/>
          <w:vertAlign w:val="superscript"/>
          <w:lang w:val="en-US" w:eastAsia="zh-CN"/>
        </w:rPr>
        <w:t>9</w:t>
      </w:r>
      <w:r>
        <w:rPr>
          <w:rFonts w:hint="eastAsia"/>
          <w:position w:val="-6"/>
          <w:sz w:val="30"/>
          <w:szCs w:val="30"/>
          <w:vertAlign w:val="superscript"/>
          <w:lang w:val="en-US" w:eastAsia="zh-CN"/>
        </w:rPr>
        <w:object>
          <v:shape id="_x0000_i1026" o:spt="75" type="#_x0000_t75" style="height:13.95pt;width:17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sz w:val="30"/>
          <w:szCs w:val="30"/>
          <w:lang w:val="en-US" w:eastAsia="zh-CN"/>
        </w:rPr>
        <w:t>为</w:t>
      </w:r>
      <w:r>
        <w:rPr>
          <w:rFonts w:hint="eastAsia" w:ascii="新宋体" w:hAnsi="新宋体" w:eastAsia="新宋体" w:cs="新宋体"/>
          <w:sz w:val="30"/>
          <w:szCs w:val="30"/>
          <w:lang w:val="en-US" w:eastAsia="zh-CN"/>
        </w:rPr>
        <w:t>Ⅰ组，</w:t>
      </w:r>
      <w:r>
        <w:rPr>
          <w:rFonts w:hint="eastAsia"/>
          <w:sz w:val="30"/>
          <w:szCs w:val="30"/>
          <w:lang w:val="en-US" w:eastAsia="zh-CN"/>
        </w:rPr>
        <w:t>血小板计数在20~50×10</w:t>
      </w:r>
      <w:r>
        <w:rPr>
          <w:rFonts w:hint="eastAsia"/>
          <w:sz w:val="30"/>
          <w:szCs w:val="30"/>
          <w:vertAlign w:val="superscript"/>
          <w:lang w:val="en-US" w:eastAsia="zh-CN"/>
        </w:rPr>
        <w:t>9</w:t>
      </w:r>
      <w:r>
        <w:rPr>
          <w:rFonts w:hint="eastAsia"/>
          <w:position w:val="-6"/>
          <w:sz w:val="30"/>
          <w:szCs w:val="30"/>
          <w:vertAlign w:val="superscript"/>
          <w:lang w:val="en-US" w:eastAsia="zh-CN"/>
        </w:rPr>
        <w:object>
          <v:shape id="_x0000_i1027" o:spt="75" type="#_x0000_t75" style="height:13.95pt;width:17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7" r:id="rId7">
            <o:LockedField>false</o:LockedField>
          </o:OLEObject>
        </w:object>
      </w:r>
      <w:r>
        <w:rPr>
          <w:rFonts w:hint="eastAsia"/>
          <w:sz w:val="30"/>
          <w:szCs w:val="30"/>
          <w:lang w:val="en-US" w:eastAsia="zh-CN"/>
        </w:rPr>
        <w:t>为</w:t>
      </w:r>
      <w:r>
        <w:rPr>
          <w:rFonts w:hint="eastAsia" w:ascii="宋体" w:hAnsi="宋体" w:eastAsia="宋体" w:cs="宋体"/>
          <w:sz w:val="30"/>
          <w:szCs w:val="30"/>
          <w:lang w:val="en-US" w:eastAsia="zh-CN"/>
        </w:rPr>
        <w:t>Ⅱ</w:t>
      </w:r>
      <w:r>
        <w:rPr>
          <w:rFonts w:hint="eastAsia" w:ascii="新宋体" w:hAnsi="新宋体" w:eastAsia="新宋体" w:cs="新宋体"/>
          <w:sz w:val="30"/>
          <w:szCs w:val="30"/>
          <w:lang w:val="en-US" w:eastAsia="zh-CN"/>
        </w:rPr>
        <w:t>组，</w:t>
      </w:r>
      <w:r>
        <w:rPr>
          <w:rFonts w:hint="eastAsia"/>
          <w:sz w:val="30"/>
          <w:szCs w:val="30"/>
          <w:lang w:val="en-US" w:eastAsia="zh-CN"/>
        </w:rPr>
        <w:t>血小板计数&lt;20×10</w:t>
      </w:r>
      <w:r>
        <w:rPr>
          <w:rFonts w:hint="eastAsia"/>
          <w:sz w:val="30"/>
          <w:szCs w:val="30"/>
          <w:vertAlign w:val="superscript"/>
          <w:lang w:val="en-US" w:eastAsia="zh-CN"/>
        </w:rPr>
        <w:t>9</w:t>
      </w:r>
      <w:r>
        <w:rPr>
          <w:rFonts w:hint="eastAsia"/>
          <w:position w:val="-6"/>
          <w:sz w:val="30"/>
          <w:szCs w:val="30"/>
          <w:vertAlign w:val="superscript"/>
          <w:lang w:val="en-US" w:eastAsia="zh-CN"/>
        </w:rPr>
        <w:object>
          <v:shape id="_x0000_i1028" o:spt="75" type="#_x0000_t75" style="height:13.95pt;width:17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8" r:id="rId8">
            <o:LockedField>false</o:LockedField>
          </o:OLEObject>
        </w:object>
      </w:r>
      <w:r>
        <w:rPr>
          <w:rFonts w:hint="eastAsia"/>
          <w:sz w:val="30"/>
          <w:szCs w:val="30"/>
          <w:lang w:val="en-US" w:eastAsia="zh-CN"/>
        </w:rPr>
        <w:t>为</w:t>
      </w:r>
      <w:r>
        <w:rPr>
          <w:rFonts w:hint="eastAsia" w:ascii="宋体" w:hAnsi="宋体" w:eastAsia="宋体" w:cs="宋体"/>
          <w:sz w:val="30"/>
          <w:szCs w:val="30"/>
          <w:lang w:val="en-US" w:eastAsia="zh-CN"/>
        </w:rPr>
        <w:t>Ⅲ</w:t>
      </w:r>
      <w:r>
        <w:rPr>
          <w:rFonts w:hint="eastAsia" w:ascii="新宋体" w:hAnsi="新宋体" w:eastAsia="新宋体" w:cs="新宋体"/>
          <w:sz w:val="30"/>
          <w:szCs w:val="30"/>
          <w:lang w:val="en-US" w:eastAsia="zh-CN"/>
        </w:rPr>
        <w:t>组，86例患者中：10例有出血倾向，主要表现为皮肤瘀血，皮下瘀斑，牙龈出血，鼻衄，穿刺点出血，其中33例为</w:t>
      </w:r>
      <w:r>
        <w:rPr>
          <w:rFonts w:hint="eastAsia" w:ascii="宋体" w:hAnsi="宋体" w:eastAsia="宋体" w:cs="宋体"/>
          <w:sz w:val="30"/>
          <w:szCs w:val="30"/>
          <w:lang w:val="en-US" w:eastAsia="zh-CN"/>
        </w:rPr>
        <w:t>Ⅱ-Ⅲ</w:t>
      </w:r>
      <w:r>
        <w:rPr>
          <w:rFonts w:hint="eastAsia" w:ascii="新宋体" w:hAnsi="新宋体" w:eastAsia="新宋体" w:cs="新宋体"/>
          <w:sz w:val="30"/>
          <w:szCs w:val="30"/>
          <w:lang w:val="en-US" w:eastAsia="zh-CN"/>
        </w:rPr>
        <w:t>组患者，53例为Ⅰ组患者。</w:t>
      </w:r>
    </w:p>
    <w:p>
      <w:pPr>
        <w:numPr>
          <w:ilvl w:val="0"/>
          <w:numId w:val="0"/>
        </w:numPr>
        <w:ind w:leftChars="0" w:firstLine="0" w:firstLineChars="0"/>
        <w:rPr>
          <w:rFonts w:hint="eastAsia"/>
          <w:sz w:val="30"/>
          <w:szCs w:val="30"/>
          <w:lang w:val="en-US" w:eastAsia="zh-CN"/>
        </w:rPr>
      </w:pPr>
      <w:r>
        <w:rPr>
          <w:rFonts w:hint="eastAsia" w:ascii="新宋体" w:hAnsi="新宋体" w:eastAsia="新宋体" w:cs="新宋体"/>
          <w:sz w:val="30"/>
          <w:szCs w:val="30"/>
          <w:lang w:val="en-US" w:eastAsia="zh-CN"/>
        </w:rPr>
        <w:t>86例妊娠合并血小板减少患者的病因及血小板计数见下表</w:t>
      </w:r>
    </w:p>
    <w:p>
      <w:pPr>
        <w:rPr>
          <w:rFonts w:hint="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1"/>
        <w:gridCol w:w="1290"/>
        <w:gridCol w:w="1485"/>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841" w:type="dxa"/>
            <w:vMerge w:val="restart"/>
            <w:noWrap w:val="0"/>
            <w:vAlign w:val="top"/>
          </w:tcPr>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w:t>
            </w:r>
            <w:r>
              <w:rPr>
                <w:rFonts w:hint="eastAsia" w:ascii="新宋体" w:hAnsi="新宋体" w:eastAsia="新宋体" w:cs="新宋体"/>
                <w:sz w:val="44"/>
                <w:szCs w:val="44"/>
                <w:vertAlign w:val="baseline"/>
                <w:lang w:val="en-US" w:eastAsia="zh-CN"/>
              </w:rPr>
              <w:t>病 因</w:t>
            </w:r>
          </w:p>
        </w:tc>
        <w:tc>
          <w:tcPr>
            <w:tcW w:w="4020" w:type="dxa"/>
            <w:gridSpan w:val="3"/>
            <w:noWrap w:val="0"/>
            <w:vAlign w:val="top"/>
          </w:tcPr>
          <w:p>
            <w:pPr>
              <w:numPr>
                <w:ilvl w:val="0"/>
                <w:numId w:val="0"/>
              </w:numPr>
              <w:rPr>
                <w:rFonts w:hint="eastAsia"/>
                <w:vertAlign w:val="baseline"/>
                <w:lang w:val="en-US" w:eastAsia="zh-CN"/>
              </w:rPr>
            </w:pPr>
            <w:r>
              <w:rPr>
                <w:rFonts w:hint="eastAsia"/>
                <w:vertAlign w:val="baseline"/>
                <w:lang w:val="en-US" w:eastAsia="zh-CN"/>
              </w:rPr>
              <w:t xml:space="preserve">        </w:t>
            </w:r>
            <w:r>
              <w:rPr>
                <w:rFonts w:hint="eastAsia" w:ascii="新宋体" w:hAnsi="新宋体" w:eastAsia="新宋体" w:cs="新宋体"/>
                <w:sz w:val="28"/>
                <w:szCs w:val="28"/>
                <w:vertAlign w:val="baseline"/>
                <w:lang w:val="en-US" w:eastAsia="zh-CN"/>
              </w:rPr>
              <w:t>血小板计数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3841" w:type="dxa"/>
            <w:vMerge w:val="continue"/>
            <w:noWrap w:val="0"/>
            <w:vAlign w:val="top"/>
          </w:tcPr>
          <w:p>
            <w:pPr>
              <w:numPr>
                <w:ilvl w:val="0"/>
                <w:numId w:val="0"/>
              </w:numPr>
              <w:rPr>
                <w:rFonts w:hint="eastAsia"/>
                <w:vertAlign w:val="baseline"/>
                <w:lang w:val="en-US" w:eastAsia="zh-CN"/>
              </w:rPr>
            </w:pPr>
          </w:p>
        </w:tc>
        <w:tc>
          <w:tcPr>
            <w:tcW w:w="1290" w:type="dxa"/>
            <w:noWrap w:val="0"/>
            <w:vAlign w:val="top"/>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&gt;50X10</w:t>
            </w:r>
            <w:r>
              <w:rPr>
                <w:rFonts w:hint="eastAsia"/>
                <w:sz w:val="28"/>
                <w:szCs w:val="28"/>
                <w:vertAlign w:val="superscript"/>
                <w:lang w:val="en-US" w:eastAsia="zh-CN"/>
              </w:rPr>
              <w:t>9</w:t>
            </w:r>
          </w:p>
        </w:tc>
        <w:tc>
          <w:tcPr>
            <w:tcW w:w="1485" w:type="dxa"/>
            <w:noWrap w:val="0"/>
            <w:vAlign w:val="top"/>
          </w:tcPr>
          <w:p>
            <w:pPr>
              <w:numPr>
                <w:ilvl w:val="0"/>
                <w:numId w:val="0"/>
              </w:numPr>
              <w:rPr>
                <w:rFonts w:hint="eastAsia"/>
                <w:strike w:val="0"/>
                <w:dstrike w:val="0"/>
                <w:sz w:val="28"/>
                <w:szCs w:val="28"/>
                <w:vertAlign w:val="baseline"/>
                <w:lang w:val="en-US" w:eastAsia="zh-CN"/>
              </w:rPr>
            </w:pPr>
            <w:r>
              <w:rPr>
                <w:rFonts w:hint="eastAsia"/>
                <w:strike w:val="0"/>
                <w:dstrike w:val="0"/>
                <w:sz w:val="28"/>
                <w:szCs w:val="28"/>
                <w:vertAlign w:val="baseline"/>
                <w:lang w:val="en-US" w:eastAsia="zh-CN"/>
              </w:rPr>
              <w:t>20-50</w:t>
            </w:r>
            <w:r>
              <w:rPr>
                <w:rFonts w:hint="eastAsia"/>
                <w:sz w:val="28"/>
                <w:szCs w:val="28"/>
                <w:vertAlign w:val="baseline"/>
                <w:lang w:val="en-US" w:eastAsia="zh-CN"/>
              </w:rPr>
              <w:t>X10</w:t>
            </w:r>
            <w:r>
              <w:rPr>
                <w:rFonts w:hint="eastAsia"/>
                <w:sz w:val="28"/>
                <w:szCs w:val="28"/>
                <w:vertAlign w:val="superscript"/>
                <w:lang w:val="en-US" w:eastAsia="zh-CN"/>
              </w:rPr>
              <w:t>9</w:t>
            </w:r>
          </w:p>
        </w:tc>
        <w:tc>
          <w:tcPr>
            <w:tcW w:w="1245" w:type="dxa"/>
            <w:noWrap w:val="0"/>
            <w:vAlign w:val="top"/>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&lt;20X10</w:t>
            </w:r>
            <w:r>
              <w:rPr>
                <w:rFonts w:hint="eastAsia"/>
                <w:sz w:val="28"/>
                <w:szCs w:val="28"/>
                <w:vertAlign w:val="superscript"/>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妊娠相关性血小板减少（PAT）</w:t>
            </w:r>
          </w:p>
        </w:tc>
        <w:tc>
          <w:tcPr>
            <w:tcW w:w="1290" w:type="dxa"/>
            <w:noWrap w:val="0"/>
            <w:vAlign w:val="top"/>
          </w:tcPr>
          <w:p>
            <w:pPr>
              <w:numPr>
                <w:ilvl w:val="0"/>
                <w:numId w:val="0"/>
              </w:numPr>
              <w:ind w:firstLine="480" w:firstLineChars="200"/>
              <w:rPr>
                <w:rFonts w:hint="default"/>
                <w:vertAlign w:val="baseline"/>
                <w:lang w:val="en-US" w:eastAsia="zh-CN"/>
              </w:rPr>
            </w:pPr>
            <w:r>
              <w:rPr>
                <w:rFonts w:hint="eastAsia"/>
                <w:sz w:val="24"/>
                <w:szCs w:val="24"/>
                <w:vertAlign w:val="baseline"/>
                <w:lang w:val="en-US" w:eastAsia="zh-CN"/>
              </w:rPr>
              <w:t>32</w:t>
            </w:r>
          </w:p>
        </w:tc>
        <w:tc>
          <w:tcPr>
            <w:tcW w:w="148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8</w:t>
            </w:r>
          </w:p>
        </w:tc>
        <w:tc>
          <w:tcPr>
            <w:tcW w:w="1245" w:type="dxa"/>
            <w:noWrap w:val="0"/>
            <w:vAlign w:val="top"/>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特发性血小板减少性紫癜（ITP）</w:t>
            </w:r>
          </w:p>
        </w:tc>
        <w:tc>
          <w:tcPr>
            <w:tcW w:w="1290"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2</w:t>
            </w:r>
          </w:p>
        </w:tc>
        <w:tc>
          <w:tcPr>
            <w:tcW w:w="1485" w:type="dxa"/>
            <w:noWrap w:val="0"/>
            <w:vAlign w:val="top"/>
          </w:tcPr>
          <w:p>
            <w:pPr>
              <w:numPr>
                <w:ilvl w:val="0"/>
                <w:numId w:val="0"/>
              </w:numPr>
              <w:rPr>
                <w:rFonts w:hint="default"/>
                <w:sz w:val="24"/>
                <w:szCs w:val="24"/>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4</w:t>
            </w:r>
          </w:p>
        </w:tc>
        <w:tc>
          <w:tcPr>
            <w:tcW w:w="1245" w:type="dxa"/>
            <w:noWrap w:val="0"/>
            <w:vAlign w:val="top"/>
          </w:tcPr>
          <w:p>
            <w:pPr>
              <w:numPr>
                <w:ilvl w:val="0"/>
                <w:numId w:val="0"/>
              </w:numPr>
              <w:rPr>
                <w:rFonts w:hint="default"/>
                <w:sz w:val="24"/>
                <w:szCs w:val="24"/>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妊娠期高血压疾病（PHD）</w:t>
            </w:r>
          </w:p>
        </w:tc>
        <w:tc>
          <w:tcPr>
            <w:tcW w:w="1290"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13</w:t>
            </w:r>
          </w:p>
        </w:tc>
        <w:tc>
          <w:tcPr>
            <w:tcW w:w="1485" w:type="dxa"/>
            <w:noWrap w:val="0"/>
            <w:vAlign w:val="top"/>
          </w:tcPr>
          <w:p>
            <w:pPr>
              <w:numPr>
                <w:ilvl w:val="0"/>
                <w:numId w:val="0"/>
              </w:numPr>
              <w:rPr>
                <w:rFonts w:hint="default"/>
                <w:sz w:val="24"/>
                <w:szCs w:val="24"/>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3</w:t>
            </w:r>
          </w:p>
        </w:tc>
        <w:tc>
          <w:tcPr>
            <w:tcW w:w="1245" w:type="dxa"/>
            <w:noWrap w:val="0"/>
            <w:vAlign w:val="top"/>
          </w:tcPr>
          <w:p>
            <w:pPr>
              <w:numPr>
                <w:ilvl w:val="0"/>
                <w:numId w:val="0"/>
              </w:numPr>
              <w:rPr>
                <w:rFonts w:hint="default"/>
                <w:sz w:val="24"/>
                <w:szCs w:val="24"/>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再生障碍性贫血（AA）</w:t>
            </w:r>
          </w:p>
        </w:tc>
        <w:tc>
          <w:tcPr>
            <w:tcW w:w="1290"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p>
        </w:tc>
        <w:tc>
          <w:tcPr>
            <w:tcW w:w="148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1</w:t>
            </w:r>
          </w:p>
        </w:tc>
        <w:tc>
          <w:tcPr>
            <w:tcW w:w="124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血栓性血小板减少性紫癜（TTP）</w:t>
            </w:r>
          </w:p>
        </w:tc>
        <w:tc>
          <w:tcPr>
            <w:tcW w:w="1290" w:type="dxa"/>
            <w:noWrap w:val="0"/>
            <w:vAlign w:val="top"/>
          </w:tcPr>
          <w:p>
            <w:pPr>
              <w:numPr>
                <w:ilvl w:val="0"/>
                <w:numId w:val="0"/>
              </w:numPr>
              <w:rPr>
                <w:rFonts w:hint="eastAsia"/>
                <w:vertAlign w:val="baseline"/>
                <w:lang w:val="en-US" w:eastAsia="zh-CN"/>
              </w:rPr>
            </w:pPr>
          </w:p>
        </w:tc>
        <w:tc>
          <w:tcPr>
            <w:tcW w:w="148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1</w:t>
            </w:r>
          </w:p>
        </w:tc>
        <w:tc>
          <w:tcPr>
            <w:tcW w:w="1245" w:type="dxa"/>
            <w:noWrap w:val="0"/>
            <w:vAlign w:val="top"/>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妊娠期脂肪肝（AFLP）</w:t>
            </w:r>
          </w:p>
        </w:tc>
        <w:tc>
          <w:tcPr>
            <w:tcW w:w="1290"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1</w:t>
            </w:r>
          </w:p>
        </w:tc>
        <w:tc>
          <w:tcPr>
            <w:tcW w:w="148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1</w:t>
            </w:r>
          </w:p>
        </w:tc>
        <w:tc>
          <w:tcPr>
            <w:tcW w:w="1245" w:type="dxa"/>
            <w:noWrap w:val="0"/>
            <w:vAlign w:val="top"/>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营养性巨幼细胞性贫血（NMA）</w:t>
            </w:r>
          </w:p>
        </w:tc>
        <w:tc>
          <w:tcPr>
            <w:tcW w:w="1290" w:type="dxa"/>
            <w:noWrap w:val="0"/>
            <w:vAlign w:val="top"/>
          </w:tcPr>
          <w:p>
            <w:pPr>
              <w:numPr>
                <w:ilvl w:val="0"/>
                <w:numId w:val="0"/>
              </w:numPr>
              <w:rPr>
                <w:rFonts w:hint="eastAsia"/>
                <w:vertAlign w:val="baseline"/>
                <w:lang w:val="en-US" w:eastAsia="zh-CN"/>
              </w:rPr>
            </w:pPr>
          </w:p>
        </w:tc>
        <w:tc>
          <w:tcPr>
            <w:tcW w:w="1485" w:type="dxa"/>
            <w:noWrap w:val="0"/>
            <w:vAlign w:val="top"/>
          </w:tcPr>
          <w:p>
            <w:pPr>
              <w:numPr>
                <w:ilvl w:val="0"/>
                <w:numId w:val="0"/>
              </w:numPr>
              <w:rPr>
                <w:rFonts w:hint="eastAsia"/>
                <w:vertAlign w:val="baseline"/>
                <w:lang w:val="en-US" w:eastAsia="zh-CN"/>
              </w:rPr>
            </w:pPr>
          </w:p>
        </w:tc>
        <w:tc>
          <w:tcPr>
            <w:tcW w:w="124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妊娠期肝内胆汁淤积综合症（ICP）</w:t>
            </w:r>
          </w:p>
        </w:tc>
        <w:tc>
          <w:tcPr>
            <w:tcW w:w="1290"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1</w:t>
            </w:r>
          </w:p>
        </w:tc>
        <w:tc>
          <w:tcPr>
            <w:tcW w:w="148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2</w:t>
            </w:r>
          </w:p>
        </w:tc>
        <w:tc>
          <w:tcPr>
            <w:tcW w:w="1245" w:type="dxa"/>
            <w:noWrap w:val="0"/>
            <w:vAlign w:val="top"/>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 xml:space="preserve">抗磷脂抗体综合症（APS）  </w:t>
            </w:r>
          </w:p>
        </w:tc>
        <w:tc>
          <w:tcPr>
            <w:tcW w:w="1290" w:type="dxa"/>
            <w:noWrap w:val="0"/>
            <w:vAlign w:val="top"/>
          </w:tcPr>
          <w:p>
            <w:pPr>
              <w:numPr>
                <w:ilvl w:val="0"/>
                <w:numId w:val="0"/>
              </w:numPr>
              <w:rPr>
                <w:rFonts w:hint="eastAsia"/>
                <w:vertAlign w:val="baseline"/>
                <w:lang w:val="en-US" w:eastAsia="zh-CN"/>
              </w:rPr>
            </w:pPr>
          </w:p>
        </w:tc>
        <w:tc>
          <w:tcPr>
            <w:tcW w:w="1485" w:type="dxa"/>
            <w:noWrap w:val="0"/>
            <w:vAlign w:val="top"/>
          </w:tcPr>
          <w:p>
            <w:pPr>
              <w:numPr>
                <w:ilvl w:val="0"/>
                <w:numId w:val="0"/>
              </w:numPr>
              <w:rPr>
                <w:rFonts w:hint="eastAsia"/>
                <w:vertAlign w:val="baseline"/>
                <w:lang w:val="en-US" w:eastAsia="zh-CN"/>
              </w:rPr>
            </w:pPr>
          </w:p>
        </w:tc>
        <w:tc>
          <w:tcPr>
            <w:tcW w:w="124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系统性红斑狼疮（SLE）</w:t>
            </w:r>
          </w:p>
        </w:tc>
        <w:tc>
          <w:tcPr>
            <w:tcW w:w="1290"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1</w:t>
            </w:r>
          </w:p>
        </w:tc>
        <w:tc>
          <w:tcPr>
            <w:tcW w:w="148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1</w:t>
            </w:r>
          </w:p>
        </w:tc>
        <w:tc>
          <w:tcPr>
            <w:tcW w:w="124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溶血性尿毒症（AUS）</w:t>
            </w:r>
          </w:p>
        </w:tc>
        <w:tc>
          <w:tcPr>
            <w:tcW w:w="1290"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1</w:t>
            </w:r>
          </w:p>
        </w:tc>
        <w:tc>
          <w:tcPr>
            <w:tcW w:w="1485" w:type="dxa"/>
            <w:noWrap w:val="0"/>
            <w:vAlign w:val="top"/>
          </w:tcPr>
          <w:p>
            <w:pPr>
              <w:numPr>
                <w:ilvl w:val="0"/>
                <w:numId w:val="0"/>
              </w:numPr>
              <w:rPr>
                <w:rFonts w:hint="eastAsia"/>
                <w:vertAlign w:val="baseline"/>
                <w:lang w:val="en-US" w:eastAsia="zh-CN"/>
              </w:rPr>
            </w:pPr>
          </w:p>
        </w:tc>
        <w:tc>
          <w:tcPr>
            <w:tcW w:w="1245" w:type="dxa"/>
            <w:noWrap w:val="0"/>
            <w:vAlign w:val="top"/>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脾功能亢进（HP）</w:t>
            </w:r>
          </w:p>
        </w:tc>
        <w:tc>
          <w:tcPr>
            <w:tcW w:w="1290"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p>
        </w:tc>
        <w:tc>
          <w:tcPr>
            <w:tcW w:w="148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1</w:t>
            </w:r>
          </w:p>
        </w:tc>
        <w:tc>
          <w:tcPr>
            <w:tcW w:w="1245" w:type="dxa"/>
            <w:noWrap w:val="0"/>
            <w:vAlign w:val="top"/>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1" w:type="dxa"/>
            <w:noWrap w:val="0"/>
            <w:vAlign w:val="top"/>
          </w:tcPr>
          <w:p>
            <w:pPr>
              <w:numPr>
                <w:ilvl w:val="0"/>
                <w:numId w:val="0"/>
              </w:numPr>
              <w:rPr>
                <w:rFonts w:hint="eastAsia"/>
                <w:vertAlign w:val="baseline"/>
                <w:lang w:val="en-US" w:eastAsia="zh-CN"/>
              </w:rPr>
            </w:pPr>
            <w:r>
              <w:rPr>
                <w:rFonts w:hint="eastAsia"/>
                <w:vertAlign w:val="baseline"/>
                <w:lang w:val="en-US" w:eastAsia="zh-CN"/>
              </w:rPr>
              <w:t>慢性肝炎  叶酸缺乏 类风湿关节炎 甲亢</w:t>
            </w:r>
          </w:p>
        </w:tc>
        <w:tc>
          <w:tcPr>
            <w:tcW w:w="1290"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8"/>
                <w:szCs w:val="28"/>
                <w:vertAlign w:val="baseline"/>
                <w:lang w:val="en-US" w:eastAsia="zh-CN"/>
              </w:rPr>
              <w:t>2</w:t>
            </w:r>
          </w:p>
        </w:tc>
        <w:tc>
          <w:tcPr>
            <w:tcW w:w="1485" w:type="dxa"/>
            <w:noWrap w:val="0"/>
            <w:vAlign w:val="top"/>
          </w:tcPr>
          <w:p>
            <w:pPr>
              <w:numPr>
                <w:ilvl w:val="0"/>
                <w:numId w:val="0"/>
              </w:numPr>
              <w:rPr>
                <w:rFonts w:hint="default"/>
                <w:sz w:val="28"/>
                <w:szCs w:val="28"/>
                <w:vertAlign w:val="baseline"/>
                <w:lang w:val="en-US" w:eastAsia="zh-CN"/>
              </w:rPr>
            </w:pPr>
            <w:r>
              <w:rPr>
                <w:rFonts w:hint="eastAsia"/>
                <w:vertAlign w:val="baseline"/>
                <w:lang w:val="en-US" w:eastAsia="zh-CN"/>
              </w:rPr>
              <w:t xml:space="preserve">  </w:t>
            </w:r>
            <w:r>
              <w:rPr>
                <w:rFonts w:hint="eastAsia"/>
                <w:sz w:val="24"/>
                <w:szCs w:val="24"/>
                <w:vertAlign w:val="baseline"/>
                <w:lang w:val="en-US" w:eastAsia="zh-CN"/>
              </w:rPr>
              <w:t xml:space="preserve">  </w:t>
            </w:r>
            <w:r>
              <w:rPr>
                <w:rFonts w:hint="eastAsia"/>
                <w:sz w:val="28"/>
                <w:szCs w:val="28"/>
                <w:vertAlign w:val="baseline"/>
                <w:lang w:val="en-US" w:eastAsia="zh-CN"/>
              </w:rPr>
              <w:t>2</w:t>
            </w:r>
          </w:p>
        </w:tc>
        <w:tc>
          <w:tcPr>
            <w:tcW w:w="1245" w:type="dxa"/>
            <w:noWrap w:val="0"/>
            <w:vAlign w:val="top"/>
          </w:tcPr>
          <w:p>
            <w:pPr>
              <w:numPr>
                <w:ilvl w:val="0"/>
                <w:numId w:val="0"/>
              </w:numPr>
              <w:rPr>
                <w:rFonts w:hint="default"/>
                <w:vertAlign w:val="baseline"/>
                <w:lang w:val="en-US" w:eastAsia="zh-CN"/>
              </w:rPr>
            </w:pPr>
            <w:r>
              <w:rPr>
                <w:rFonts w:hint="eastAsia"/>
                <w:vertAlign w:val="baseline"/>
                <w:lang w:val="en-US" w:eastAsia="zh-CN"/>
              </w:rPr>
              <w:t xml:space="preserve">  </w:t>
            </w:r>
            <w:r>
              <w:rPr>
                <w:rFonts w:hint="eastAsia"/>
                <w:sz w:val="28"/>
                <w:szCs w:val="28"/>
                <w:vertAlign w:val="baseline"/>
                <w:lang w:val="en-US" w:eastAsia="zh-CN"/>
              </w:rPr>
              <w:t xml:space="preserve"> 1</w:t>
            </w:r>
          </w:p>
        </w:tc>
      </w:tr>
    </w:tbl>
    <w:p>
      <w:pPr>
        <w:ind w:firstLine="0" w:firstLineChars="0"/>
        <w:rPr>
          <w:rFonts w:hint="eastAsia"/>
          <w:sz w:val="30"/>
          <w:szCs w:val="30"/>
          <w:lang w:val="en-US" w:eastAsia="zh-CN"/>
        </w:rPr>
      </w:pPr>
      <w:r>
        <w:rPr>
          <w:rFonts w:hint="eastAsia"/>
          <w:sz w:val="30"/>
          <w:szCs w:val="30"/>
          <w:lang w:val="en-US" w:eastAsia="zh-CN"/>
        </w:rPr>
        <w:t>1.3实验室检查</w:t>
      </w:r>
    </w:p>
    <w:p>
      <w:pPr>
        <w:ind w:firstLine="0" w:firstLineChars="0"/>
        <w:rPr>
          <w:rFonts w:hint="eastAsia" w:ascii="新宋体" w:hAnsi="新宋体" w:eastAsia="新宋体" w:cs="新宋体"/>
          <w:sz w:val="30"/>
          <w:szCs w:val="30"/>
          <w:lang w:val="en-US" w:eastAsia="zh-CN"/>
        </w:rPr>
      </w:pPr>
      <w:r>
        <w:rPr>
          <w:rFonts w:hint="eastAsia"/>
          <w:sz w:val="30"/>
          <w:szCs w:val="30"/>
          <w:lang w:val="en-US" w:eastAsia="zh-CN"/>
        </w:rPr>
        <w:t>1.3.1血像：53例血小板计数&gt;50X10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/L,24例血小板总数在20-50</w:t>
      </w:r>
      <w:r>
        <w:rPr>
          <w:rFonts w:hint="eastAsia"/>
          <w:sz w:val="30"/>
          <w:szCs w:val="30"/>
          <w:lang w:val="en-US" w:eastAsia="zh-CN"/>
        </w:rPr>
        <w:t>X10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/L,9例血小板总数&lt;20</w:t>
      </w:r>
      <w:r>
        <w:rPr>
          <w:rFonts w:hint="eastAsia"/>
          <w:sz w:val="30"/>
          <w:szCs w:val="30"/>
          <w:lang w:val="en-US" w:eastAsia="zh-CN"/>
        </w:rPr>
        <w:t>X10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/L,10例HPA（血小板抗体）阳性，75例有不同程度贫血，血红蛋白在36-107g/L,56例MA（血小板功能）在正常值以下；2例妊娠期脂肪肝和2例再障PT(凝血酶原时间）及活化部分凝血酶时间（APTT）均延长。</w:t>
      </w:r>
    </w:p>
    <w:p>
      <w:pPr>
        <w:ind w:firstLine="0" w:firstLineChars="0"/>
        <w:rPr>
          <w:rFonts w:hint="eastAsia"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1.3.2骨髓像:13例行骨髓穿刺,其中确诊为ITP 8例；巨幼红细胞性贫血1例；再生障碍性贫血2例；2例正常。</w:t>
      </w:r>
    </w:p>
    <w:p>
      <w:pPr>
        <w:numPr>
          <w:ilvl w:val="0"/>
          <w:numId w:val="1"/>
        </w:numPr>
        <w:ind w:firstLine="0" w:firstLineChars="0"/>
        <w:rPr>
          <w:rFonts w:hint="eastAsia"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治疗：包括针对病因的治疗及升高血小板的治疗方法：（1）糖皮质激素的治疗：地塞米松10-20mg，静滴3-5天，共12例，包括8例ITP，3例SLE，1例APS。11例有效，1例无效；（2）重组人血小板生成素注射液，其机制是刺激巨核细胞生长及分化的内源性细胞因子，对巨核细胞生长的各阶段均有刺激作用，从而升高血小板的数目，剂量为每日每公斤体重300U，每日一次，连续应用14天，共37例（妊娠相关性血小板减少，再障，MA，妊娠期脂肪肝，ICP），33例1周后复查血小板均升高（10-20*</w:t>
      </w:r>
      <w:r>
        <w:rPr>
          <w:rFonts w:hint="eastAsia"/>
          <w:sz w:val="30"/>
          <w:szCs w:val="30"/>
          <w:lang w:val="en-US" w:eastAsia="zh-CN"/>
        </w:rPr>
        <w:t>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4例无效。（3）注射性人类免疫球蛋白，对于激素及重组人血小板生成素治疗效果不明显者可应用大剂量免疫球蛋白静脉滴注，其升高血小板速度快，副作用少，对于免疫性因素引起的血小板减少症治疗效果优于皮质类固醇，但费用偏高，其作用机制主要是通过阻断巨噬细胞表面的FC受体而减少血小板的清除率，或阻断抗原抗体结合的过程，本组使用免疫球蛋白者共4例（巨幼红细胞贫血1例，再生障碍性贫血1例，血栓性血小板减少性紫癜1例，抗磷脂抗体综合征1例），均具有明显效果，血小板均升高（20-30</w:t>
      </w:r>
      <w:r>
        <w:rPr>
          <w:rFonts w:hint="eastAsia"/>
          <w:sz w:val="30"/>
          <w:szCs w:val="30"/>
          <w:lang w:val="en-US" w:eastAsia="zh-CN"/>
        </w:rPr>
        <w:t>X10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/L),(4)输血对症治疗：血小板&lt;20</w:t>
      </w:r>
      <w:r>
        <w:rPr>
          <w:rFonts w:hint="eastAsia"/>
          <w:sz w:val="30"/>
          <w:szCs w:val="30"/>
          <w:lang w:val="en-US" w:eastAsia="zh-CN"/>
        </w:rPr>
        <w:t>X10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有出血症状，或终止妊娠前贫血，血小板功能偏低，低蛋白血症时，可输注成份血如新鲜血，血小板，新鲜冰冻血浆，人血白蛋白，由于患者血小板在体内存活时间短（40-230min)，正常人群血小板寿命（8-12d)，使以后输血渐趋无效，因此，孕期应尽量减少输血。（5）其他：有出血症状者使用止血药物，可使用氨甲环酸，白眉蛇毒凝血酶原，卡络磺钠注射液等增加凝血因子的止血功能。（6）对于上述方法无效者，有严重出血倾向：PLT&lt;10</w:t>
      </w:r>
      <w:r>
        <w:rPr>
          <w:rFonts w:hint="eastAsia"/>
          <w:sz w:val="30"/>
          <w:szCs w:val="30"/>
          <w:lang w:val="en-US" w:eastAsia="zh-CN"/>
        </w:rPr>
        <w:t>X10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/L,可考虑在妊娠中期（12-24周）行脾切除，该治疗指征尚存在一定的争议。</w:t>
      </w:r>
    </w:p>
    <w:p>
      <w:pPr>
        <w:numPr>
          <w:ilvl w:val="0"/>
          <w:numId w:val="1"/>
        </w:numPr>
        <w:ind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分娩方式的选择：妊娠合并血小板减少的分娩方式目前仍有争议；多数认为在血小板计数&lt;30X</w:t>
      </w:r>
      <w:r>
        <w:rPr>
          <w:rFonts w:hint="eastAsia"/>
          <w:sz w:val="30"/>
          <w:szCs w:val="30"/>
          <w:lang w:val="en-US" w:eastAsia="zh-CN"/>
        </w:rPr>
        <w:t>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/L情况下，为避免产妇过度用力造成颅内出血、新生儿颅内出血；应该考虑剖宫产；我们认为</w:t>
      </w:r>
      <w:r>
        <w:rPr>
          <w:rFonts w:hint="default" w:ascii="Arial" w:hAnsi="Arial" w:eastAsia="新宋体" w:cs="Arial"/>
          <w:sz w:val="30"/>
          <w:szCs w:val="30"/>
          <w:lang w:val="en-US" w:eastAsia="zh-CN"/>
        </w:rPr>
        <w:t>≥</w:t>
      </w:r>
      <w:r>
        <w:rPr>
          <w:rFonts w:hint="eastAsia" w:ascii="Arial" w:hAnsi="Arial" w:eastAsia="新宋体" w:cs="Arial"/>
          <w:sz w:val="30"/>
          <w:szCs w:val="30"/>
          <w:lang w:val="en-US" w:eastAsia="zh-CN"/>
        </w:rPr>
        <w:t>5</w:t>
      </w:r>
      <w:r>
        <w:rPr>
          <w:rFonts w:hint="eastAsia" w:ascii="新宋体" w:hAnsi="新宋体" w:eastAsia="新宋体" w:cs="新宋体"/>
          <w:sz w:val="30"/>
          <w:szCs w:val="30"/>
          <w:lang w:val="en-US" w:eastAsia="zh-CN"/>
        </w:rPr>
        <w:t>0X</w:t>
      </w:r>
      <w:r>
        <w:rPr>
          <w:rFonts w:hint="eastAsia"/>
          <w:sz w:val="30"/>
          <w:szCs w:val="30"/>
          <w:lang w:val="en-US" w:eastAsia="zh-CN"/>
        </w:rPr>
        <w:t>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经产妇或者胎儿较小，无产科合并症的孕妇，可考虑阴道试产，但要控制产程，避免急产和滞产；禁止用产钳和胎头吸引器，及时应用缩宫素减少出血量，如会阴侧切，切口需彻底缝合止血，并做好输新鲜血和血小板的准备。血小板30-50X</w:t>
      </w:r>
      <w:r>
        <w:rPr>
          <w:rFonts w:hint="eastAsia"/>
          <w:sz w:val="30"/>
          <w:szCs w:val="30"/>
          <w:lang w:val="en-US" w:eastAsia="zh-CN"/>
        </w:rPr>
        <w:t>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也应考虑剖宫产，准备血源，术前3天开始输注血小板，以中和母体血中的抗血小板抗体并减少产时产后出血；术中术后再次输注血小板，以保证血小板计数在短期内升高，防止术时，术后发生切口出血，子宫出血，颅内出血和硬膜外血肿，术中应加强止血，术后辅助使用止血药物。</w:t>
      </w:r>
    </w:p>
    <w:p>
      <w:pPr>
        <w:numPr>
          <w:ilvl w:val="0"/>
          <w:numId w:val="1"/>
        </w:numPr>
        <w:ind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母婴结局：40例PAT患者血小板均于产后明显上升，30例于产后一周血小板已正常，10例于产后42天复诊血小板已正常，随着妊娠的终止及合并症的治疗，血小板逐渐上升至孕前水平。</w:t>
      </w:r>
    </w:p>
    <w:p>
      <w:pPr>
        <w:numPr>
          <w:ilvl w:val="0"/>
          <w:numId w:val="1"/>
        </w:numPr>
        <w:ind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讨论：妊娠期血常规检查：PLT&lt;125X</w:t>
      </w:r>
      <w:r>
        <w:rPr>
          <w:rFonts w:hint="eastAsia"/>
          <w:sz w:val="30"/>
          <w:szCs w:val="30"/>
          <w:lang w:val="en-US" w:eastAsia="zh-CN"/>
        </w:rPr>
        <w:t>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即可诊断为妊娠合并血小板减少，最为常见的为（1）PAT，机制尚不清楚，可能是由于妊娠期血容量的增加，血液稀释，胎盘的吸收利用增加，血小板的消耗增多，分布异常，而不是破坏增多所致，孕前无血小板减少病史，妊娠期血小板多轻度减少（</w:t>
      </w:r>
      <w:r>
        <w:rPr>
          <w:rFonts w:hint="default" w:ascii="Arial" w:hAnsi="Arial" w:eastAsia="新宋体" w:cs="Arial"/>
          <w:sz w:val="30"/>
          <w:szCs w:val="30"/>
          <w:lang w:val="en-US" w:eastAsia="zh-CN"/>
        </w:rPr>
        <w:t>≥</w:t>
      </w:r>
      <w:r>
        <w:rPr>
          <w:rFonts w:hint="eastAsia" w:ascii="Arial" w:hAnsi="Arial" w:eastAsia="新宋体" w:cs="Arial"/>
          <w:sz w:val="30"/>
          <w:szCs w:val="30"/>
          <w:lang w:val="en-US" w:eastAsia="zh-CN"/>
        </w:rPr>
        <w:t>5</w:t>
      </w:r>
      <w:r>
        <w:rPr>
          <w:rFonts w:hint="eastAsia" w:ascii="新宋体" w:hAnsi="新宋体" w:eastAsia="新宋体" w:cs="新宋体"/>
          <w:sz w:val="30"/>
          <w:szCs w:val="30"/>
          <w:lang w:val="en-US" w:eastAsia="zh-CN"/>
        </w:rPr>
        <w:t>0X</w:t>
      </w:r>
      <w:r>
        <w:rPr>
          <w:rFonts w:hint="eastAsia"/>
          <w:sz w:val="30"/>
          <w:szCs w:val="30"/>
          <w:lang w:val="en-US" w:eastAsia="zh-CN"/>
        </w:rPr>
        <w:t>10</w:t>
      </w:r>
      <w:r>
        <w:rPr>
          <w:rFonts w:hint="eastAsia"/>
          <w:sz w:val="30"/>
          <w:szCs w:val="30"/>
          <w:vertAlign w:val="superscript"/>
          <w:lang w:val="en-US" w:eastAsia="zh-CN"/>
        </w:rPr>
        <w:t>9</w:t>
      </w:r>
      <w:r>
        <w:rPr>
          <w:rFonts w:hint="eastAsia" w:ascii="新宋体" w:hAnsi="新宋体" w:eastAsia="新宋体" w:cs="新宋体"/>
          <w:sz w:val="30"/>
          <w:szCs w:val="30"/>
          <w:lang w:val="en-US" w:eastAsia="zh-CN"/>
        </w:rPr>
        <w:t>/L），一般在妊娠中晚期出现，无母体及新生儿出血的临床表现；HPA、抗核抗体均阴性；除血小板下降明显者给予特殊处理，其他不需要特殊干预，(2)ITP,是一种以血小板减少为特点的获得性免疫紊乱，具有免疫介导的特点，存在血小板生成减少，Tcell介导作用等多种机制，特点是血小板寿命缩短，伴巨核细胞成熟障碍，血小板相关抗体增多，糖皮质激素治疗有效，HPA大多阳性，血小板抗体可通过胎盘，致胎儿或者新生儿血小板减少，由于血小板抗体通过胎盘屏障进入胎儿体内导致胎儿血小板被破坏，容易引起胎儿或者新生儿出血性疾病；本资料ITP 8例，有一例出现新生儿颅内出血。（3）PHD，也可并发血小板减少，机制为血管痉挛收缩后引起血管内皮损伤，使扩血管物质：NO,前列腺素I</w:t>
      </w:r>
      <w:r>
        <w:rPr>
          <w:rFonts w:hint="eastAsia" w:ascii="新宋体" w:hAnsi="新宋体" w:eastAsia="新宋体" w:cs="新宋体"/>
          <w:sz w:val="30"/>
          <w:szCs w:val="30"/>
          <w:vertAlign w:val="subscript"/>
          <w:lang w:val="en-US" w:eastAsia="zh-CN"/>
        </w:rPr>
        <w:t>2</w:t>
      </w:r>
      <w:r>
        <w:rPr>
          <w:rFonts w:hint="eastAsia" w:ascii="新宋体" w:hAnsi="新宋体" w:eastAsia="新宋体" w:cs="新宋体"/>
          <w:sz w:val="30"/>
          <w:szCs w:val="30"/>
          <w:lang w:val="en-US" w:eastAsia="zh-CN"/>
        </w:rPr>
        <w:t>合成减少，血小板被激活，而缩血管物质如内皮ET,TxA</w:t>
      </w:r>
      <w:r>
        <w:rPr>
          <w:rFonts w:hint="eastAsia" w:ascii="新宋体" w:hAnsi="新宋体" w:eastAsia="新宋体" w:cs="新宋体"/>
          <w:sz w:val="30"/>
          <w:szCs w:val="30"/>
          <w:vertAlign w:val="subscript"/>
          <w:lang w:val="en-US" w:eastAsia="zh-CN"/>
        </w:rPr>
        <w:t>2</w:t>
      </w:r>
      <w:r>
        <w:rPr>
          <w:rFonts w:hint="eastAsia" w:ascii="新宋体" w:hAnsi="新宋体" w:eastAsia="新宋体" w:cs="新宋体"/>
          <w:sz w:val="30"/>
          <w:szCs w:val="30"/>
          <w:lang w:val="en-US" w:eastAsia="zh-CN"/>
        </w:rPr>
        <w:t>增加，从而促进血管痉挛，促使血管内皮进一步损伤；促进血小板聚集，增加了血小板消耗而使血小板减少，血小板的计数与妊高症的严重程度关系密切；随着产后妊高症的好转，血小板逐渐恢复正常，该样本18例妊高症中，血小板在产后42天复查时15例恢复正常，余3例接近正常。（4）其他，如果血小板较低，具有母体症状时均需积极处理。</w:t>
      </w:r>
    </w:p>
    <w:p>
      <w:pPr>
        <w:numPr>
          <w:ilvl w:val="0"/>
          <w:numId w:val="0"/>
        </w:numPr>
        <w:ind w:firstLine="600" w:firstLineChars="200"/>
        <w:rPr>
          <w:rFonts w:hint="eastAsia"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综上所述：妊娠合并血小板减少是围生期的一种常见病，需及时治疗，如果处理不当，可导致严重的产后出血，产褥感染，胎死宫内，新生儿颅内出血等，引起不良结局，严重者危及母婴生命。</w:t>
      </w:r>
    </w:p>
    <w:p>
      <w:pPr>
        <w:numPr>
          <w:ilvl w:val="0"/>
          <w:numId w:val="0"/>
        </w:numPr>
        <w:ind w:firstLine="3000" w:firstLineChars="1000"/>
        <w:rPr>
          <w:rFonts w:hint="eastAsia"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w:t>
      </w:r>
      <w:r>
        <w:rPr>
          <w:rFonts w:hint="eastAsia" w:ascii="黑体" w:hAnsi="黑体" w:eastAsia="黑体" w:cs="黑体"/>
          <w:sz w:val="30"/>
          <w:szCs w:val="30"/>
          <w:lang w:val="en-US" w:eastAsia="zh-CN"/>
        </w:rPr>
        <w:t>参 考 文 献</w:t>
      </w:r>
      <w:r>
        <w:rPr>
          <w:rFonts w:hint="eastAsia" w:ascii="新宋体" w:hAnsi="新宋体" w:eastAsia="新宋体" w:cs="新宋体"/>
          <w:sz w:val="30"/>
          <w:szCs w:val="30"/>
          <w:lang w:val="en-US" w:eastAsia="zh-CN"/>
        </w:rPr>
        <w:t>】</w:t>
      </w:r>
    </w:p>
    <w:p>
      <w:pPr>
        <w:numPr>
          <w:ilvl w:val="0"/>
          <w:numId w:val="2"/>
        </w:numPr>
        <w:ind w:left="150" w:leftChars="0" w:firstLine="0" w:firstLineChars="0"/>
        <w:rPr>
          <w:rFonts w:hint="eastAsia"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张欣，李少闻，邬晋芳，张云萍，妊娠合并血小板减少103例临床分析（A）中国妇幼健康研究2011年第22卷第5期 672-674</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刘菊菊 妊娠合并血小板减少对产妇分娩方式及母婴结局的影响（A）中外医疗 2016 NO 17  90-91</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荣秦英，马锦琪，高涛。妊娠合并血小板减少55例临床分析（A）中国血液流变学杂志2012；22（4）672-675</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李红梅 妊娠合并血小板减少的病因及围产期处理方法；（A）中外医疗 2014.NO.05 66-67</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李方丽，韩伟。妊娠合并血小板减少58例临床分析（A)中国医疗前沿 2010.05.0040   33-34</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敦敦高娃 妊娠合并血小板减少48例临床分析（A) 临床研究（2014）12-0381-02   381-382</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 xml:space="preserve">王蓓蓓，邵玉。妊娠合并血小板减少对产妇分娩方式及母婴结局的影响（A) 中国继续医学教育.第8卷.第32期.2016.32.053 96-97  </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施建飞，汤春辉，妊娠合并血小板减少105例临床分析（A）中国实用妇科与产科杂志2006-12-12   930-932</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刘晓丽，蒋晓芒 妊娠合并血小板减少110例临床分析（J）吉林医学 2015-05-31-13  1848-1849</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李能霞 妊娠合并血小板减少病因及治疗的回顾性调查（B）中国初级卫生保健 2016Vd 30.NO.4 APr 33-34</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石中华，丁虹娟 妊娠合并血小板减少病因及诊疗策略（B）中国实用妇产科杂志 2016 Sep Vol 32 NO 9 649-652</w:t>
      </w:r>
    </w:p>
    <w:p>
      <w:pPr>
        <w:numPr>
          <w:ilvl w:val="0"/>
          <w:numId w:val="2"/>
        </w:numPr>
        <w:ind w:left="150" w:leftChars="0" w:firstLine="0" w:firstLineChars="0"/>
        <w:rPr>
          <w:rFonts w:hint="default"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徐冰南，徐丽南 妊娠合并血小板减少的临床分析 （B）医药论坛杂志 2008.May.Vol.29.N.10  3-5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D1594"/>
    <w:multiLevelType w:val="singleLevel"/>
    <w:tmpl w:val="86FD1594"/>
    <w:lvl w:ilvl="0" w:tentative="0">
      <w:start w:val="1"/>
      <w:numFmt w:val="decimal"/>
      <w:suff w:val="nothing"/>
      <w:lvlText w:val="（%1）"/>
      <w:lvlJc w:val="left"/>
      <w:pPr>
        <w:ind w:left="150" w:leftChars="0" w:firstLine="0" w:firstLineChars="0"/>
      </w:pPr>
    </w:lvl>
  </w:abstractNum>
  <w:abstractNum w:abstractNumId="1">
    <w:nsid w:val="7D5B03D7"/>
    <w:multiLevelType w:val="singleLevel"/>
    <w:tmpl w:val="7D5B03D7"/>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4015F"/>
    <w:rsid w:val="02B6143C"/>
    <w:rsid w:val="03464A76"/>
    <w:rsid w:val="03D43E2B"/>
    <w:rsid w:val="045E01D0"/>
    <w:rsid w:val="04A340F9"/>
    <w:rsid w:val="05043739"/>
    <w:rsid w:val="05CF4A0E"/>
    <w:rsid w:val="066C1478"/>
    <w:rsid w:val="06E43FD8"/>
    <w:rsid w:val="07F1616F"/>
    <w:rsid w:val="081829FC"/>
    <w:rsid w:val="085814A7"/>
    <w:rsid w:val="085D3B72"/>
    <w:rsid w:val="08BF68A9"/>
    <w:rsid w:val="09276EDE"/>
    <w:rsid w:val="09F246DE"/>
    <w:rsid w:val="0A71125D"/>
    <w:rsid w:val="0AE90B07"/>
    <w:rsid w:val="0C3A2D60"/>
    <w:rsid w:val="0C986DD2"/>
    <w:rsid w:val="0D100A2F"/>
    <w:rsid w:val="0DE50A62"/>
    <w:rsid w:val="0E7B6BF4"/>
    <w:rsid w:val="0E8A0301"/>
    <w:rsid w:val="10463D55"/>
    <w:rsid w:val="106F7B12"/>
    <w:rsid w:val="110E502D"/>
    <w:rsid w:val="115E73EF"/>
    <w:rsid w:val="11653E8F"/>
    <w:rsid w:val="12BD3010"/>
    <w:rsid w:val="13375F61"/>
    <w:rsid w:val="13443C39"/>
    <w:rsid w:val="13505CC2"/>
    <w:rsid w:val="14DB7D0E"/>
    <w:rsid w:val="153C294B"/>
    <w:rsid w:val="15A27ADD"/>
    <w:rsid w:val="16D61767"/>
    <w:rsid w:val="16F0602A"/>
    <w:rsid w:val="17634B13"/>
    <w:rsid w:val="18162FD9"/>
    <w:rsid w:val="18F87CF1"/>
    <w:rsid w:val="19052D87"/>
    <w:rsid w:val="193110C8"/>
    <w:rsid w:val="1A9558A2"/>
    <w:rsid w:val="1B923841"/>
    <w:rsid w:val="1C4528A9"/>
    <w:rsid w:val="1D1E698E"/>
    <w:rsid w:val="1E743857"/>
    <w:rsid w:val="1EE21314"/>
    <w:rsid w:val="1EF40D1E"/>
    <w:rsid w:val="1EF40DC7"/>
    <w:rsid w:val="1F9E3D05"/>
    <w:rsid w:val="20820E8E"/>
    <w:rsid w:val="20E2273B"/>
    <w:rsid w:val="20FB526A"/>
    <w:rsid w:val="22271DDF"/>
    <w:rsid w:val="22917AAF"/>
    <w:rsid w:val="238B1E95"/>
    <w:rsid w:val="24DC3629"/>
    <w:rsid w:val="25C61387"/>
    <w:rsid w:val="27421D86"/>
    <w:rsid w:val="27B92725"/>
    <w:rsid w:val="287370AC"/>
    <w:rsid w:val="287E599B"/>
    <w:rsid w:val="28901BA7"/>
    <w:rsid w:val="28C60D9A"/>
    <w:rsid w:val="29276E44"/>
    <w:rsid w:val="293A647F"/>
    <w:rsid w:val="29557156"/>
    <w:rsid w:val="29681BC5"/>
    <w:rsid w:val="298C2C05"/>
    <w:rsid w:val="299A27C9"/>
    <w:rsid w:val="29A07B17"/>
    <w:rsid w:val="29BD140F"/>
    <w:rsid w:val="2A144E5B"/>
    <w:rsid w:val="2A3071AD"/>
    <w:rsid w:val="2A3F6666"/>
    <w:rsid w:val="2B7A29C2"/>
    <w:rsid w:val="2B9A542B"/>
    <w:rsid w:val="2C0B28BF"/>
    <w:rsid w:val="2E3A134D"/>
    <w:rsid w:val="2E414FD8"/>
    <w:rsid w:val="2E543ED3"/>
    <w:rsid w:val="2E9B7131"/>
    <w:rsid w:val="2F2B5EB5"/>
    <w:rsid w:val="2F350825"/>
    <w:rsid w:val="2F7D131D"/>
    <w:rsid w:val="304E45D5"/>
    <w:rsid w:val="30A83848"/>
    <w:rsid w:val="31114FB2"/>
    <w:rsid w:val="31F96B86"/>
    <w:rsid w:val="329335CE"/>
    <w:rsid w:val="32C8141A"/>
    <w:rsid w:val="32F96949"/>
    <w:rsid w:val="33067DB5"/>
    <w:rsid w:val="333C224A"/>
    <w:rsid w:val="33A65212"/>
    <w:rsid w:val="34267058"/>
    <w:rsid w:val="345011D1"/>
    <w:rsid w:val="349F0366"/>
    <w:rsid w:val="34AE4491"/>
    <w:rsid w:val="34D23B85"/>
    <w:rsid w:val="34F85FD4"/>
    <w:rsid w:val="36072343"/>
    <w:rsid w:val="363C6495"/>
    <w:rsid w:val="363D50A0"/>
    <w:rsid w:val="366A1E87"/>
    <w:rsid w:val="36AE38EA"/>
    <w:rsid w:val="36B928EF"/>
    <w:rsid w:val="36BA02CC"/>
    <w:rsid w:val="36D94386"/>
    <w:rsid w:val="36F355CF"/>
    <w:rsid w:val="370422C0"/>
    <w:rsid w:val="37A75008"/>
    <w:rsid w:val="387466EF"/>
    <w:rsid w:val="389E72C5"/>
    <w:rsid w:val="38E743CA"/>
    <w:rsid w:val="399A620C"/>
    <w:rsid w:val="39C10233"/>
    <w:rsid w:val="3A4C2C13"/>
    <w:rsid w:val="3AA34DD1"/>
    <w:rsid w:val="3AC37116"/>
    <w:rsid w:val="3AF95763"/>
    <w:rsid w:val="3B295337"/>
    <w:rsid w:val="3B3C541E"/>
    <w:rsid w:val="3B97155D"/>
    <w:rsid w:val="3BBA76D5"/>
    <w:rsid w:val="3BFB5AA1"/>
    <w:rsid w:val="3C3C47B5"/>
    <w:rsid w:val="3C7D6B36"/>
    <w:rsid w:val="3C861E38"/>
    <w:rsid w:val="3C8F5765"/>
    <w:rsid w:val="3DA03B6A"/>
    <w:rsid w:val="3E2764D2"/>
    <w:rsid w:val="3E4A6A96"/>
    <w:rsid w:val="3EA01591"/>
    <w:rsid w:val="3ED14BBC"/>
    <w:rsid w:val="3ED47C54"/>
    <w:rsid w:val="3F1F5AFC"/>
    <w:rsid w:val="41040D6F"/>
    <w:rsid w:val="41550281"/>
    <w:rsid w:val="419A1A06"/>
    <w:rsid w:val="41BE7ACF"/>
    <w:rsid w:val="41C0702E"/>
    <w:rsid w:val="42452259"/>
    <w:rsid w:val="42950D07"/>
    <w:rsid w:val="43590B1A"/>
    <w:rsid w:val="437C3716"/>
    <w:rsid w:val="437C6A13"/>
    <w:rsid w:val="43907F60"/>
    <w:rsid w:val="442E12D0"/>
    <w:rsid w:val="44575CC2"/>
    <w:rsid w:val="44587CC7"/>
    <w:rsid w:val="44846145"/>
    <w:rsid w:val="44B75633"/>
    <w:rsid w:val="45580BA8"/>
    <w:rsid w:val="469B409F"/>
    <w:rsid w:val="47BF7C9A"/>
    <w:rsid w:val="47C25B8D"/>
    <w:rsid w:val="48294EB0"/>
    <w:rsid w:val="489E78FB"/>
    <w:rsid w:val="48F36DFA"/>
    <w:rsid w:val="49652CEB"/>
    <w:rsid w:val="49B562E0"/>
    <w:rsid w:val="4B0221A3"/>
    <w:rsid w:val="4C247F2C"/>
    <w:rsid w:val="4C527C73"/>
    <w:rsid w:val="4C99382E"/>
    <w:rsid w:val="4C9954A6"/>
    <w:rsid w:val="4CA06FBD"/>
    <w:rsid w:val="4E6E37BA"/>
    <w:rsid w:val="4E792FD2"/>
    <w:rsid w:val="4E896DAF"/>
    <w:rsid w:val="4F7B07B0"/>
    <w:rsid w:val="4FE43708"/>
    <w:rsid w:val="50543242"/>
    <w:rsid w:val="51097092"/>
    <w:rsid w:val="51A80373"/>
    <w:rsid w:val="51EB155E"/>
    <w:rsid w:val="52AF06C5"/>
    <w:rsid w:val="52BC6812"/>
    <w:rsid w:val="52DD650D"/>
    <w:rsid w:val="530558AB"/>
    <w:rsid w:val="53730B8A"/>
    <w:rsid w:val="53C5274E"/>
    <w:rsid w:val="53D8597B"/>
    <w:rsid w:val="5423336B"/>
    <w:rsid w:val="54C37957"/>
    <w:rsid w:val="551F5F50"/>
    <w:rsid w:val="560A2C15"/>
    <w:rsid w:val="564C1CAC"/>
    <w:rsid w:val="566C4E50"/>
    <w:rsid w:val="572B7D8D"/>
    <w:rsid w:val="57B0728D"/>
    <w:rsid w:val="58215E43"/>
    <w:rsid w:val="58283D5C"/>
    <w:rsid w:val="58633A77"/>
    <w:rsid w:val="58866542"/>
    <w:rsid w:val="58E0781B"/>
    <w:rsid w:val="5951746C"/>
    <w:rsid w:val="5A05710A"/>
    <w:rsid w:val="5A775C71"/>
    <w:rsid w:val="5B6D4F8B"/>
    <w:rsid w:val="5BBD336D"/>
    <w:rsid w:val="5BC022AB"/>
    <w:rsid w:val="5C5C05DF"/>
    <w:rsid w:val="5C78622A"/>
    <w:rsid w:val="5CA32717"/>
    <w:rsid w:val="5D7869AF"/>
    <w:rsid w:val="5D937113"/>
    <w:rsid w:val="5E406114"/>
    <w:rsid w:val="5E451091"/>
    <w:rsid w:val="5EA56C83"/>
    <w:rsid w:val="5EBA47BF"/>
    <w:rsid w:val="5EDD116E"/>
    <w:rsid w:val="5F1C0A86"/>
    <w:rsid w:val="5F6D3272"/>
    <w:rsid w:val="5F956FD6"/>
    <w:rsid w:val="5FB42F0E"/>
    <w:rsid w:val="6020276D"/>
    <w:rsid w:val="6065078D"/>
    <w:rsid w:val="609E352B"/>
    <w:rsid w:val="61307465"/>
    <w:rsid w:val="6159378E"/>
    <w:rsid w:val="617524BD"/>
    <w:rsid w:val="620D4606"/>
    <w:rsid w:val="62CF6EDC"/>
    <w:rsid w:val="62E35FC0"/>
    <w:rsid w:val="62F417F6"/>
    <w:rsid w:val="633D73F0"/>
    <w:rsid w:val="63617F64"/>
    <w:rsid w:val="63A916DA"/>
    <w:rsid w:val="63C82B76"/>
    <w:rsid w:val="63D174A2"/>
    <w:rsid w:val="65B35501"/>
    <w:rsid w:val="65E870A2"/>
    <w:rsid w:val="660E01DA"/>
    <w:rsid w:val="663D6ACB"/>
    <w:rsid w:val="670104C0"/>
    <w:rsid w:val="671810E1"/>
    <w:rsid w:val="68006B0E"/>
    <w:rsid w:val="68024CB8"/>
    <w:rsid w:val="68D00287"/>
    <w:rsid w:val="69273A5B"/>
    <w:rsid w:val="696F17AD"/>
    <w:rsid w:val="69824841"/>
    <w:rsid w:val="6A204FCD"/>
    <w:rsid w:val="6A6609DB"/>
    <w:rsid w:val="6AD76535"/>
    <w:rsid w:val="6BE54B8C"/>
    <w:rsid w:val="6C3B710E"/>
    <w:rsid w:val="6CD3183B"/>
    <w:rsid w:val="6D3C3F3F"/>
    <w:rsid w:val="6D417731"/>
    <w:rsid w:val="6DC76D99"/>
    <w:rsid w:val="6EBE093D"/>
    <w:rsid w:val="6F0118EB"/>
    <w:rsid w:val="702B6F38"/>
    <w:rsid w:val="70456C39"/>
    <w:rsid w:val="704C5CF9"/>
    <w:rsid w:val="70CA20CE"/>
    <w:rsid w:val="712934B1"/>
    <w:rsid w:val="71FC402C"/>
    <w:rsid w:val="728F6029"/>
    <w:rsid w:val="72DF36E1"/>
    <w:rsid w:val="72F34627"/>
    <w:rsid w:val="731313E5"/>
    <w:rsid w:val="73434D87"/>
    <w:rsid w:val="73C6507C"/>
    <w:rsid w:val="74873119"/>
    <w:rsid w:val="75E3364C"/>
    <w:rsid w:val="77642A68"/>
    <w:rsid w:val="77987545"/>
    <w:rsid w:val="78154370"/>
    <w:rsid w:val="789D03A8"/>
    <w:rsid w:val="78FC4B21"/>
    <w:rsid w:val="79075725"/>
    <w:rsid w:val="793226ED"/>
    <w:rsid w:val="7ABE5886"/>
    <w:rsid w:val="7AD24A92"/>
    <w:rsid w:val="7AF04194"/>
    <w:rsid w:val="7C1E191B"/>
    <w:rsid w:val="7C8372EE"/>
    <w:rsid w:val="7D7233AA"/>
    <w:rsid w:val="7DA17F09"/>
    <w:rsid w:val="7DCA376B"/>
    <w:rsid w:val="7DE20386"/>
    <w:rsid w:val="7E6960FC"/>
    <w:rsid w:val="7EA233A3"/>
    <w:rsid w:val="7F7D0DAC"/>
    <w:rsid w:val="7F946A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2019-10-31T09:40:35Z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