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rPr>
      </w:pPr>
      <w:r>
        <w:rPr>
          <w:rFonts w:hint="eastAsia" w:ascii="黑体" w:hAnsi="黑体" w:eastAsia="黑体" w:cs="黑体"/>
          <w:sz w:val="30"/>
          <w:szCs w:val="30"/>
        </w:rPr>
        <w:t>我国农村商业银行净息差影响因素分析</w:t>
      </w:r>
    </w:p>
    <w:p>
      <w:pPr>
        <w:ind w:firstLine="1680" w:firstLineChars="700"/>
        <w:jc w:val="both"/>
        <w:rPr>
          <w:rFonts w:hint="eastAsia" w:ascii="楷体" w:hAnsi="楷体" w:eastAsia="楷体" w:cs="楷体"/>
          <w:sz w:val="24"/>
          <w:szCs w:val="24"/>
          <w:lang w:val="en-US" w:eastAsia="zh-CN"/>
        </w:rPr>
      </w:pPr>
      <w:r>
        <w:rPr>
          <w:rFonts w:hint="eastAsia" w:ascii="楷体" w:hAnsi="楷体" w:eastAsia="楷体" w:cs="楷体"/>
          <w:b w:val="0"/>
          <w:i w:val="0"/>
          <w:caps w:val="0"/>
          <w:color w:val="676767"/>
          <w:spacing w:val="0"/>
          <w:sz w:val="24"/>
          <w:szCs w:val="24"/>
          <w:lang w:val="en-US" w:eastAsia="zh-CN"/>
        </w:rPr>
        <w:t>秦青娅    固始农商银行</w:t>
      </w:r>
      <w:r>
        <w:rPr>
          <w:rFonts w:hint="eastAsia" w:ascii="楷体" w:hAnsi="楷体" w:eastAsia="楷体" w:cs="楷体"/>
          <w:b w:val="0"/>
          <w:i w:val="0"/>
          <w:caps w:val="0"/>
          <w:color w:val="676767"/>
          <w:spacing w:val="0"/>
          <w:sz w:val="24"/>
          <w:szCs w:val="24"/>
        </w:rPr>
        <w:t>，</w:t>
      </w:r>
      <w:r>
        <w:rPr>
          <w:rFonts w:hint="eastAsia" w:ascii="楷体" w:hAnsi="楷体" w:eastAsia="楷体" w:cs="楷体"/>
          <w:b w:val="0"/>
          <w:i w:val="0"/>
          <w:caps w:val="0"/>
          <w:color w:val="676767"/>
          <w:spacing w:val="0"/>
          <w:sz w:val="24"/>
          <w:szCs w:val="24"/>
          <w:lang w:val="en-US" w:eastAsia="zh-CN"/>
        </w:rPr>
        <w:t>河南</w:t>
      </w:r>
      <w:r>
        <w:rPr>
          <w:rFonts w:hint="eastAsia" w:ascii="楷体" w:hAnsi="楷体" w:eastAsia="楷体" w:cs="楷体"/>
          <w:b w:val="0"/>
          <w:i w:val="0"/>
          <w:caps w:val="0"/>
          <w:color w:val="676767"/>
          <w:spacing w:val="0"/>
          <w:sz w:val="24"/>
          <w:szCs w:val="24"/>
        </w:rPr>
        <w:t xml:space="preserve"> </w:t>
      </w:r>
      <w:r>
        <w:rPr>
          <w:rFonts w:hint="eastAsia" w:ascii="楷体" w:hAnsi="楷体" w:eastAsia="楷体" w:cs="楷体"/>
          <w:b w:val="0"/>
          <w:i w:val="0"/>
          <w:caps w:val="0"/>
          <w:color w:val="676767"/>
          <w:spacing w:val="0"/>
          <w:sz w:val="24"/>
          <w:szCs w:val="24"/>
          <w:lang w:val="en-US" w:eastAsia="zh-CN"/>
        </w:rPr>
        <w:t>信阳</w:t>
      </w:r>
      <w:r>
        <w:rPr>
          <w:rFonts w:hint="eastAsia" w:ascii="楷体" w:hAnsi="楷体" w:eastAsia="楷体" w:cs="楷体"/>
          <w:b w:val="0"/>
          <w:i w:val="0"/>
          <w:caps w:val="0"/>
          <w:color w:val="676767"/>
          <w:spacing w:val="0"/>
          <w:sz w:val="24"/>
          <w:szCs w:val="24"/>
        </w:rPr>
        <w:t xml:space="preserve"> </w:t>
      </w:r>
      <w:r>
        <w:rPr>
          <w:rFonts w:hint="eastAsia" w:ascii="楷体" w:hAnsi="楷体" w:eastAsia="楷体" w:cs="楷体"/>
          <w:b w:val="0"/>
          <w:i w:val="0"/>
          <w:caps w:val="0"/>
          <w:color w:val="676767"/>
          <w:spacing w:val="0"/>
          <w:sz w:val="24"/>
          <w:szCs w:val="24"/>
          <w:lang w:val="en-US" w:eastAsia="zh-CN"/>
        </w:rPr>
        <w:t>465200</w:t>
      </w:r>
    </w:p>
    <w:p>
      <w:pPr>
        <w:ind w:firstLine="64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内容摘要：净息差是衡量银行盈利能力的关键指标之一，在面临经济下行，利率市场化和同业竞争加剧的背景下，本文从客户结构、银行资产负债结构和利率风险定价水平三个因素分析了我国农村商业银行净息差收窄的原因，并提出了加强息差管理的建议，对提高农村商业银行盈利能力具有理论意义。</w:t>
      </w:r>
    </w:p>
    <w:p>
      <w:pPr>
        <w:ind w:firstLine="64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关键词：农村商业银行    净息差    风险定价</w:t>
      </w:r>
    </w:p>
    <w:p>
      <w:pPr>
        <w:ind w:firstLine="640"/>
        <w:rPr>
          <w:rFonts w:hint="eastAsia" w:ascii="楷体" w:hAnsi="楷体" w:eastAsia="楷体" w:cs="楷体"/>
          <w:sz w:val="28"/>
          <w:szCs w:val="28"/>
        </w:rPr>
      </w:pPr>
      <w:r>
        <w:rPr>
          <w:rFonts w:hint="eastAsia" w:ascii="楷体" w:hAnsi="楷体" w:eastAsia="楷体" w:cs="楷体"/>
          <w:sz w:val="28"/>
          <w:szCs w:val="28"/>
        </w:rPr>
        <w:t>经济发展下行、投资收益率下降、存款成本上升、竞争加剧等因素的影响，</w:t>
      </w:r>
      <w:r>
        <w:rPr>
          <w:rFonts w:hint="eastAsia" w:ascii="楷体" w:hAnsi="楷体" w:eastAsia="楷体" w:cs="楷体"/>
          <w:sz w:val="28"/>
          <w:szCs w:val="28"/>
          <w:lang w:val="en-US" w:eastAsia="zh-CN"/>
        </w:rPr>
        <w:t>导致</w:t>
      </w:r>
      <w:r>
        <w:rPr>
          <w:rFonts w:hint="eastAsia" w:ascii="楷体" w:hAnsi="楷体" w:eastAsia="楷体" w:cs="楷体"/>
          <w:sz w:val="28"/>
          <w:szCs w:val="28"/>
        </w:rPr>
        <w:t>近年来我国农村商业银行（以下简称农商银行）净息差整体收窄，给商业银行的盈利能力和可持续发展能力带来了挑战。</w:t>
      </w:r>
    </w:p>
    <w:p>
      <w:pPr>
        <w:numPr>
          <w:ilvl w:val="0"/>
          <w:numId w:val="1"/>
        </w:numPr>
        <w:ind w:firstLine="640"/>
        <w:rPr>
          <w:rFonts w:hint="eastAsia" w:ascii="楷体" w:hAnsi="楷体" w:eastAsia="楷体" w:cs="楷体"/>
          <w:sz w:val="28"/>
          <w:szCs w:val="28"/>
        </w:rPr>
      </w:pPr>
      <w:r>
        <w:rPr>
          <w:rFonts w:hint="eastAsia" w:ascii="楷体" w:hAnsi="楷体" w:eastAsia="楷体" w:cs="楷体"/>
          <w:sz w:val="28"/>
          <w:szCs w:val="28"/>
        </w:rPr>
        <w:t>我国农村商业银行净息差现状</w:t>
      </w:r>
    </w:p>
    <w:p>
      <w:pPr>
        <w:ind w:firstLine="640"/>
        <w:rPr>
          <w:rFonts w:hint="eastAsia" w:ascii="楷体" w:hAnsi="楷体" w:eastAsia="楷体" w:cs="楷体"/>
          <w:sz w:val="28"/>
          <w:szCs w:val="28"/>
        </w:rPr>
      </w:pPr>
      <w:r>
        <w:rPr>
          <w:rFonts w:hint="eastAsia" w:ascii="楷体" w:hAnsi="楷体" w:eastAsia="楷体" w:cs="楷体"/>
          <w:sz w:val="28"/>
          <w:szCs w:val="28"/>
          <w:lang w:val="en-US" w:eastAsia="zh-CN"/>
        </w:rPr>
        <w:t>近年来，利率市场化和同业竞争导致农商银行利润空间压缩，金融脱媒和互联网金融的发展对农商银行的发展更是带来了极大的挑战。为了说明农商银行利差收窄的现状，</w:t>
      </w:r>
      <w:r>
        <w:rPr>
          <w:rFonts w:hint="eastAsia" w:ascii="楷体" w:hAnsi="楷体" w:eastAsia="楷体" w:cs="楷体"/>
          <w:sz w:val="28"/>
          <w:szCs w:val="28"/>
        </w:rPr>
        <w:t>本文从WIND数据库选取了发行同业存单的农商银行近三年的财务报表数据，在数据分析过程中因收息率和付息率无法直接提取数据，本文在计算收息率时利润表中的利息收入除以资产负债表中的贷款及垫款年初和年末余额的平均数，计算付息率时采取利润表中的利息支出除以资产负债表中存款余额的年初和年末的平均数。</w:t>
      </w:r>
    </w:p>
    <w:p>
      <w:pPr>
        <w:ind w:firstLine="640"/>
        <w:rPr>
          <w:rFonts w:hint="eastAsia" w:ascii="楷体" w:hAnsi="楷体" w:eastAsia="楷体" w:cs="楷体"/>
          <w:sz w:val="28"/>
          <w:szCs w:val="28"/>
        </w:rPr>
      </w:pPr>
      <w:r>
        <w:rPr>
          <w:rFonts w:hint="eastAsia" w:ascii="楷体" w:hAnsi="楷体" w:eastAsia="楷体" w:cs="楷体"/>
          <w:sz w:val="28"/>
          <w:szCs w:val="28"/>
        </w:rPr>
        <w:t>从财务指标的结果看，农商银行净息差整体收窄，但个体却呈现出分化差异。从2016年到2018年，射阳农商银行净息差上升了203个基点，浙江磐安农商银行和晋江农商银行净息差上升了108个基点，北京农商银行净息差上升了22个基点；而贵州乌当农商银行净息差下降了159个基点，龙湾农商银行净息差下降105个基点，深圳农商银行净息差下降66个基点。</w:t>
      </w:r>
    </w:p>
    <w:tbl>
      <w:tblPr>
        <w:tblStyle w:val="5"/>
        <w:tblW w:w="7884" w:type="dxa"/>
        <w:tblInd w:w="0" w:type="dxa"/>
        <w:tblLayout w:type="fixed"/>
        <w:tblCellMar>
          <w:top w:w="15" w:type="dxa"/>
          <w:left w:w="15" w:type="dxa"/>
          <w:bottom w:w="15" w:type="dxa"/>
          <w:right w:w="15" w:type="dxa"/>
        </w:tblCellMar>
      </w:tblPr>
      <w:tblGrid>
        <w:gridCol w:w="1934"/>
        <w:gridCol w:w="850"/>
        <w:gridCol w:w="850"/>
        <w:gridCol w:w="850"/>
        <w:gridCol w:w="850"/>
        <w:gridCol w:w="850"/>
        <w:gridCol w:w="850"/>
        <w:gridCol w:w="850"/>
      </w:tblGrid>
      <w:tr>
        <w:tblPrEx>
          <w:tblLayout w:type="fixed"/>
          <w:tblCellMar>
            <w:top w:w="15" w:type="dxa"/>
            <w:left w:w="15" w:type="dxa"/>
            <w:bottom w:w="15" w:type="dxa"/>
            <w:right w:w="15" w:type="dxa"/>
          </w:tblCellMar>
        </w:tblPrEx>
        <w:trPr>
          <w:trHeight w:val="286" w:hRule="atLeast"/>
        </w:trPr>
        <w:tc>
          <w:tcPr>
            <w:tcW w:w="7884" w:type="dxa"/>
            <w:gridSpan w:val="8"/>
            <w:shd w:val="clear" w:color="auto" w:fill="auto"/>
            <w:vAlign w:val="center"/>
          </w:tcPr>
          <w:p>
            <w:pPr>
              <w:widowControl/>
              <w:jc w:val="center"/>
              <w:textAlignment w:val="center"/>
              <w:rPr>
                <w:rFonts w:hint="eastAsia" w:ascii="楷体" w:hAnsi="楷体" w:eastAsia="楷体" w:cs="楷体"/>
                <w:color w:val="000000"/>
                <w:sz w:val="18"/>
                <w:szCs w:val="18"/>
                <w:lang w:val="en-US" w:eastAsia="zh-CN"/>
              </w:rPr>
            </w:pPr>
            <w:bookmarkStart w:id="0" w:name="_GoBack"/>
            <w:r>
              <w:rPr>
                <w:rFonts w:hint="eastAsia" w:ascii="楷体" w:hAnsi="楷体" w:eastAsia="楷体" w:cs="楷体"/>
                <w:color w:val="000000"/>
                <w:kern w:val="0"/>
                <w:sz w:val="18"/>
                <w:szCs w:val="18"/>
                <w:lang w:val="en-US" w:eastAsia="zh-CN"/>
              </w:rPr>
              <w:t>近三年</w:t>
            </w:r>
            <w:r>
              <w:rPr>
                <w:rFonts w:hint="eastAsia" w:ascii="楷体" w:hAnsi="楷体" w:eastAsia="楷体" w:cs="楷体"/>
                <w:color w:val="000000"/>
                <w:kern w:val="0"/>
                <w:sz w:val="18"/>
                <w:szCs w:val="18"/>
              </w:rPr>
              <w:t>净息差</w:t>
            </w:r>
            <w:r>
              <w:rPr>
                <w:rFonts w:hint="eastAsia" w:ascii="楷体" w:hAnsi="楷体" w:eastAsia="楷体" w:cs="楷体"/>
                <w:color w:val="000000"/>
                <w:kern w:val="0"/>
                <w:sz w:val="18"/>
                <w:szCs w:val="18"/>
                <w:lang w:val="en-US" w:eastAsia="zh-CN"/>
              </w:rPr>
              <w:t>情况表</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2018年</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同比</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2017年</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同比</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2016年</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收息率</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付息率</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安吉农商银行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3.04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0.21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2.83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3.15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6.58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1.42</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宝应农商银行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3.19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1.26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1.94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-1.23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3.16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7.67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2.25</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FF0000"/>
                <w:sz w:val="18"/>
                <w:szCs w:val="18"/>
              </w:rPr>
            </w:pPr>
            <w:r>
              <w:rPr>
                <w:rFonts w:hint="eastAsia" w:ascii="楷体" w:hAnsi="楷体" w:eastAsia="楷体" w:cs="楷体"/>
                <w:color w:val="FF0000"/>
                <w:kern w:val="0"/>
                <w:sz w:val="18"/>
                <w:szCs w:val="18"/>
              </w:rPr>
              <w:t>北京农商银行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2.18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0.07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2.11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0.16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1.95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10.77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2.52</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昌吉农商银行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2.52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2.05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-0.92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2.97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7.82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2.57</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慈溪农商银行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1.36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-0.06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1.42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1.83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6.91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2.44</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东阳农商银行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2.78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-0.17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2.95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-0.23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3.17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8.01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1.83</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贵州乌当农商银行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2.66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2.31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-1.95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4.26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7.28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3.18</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江苏苏州农商银行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2.64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2.97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0.07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2.90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7.95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2.28</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晋江农商银行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3.51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1.54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1.96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2.42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9.55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2.02</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辽阳农商银行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2.18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0.53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1.65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1.99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16.49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3.21</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临海农商银行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3.30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-0.09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3.40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-0.12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3.52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8.75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1.92</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龙湾农商银行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2.43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2.11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-1.38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3.49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7.06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2.39</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秦农农商银行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2.90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-0.11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3.01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-0.05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3.06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7.74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4.86</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上海农商银行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2.01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1.71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-0.04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1.75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7.59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2.30</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FF0000"/>
                <w:sz w:val="18"/>
                <w:szCs w:val="18"/>
              </w:rPr>
            </w:pPr>
            <w:r>
              <w:rPr>
                <w:rFonts w:hint="eastAsia" w:ascii="楷体" w:hAnsi="楷体" w:eastAsia="楷体" w:cs="楷体"/>
                <w:color w:val="FF0000"/>
                <w:kern w:val="0"/>
                <w:sz w:val="18"/>
                <w:szCs w:val="18"/>
              </w:rPr>
              <w:t>射阳农商银行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3.83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3.41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1.61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1.80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9.09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2.64</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深圳农商银行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2.47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2.90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-0.24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3.14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7.14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1.58</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天台农商银行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4.36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4.69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-0.18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4.87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10.82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1.37</w:t>
            </w:r>
          </w:p>
        </w:tc>
      </w:tr>
      <w:tr>
        <w:tblPrEx>
          <w:tblLayout w:type="fixed"/>
          <w:tblCellMar>
            <w:top w:w="15" w:type="dxa"/>
            <w:left w:w="15" w:type="dxa"/>
            <w:bottom w:w="15" w:type="dxa"/>
            <w:right w:w="15" w:type="dxa"/>
          </w:tblCellMar>
        </w:tblPrEx>
        <w:trPr>
          <w:trHeight w:val="283"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西宁农商银行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2.07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0.48</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1.59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2.04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5.99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3.14</w:t>
            </w:r>
          </w:p>
        </w:tc>
      </w:tr>
      <w:tr>
        <w:tblPrEx>
          <w:tblLayout w:type="fixed"/>
          <w:tblCellMar>
            <w:top w:w="15" w:type="dxa"/>
            <w:left w:w="15" w:type="dxa"/>
            <w:bottom w:w="15" w:type="dxa"/>
            <w:right w:w="15" w:type="dxa"/>
          </w:tblCellMar>
        </w:tblPrEx>
        <w:trPr>
          <w:trHeight w:val="286"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FF0000"/>
                <w:sz w:val="18"/>
                <w:szCs w:val="18"/>
              </w:rPr>
            </w:pPr>
            <w:r>
              <w:rPr>
                <w:rFonts w:hint="eastAsia" w:ascii="楷体" w:hAnsi="楷体" w:eastAsia="楷体" w:cs="楷体"/>
                <w:color w:val="FF0000"/>
                <w:kern w:val="0"/>
                <w:sz w:val="18"/>
                <w:szCs w:val="18"/>
              </w:rPr>
              <w:t>萧山农商银行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1.80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0.10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1.69</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0.20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1.50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6.26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2.17</w:t>
            </w:r>
          </w:p>
        </w:tc>
      </w:tr>
      <w:tr>
        <w:tblPrEx>
          <w:tblLayout w:type="fixed"/>
          <w:tblCellMar>
            <w:top w:w="15" w:type="dxa"/>
            <w:left w:w="15" w:type="dxa"/>
            <w:bottom w:w="15" w:type="dxa"/>
            <w:right w:w="15" w:type="dxa"/>
          </w:tblCellMar>
        </w:tblPrEx>
        <w:trPr>
          <w:trHeight w:val="286"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延边农商银行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3.02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-0.21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3.23</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-0.41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3.64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9.81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3.25</w:t>
            </w:r>
          </w:p>
        </w:tc>
      </w:tr>
      <w:tr>
        <w:tblPrEx>
          <w:tblLayout w:type="fixed"/>
          <w:tblCellMar>
            <w:top w:w="15" w:type="dxa"/>
            <w:left w:w="15" w:type="dxa"/>
            <w:bottom w:w="15" w:type="dxa"/>
            <w:right w:w="15" w:type="dxa"/>
          </w:tblCellMar>
        </w:tblPrEx>
        <w:trPr>
          <w:trHeight w:val="286"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永康农商银行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3.05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3.35</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3.67</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8.31</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1.78</w:t>
            </w:r>
          </w:p>
        </w:tc>
      </w:tr>
      <w:tr>
        <w:tblPrEx>
          <w:tblLayout w:type="fixed"/>
          <w:tblCellMar>
            <w:top w:w="15" w:type="dxa"/>
            <w:left w:w="15" w:type="dxa"/>
            <w:bottom w:w="15" w:type="dxa"/>
            <w:right w:w="15" w:type="dxa"/>
          </w:tblCellMar>
        </w:tblPrEx>
        <w:trPr>
          <w:trHeight w:val="286" w:hRule="atLeast"/>
        </w:trPr>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楷体" w:hAnsi="楷体" w:eastAsia="楷体" w:cs="楷体"/>
                <w:color w:val="FF0000"/>
                <w:sz w:val="18"/>
                <w:szCs w:val="18"/>
              </w:rPr>
            </w:pPr>
            <w:r>
              <w:rPr>
                <w:rFonts w:hint="eastAsia" w:ascii="楷体" w:hAnsi="楷体" w:eastAsia="楷体" w:cs="楷体"/>
                <w:color w:val="FF0000"/>
                <w:kern w:val="0"/>
                <w:sz w:val="18"/>
                <w:szCs w:val="18"/>
              </w:rPr>
              <w:t>浙江磐安农商银行</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4.62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0.32</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4.30</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0.76</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sz w:val="18"/>
                <w:szCs w:val="18"/>
              </w:rPr>
            </w:pPr>
            <w:r>
              <w:rPr>
                <w:rFonts w:hint="eastAsia" w:ascii="楷体" w:hAnsi="楷体" w:eastAsia="楷体" w:cs="楷体"/>
                <w:color w:val="000000"/>
                <w:kern w:val="0"/>
                <w:sz w:val="18"/>
                <w:szCs w:val="18"/>
              </w:rPr>
              <w:t>3.54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8.64</w:t>
            </w:r>
          </w:p>
        </w:tc>
        <w:tc>
          <w:tcPr>
            <w:tcW w:w="8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楷体" w:hAnsi="楷体" w:eastAsia="楷体" w:cs="楷体"/>
                <w:color w:val="000000"/>
                <w:sz w:val="18"/>
                <w:szCs w:val="18"/>
              </w:rPr>
            </w:pPr>
            <w:r>
              <w:rPr>
                <w:rFonts w:hint="eastAsia" w:ascii="楷体" w:hAnsi="楷体" w:eastAsia="楷体" w:cs="楷体"/>
                <w:color w:val="000000"/>
                <w:kern w:val="0"/>
                <w:sz w:val="18"/>
                <w:szCs w:val="18"/>
              </w:rPr>
              <w:t>1.45</w:t>
            </w:r>
          </w:p>
        </w:tc>
      </w:tr>
      <w:bookmarkEnd w:id="0"/>
    </w:tbl>
    <w:p>
      <w:pPr>
        <w:numPr>
          <w:ilvl w:val="0"/>
          <w:numId w:val="1"/>
        </w:numPr>
        <w:ind w:firstLine="640"/>
        <w:rPr>
          <w:rFonts w:hint="eastAsia" w:ascii="楷体" w:hAnsi="楷体" w:eastAsia="楷体" w:cs="楷体"/>
          <w:sz w:val="28"/>
          <w:szCs w:val="28"/>
        </w:rPr>
      </w:pPr>
      <w:r>
        <w:rPr>
          <w:rFonts w:hint="eastAsia" w:ascii="楷体" w:hAnsi="楷体" w:eastAsia="楷体" w:cs="楷体"/>
          <w:sz w:val="28"/>
          <w:szCs w:val="28"/>
        </w:rPr>
        <w:t>净息差</w:t>
      </w:r>
      <w:r>
        <w:rPr>
          <w:rFonts w:hint="eastAsia" w:ascii="楷体" w:hAnsi="楷体" w:eastAsia="楷体" w:cs="楷体"/>
          <w:sz w:val="28"/>
          <w:szCs w:val="28"/>
          <w:lang w:val="en-US" w:eastAsia="zh-CN"/>
        </w:rPr>
        <w:t>收窄</w:t>
      </w:r>
      <w:r>
        <w:rPr>
          <w:rFonts w:hint="eastAsia" w:ascii="楷体" w:hAnsi="楷体" w:eastAsia="楷体" w:cs="楷体"/>
          <w:sz w:val="28"/>
          <w:szCs w:val="28"/>
        </w:rPr>
        <w:t>的原因</w:t>
      </w:r>
    </w:p>
    <w:p>
      <w:pPr>
        <w:rPr>
          <w:rFonts w:hint="eastAsia" w:ascii="楷体" w:hAnsi="楷体" w:eastAsia="楷体" w:cs="楷体"/>
          <w:sz w:val="28"/>
          <w:szCs w:val="28"/>
        </w:rPr>
      </w:pPr>
      <w:r>
        <w:rPr>
          <w:rFonts w:hint="eastAsia" w:ascii="楷体" w:hAnsi="楷体" w:eastAsia="楷体" w:cs="楷体"/>
          <w:sz w:val="28"/>
          <w:szCs w:val="28"/>
        </w:rPr>
        <w:t xml:space="preserve">   （一）存款客户结构决定了存款成本的高低。农商银行的存款客户主要以个人客户为主，公司类客户占比较低，</w:t>
      </w:r>
      <w:r>
        <w:rPr>
          <w:rFonts w:hint="eastAsia" w:ascii="楷体" w:hAnsi="楷体" w:eastAsia="楷体" w:cs="楷体"/>
          <w:sz w:val="28"/>
          <w:szCs w:val="28"/>
          <w:lang w:val="en-US" w:eastAsia="zh-CN"/>
        </w:rPr>
        <w:t>而公司客户存款以活期存款为主，因此</w:t>
      </w:r>
      <w:r>
        <w:rPr>
          <w:rFonts w:hint="eastAsia" w:ascii="楷体" w:hAnsi="楷体" w:eastAsia="楷体" w:cs="楷体"/>
          <w:color w:val="FF0000"/>
          <w:sz w:val="28"/>
          <w:szCs w:val="28"/>
        </w:rPr>
        <w:t>公司类</w:t>
      </w:r>
      <w:r>
        <w:rPr>
          <w:rFonts w:hint="eastAsia" w:ascii="楷体" w:hAnsi="楷体" w:eastAsia="楷体" w:cs="楷体"/>
          <w:color w:val="FF0000"/>
          <w:sz w:val="28"/>
          <w:szCs w:val="28"/>
          <w:lang w:val="en-US" w:eastAsia="zh-CN"/>
        </w:rPr>
        <w:t>存款</w:t>
      </w:r>
      <w:r>
        <w:rPr>
          <w:rFonts w:hint="eastAsia" w:ascii="楷体" w:hAnsi="楷体" w:eastAsia="楷体" w:cs="楷体"/>
          <w:color w:val="FF0000"/>
          <w:sz w:val="28"/>
          <w:szCs w:val="28"/>
        </w:rPr>
        <w:t>的成本一般低于个人</w:t>
      </w:r>
      <w:r>
        <w:rPr>
          <w:rFonts w:hint="eastAsia" w:ascii="楷体" w:hAnsi="楷体" w:eastAsia="楷体" w:cs="楷体"/>
          <w:color w:val="FF0000"/>
          <w:sz w:val="28"/>
          <w:szCs w:val="28"/>
          <w:lang w:val="en-US" w:eastAsia="zh-CN"/>
        </w:rPr>
        <w:t>存款成本</w:t>
      </w:r>
      <w:r>
        <w:rPr>
          <w:rFonts w:hint="eastAsia" w:ascii="楷体" w:hAnsi="楷体" w:eastAsia="楷体" w:cs="楷体"/>
          <w:color w:val="FF0000"/>
          <w:sz w:val="28"/>
          <w:szCs w:val="28"/>
        </w:rPr>
        <w:t>，</w:t>
      </w:r>
      <w:r>
        <w:rPr>
          <w:rFonts w:hint="eastAsia" w:ascii="楷体" w:hAnsi="楷体" w:eastAsia="楷体" w:cs="楷体"/>
          <w:sz w:val="28"/>
          <w:szCs w:val="28"/>
        </w:rPr>
        <w:t>如</w:t>
      </w:r>
      <w:r>
        <w:rPr>
          <w:rFonts w:hint="eastAsia" w:ascii="楷体" w:hAnsi="楷体" w:eastAsia="楷体" w:cs="楷体"/>
          <w:sz w:val="28"/>
          <w:szCs w:val="28"/>
          <w:lang w:val="en-US" w:eastAsia="zh-CN"/>
        </w:rPr>
        <w:t>存款付息率比较低的</w:t>
      </w:r>
      <w:r>
        <w:rPr>
          <w:rFonts w:hint="eastAsia" w:ascii="楷体" w:hAnsi="楷体" w:eastAsia="楷体" w:cs="楷体"/>
          <w:sz w:val="28"/>
          <w:szCs w:val="28"/>
        </w:rPr>
        <w:t>浙江磐安农商银行，公司类存款占比32%，活期存款占比35%，北京农商银行公司类存款占比51%，活期存款占比52%；</w:t>
      </w:r>
      <w:r>
        <w:rPr>
          <w:rFonts w:hint="eastAsia" w:ascii="楷体" w:hAnsi="楷体" w:eastAsia="楷体" w:cs="楷体"/>
          <w:sz w:val="28"/>
          <w:szCs w:val="28"/>
          <w:lang w:val="en-US" w:eastAsia="zh-CN"/>
        </w:rPr>
        <w:t>而存款成本比较高的</w:t>
      </w:r>
      <w:r>
        <w:rPr>
          <w:rFonts w:hint="eastAsia" w:ascii="楷体" w:hAnsi="楷体" w:eastAsia="楷体" w:cs="楷体"/>
          <w:sz w:val="28"/>
          <w:szCs w:val="28"/>
        </w:rPr>
        <w:t>射阳农商银行公司类存款和活期存款占比均为15%。通过数据比较发现，活期占比的大小直接影响银行的存款成本和息差率。</w:t>
      </w:r>
    </w:p>
    <w:p>
      <w:pPr>
        <w:ind w:firstLine="640"/>
        <w:rPr>
          <w:rFonts w:hint="eastAsia" w:ascii="楷体" w:hAnsi="楷体" w:eastAsia="楷体" w:cs="楷体"/>
          <w:sz w:val="28"/>
          <w:szCs w:val="28"/>
        </w:rPr>
      </w:pPr>
      <w:r>
        <w:rPr>
          <w:rFonts w:hint="eastAsia" w:ascii="楷体" w:hAnsi="楷体" w:eastAsia="楷体" w:cs="楷体"/>
          <w:sz w:val="28"/>
          <w:szCs w:val="28"/>
        </w:rPr>
        <w:t>（二）投资于收益率比较高的信贷业务提高资产收益率。信贷业务的投资收益率高于银行同业拆借和债券市场利率，因此存贷比和利息收入占比较高的农商银行资产的收益率较高，如浙江磐安农商银行存贷比68%，利息收入占比74%，天台农商银行存贷比64%，利息收入占比79%，射阳农商银行存贷比80%，利息收入占比96%。而辽阳农商银行存贷比仅为35%，利息收入占比高达98%，因此</w:t>
      </w:r>
      <w:r>
        <w:rPr>
          <w:rFonts w:hint="eastAsia" w:ascii="楷体" w:hAnsi="楷体" w:eastAsia="楷体" w:cs="楷体"/>
          <w:sz w:val="28"/>
          <w:szCs w:val="28"/>
          <w:lang w:val="en-US" w:eastAsia="zh-CN"/>
        </w:rPr>
        <w:t>这类农商银行的</w:t>
      </w:r>
      <w:r>
        <w:rPr>
          <w:rFonts w:hint="eastAsia" w:ascii="楷体" w:hAnsi="楷体" w:eastAsia="楷体" w:cs="楷体"/>
          <w:sz w:val="28"/>
          <w:szCs w:val="28"/>
        </w:rPr>
        <w:t>资产收益率较高。</w:t>
      </w:r>
    </w:p>
    <w:p>
      <w:pPr>
        <w:ind w:firstLine="640"/>
        <w:rPr>
          <w:rFonts w:hint="eastAsia" w:ascii="楷体" w:hAnsi="楷体" w:eastAsia="楷体" w:cs="楷体"/>
          <w:sz w:val="28"/>
          <w:szCs w:val="28"/>
        </w:rPr>
      </w:pPr>
      <w:r>
        <w:rPr>
          <w:rFonts w:hint="eastAsia" w:ascii="楷体" w:hAnsi="楷体" w:eastAsia="楷体" w:cs="楷体"/>
          <w:sz w:val="28"/>
          <w:szCs w:val="28"/>
        </w:rPr>
        <w:t>（三）专业的风险定价能力是提高息差率的保障。利率并轨机制要求存款利率遵循市场化原则，贷款利率遵循风险定价原则，即在基准利率定价的基础上根据客户风险决定风险利率。目前我国部分农商银行利率定价采取“一刀切”的定价方式，一方面导致贷款风险增加，另一方面可能会流失部分优质客户。较高的存款利率导致付息率提高，而风险定价能力不足造成农商银行信用风险增加，从而影响利息收入，因此建立完善的利率定价机制，提高利率定价能力是提高息差率的关键因素。</w:t>
      </w:r>
    </w:p>
    <w:p>
      <w:pPr>
        <w:ind w:firstLine="640"/>
        <w:rPr>
          <w:rFonts w:hint="eastAsia" w:ascii="楷体" w:hAnsi="楷体" w:eastAsia="楷体" w:cs="楷体"/>
          <w:color w:val="FF0000"/>
          <w:sz w:val="28"/>
          <w:szCs w:val="28"/>
        </w:rPr>
      </w:pPr>
      <w:r>
        <w:rPr>
          <w:rFonts w:hint="eastAsia" w:ascii="楷体" w:hAnsi="楷体" w:eastAsia="楷体" w:cs="楷体"/>
          <w:sz w:val="28"/>
          <w:szCs w:val="28"/>
        </w:rPr>
        <w:t>（四）宏观政策调控引导贷款利率走低。2019年，两会期间提出的解决小微企业和民营企业融资难融资贵的问题</w:t>
      </w:r>
      <w:r>
        <w:rPr>
          <w:rFonts w:hint="eastAsia" w:ascii="楷体" w:hAnsi="楷体" w:eastAsia="楷体" w:cs="楷体"/>
          <w:sz w:val="28"/>
          <w:szCs w:val="28"/>
          <w:lang w:val="en-US" w:eastAsia="zh-CN"/>
        </w:rPr>
        <w:t>要求金融企业降低贷款利率</w:t>
      </w:r>
      <w:r>
        <w:rPr>
          <w:rFonts w:hint="eastAsia" w:ascii="楷体" w:hAnsi="楷体" w:eastAsia="楷体" w:cs="楷体"/>
          <w:sz w:val="28"/>
          <w:szCs w:val="28"/>
        </w:rPr>
        <w:t>，我国的农商银行大部分位于农村区域，打赢脱贫攻坚战要求农商银行积极参与金融扶贫，金融扶贫利率执行基准利率，</w:t>
      </w:r>
      <w:r>
        <w:rPr>
          <w:rFonts w:hint="eastAsia" w:ascii="楷体" w:hAnsi="楷体" w:eastAsia="楷体" w:cs="楷体"/>
          <w:color w:val="FF0000"/>
          <w:sz w:val="28"/>
          <w:szCs w:val="28"/>
        </w:rPr>
        <w:t>大量扶贫贷款的投入导致银行贷款利率下</w:t>
      </w:r>
      <w:r>
        <w:rPr>
          <w:rFonts w:hint="eastAsia" w:ascii="楷体" w:hAnsi="楷体" w:eastAsia="楷体" w:cs="楷体"/>
          <w:color w:val="FF0000"/>
          <w:sz w:val="28"/>
          <w:szCs w:val="28"/>
          <w:lang w:val="en-US" w:eastAsia="zh-CN"/>
        </w:rPr>
        <w:t>调</w:t>
      </w:r>
      <w:r>
        <w:rPr>
          <w:rFonts w:hint="eastAsia" w:ascii="楷体" w:hAnsi="楷体" w:eastAsia="楷体" w:cs="楷体"/>
          <w:color w:val="FF0000"/>
          <w:sz w:val="28"/>
          <w:szCs w:val="28"/>
        </w:rPr>
        <w:t>。</w:t>
      </w:r>
    </w:p>
    <w:p>
      <w:pPr>
        <w:ind w:firstLine="640"/>
        <w:rPr>
          <w:rFonts w:hint="eastAsia" w:ascii="楷体" w:hAnsi="楷体" w:eastAsia="楷体" w:cs="楷体"/>
          <w:sz w:val="28"/>
          <w:szCs w:val="28"/>
        </w:rPr>
      </w:pPr>
      <w:r>
        <w:rPr>
          <w:rFonts w:hint="eastAsia" w:ascii="楷体" w:hAnsi="楷体" w:eastAsia="楷体" w:cs="楷体"/>
          <w:sz w:val="28"/>
          <w:szCs w:val="28"/>
        </w:rPr>
        <w:t>三、加强农商银行息差管理的建议</w:t>
      </w:r>
    </w:p>
    <w:p>
      <w:pPr>
        <w:ind w:firstLine="640"/>
        <w:rPr>
          <w:rFonts w:hint="eastAsia" w:ascii="楷体" w:hAnsi="楷体" w:eastAsia="楷体" w:cs="楷体"/>
          <w:sz w:val="28"/>
          <w:szCs w:val="28"/>
        </w:rPr>
      </w:pPr>
      <w:r>
        <w:rPr>
          <w:rFonts w:hint="eastAsia" w:ascii="楷体" w:hAnsi="楷体" w:eastAsia="楷体" w:cs="楷体"/>
          <w:sz w:val="28"/>
          <w:szCs w:val="28"/>
        </w:rPr>
        <w:t>（一）改善客户结构，降低存款成本。截止2019年9月底，</w:t>
      </w:r>
      <w:r>
        <w:rPr>
          <w:rFonts w:hint="eastAsia" w:ascii="楷体" w:hAnsi="楷体" w:eastAsia="楷体" w:cs="楷体"/>
          <w:color w:val="FF0000"/>
          <w:sz w:val="28"/>
          <w:szCs w:val="28"/>
        </w:rPr>
        <w:t>上市多元化商业银行</w:t>
      </w:r>
      <w:r>
        <w:rPr>
          <w:rFonts w:hint="eastAsia" w:ascii="楷体" w:hAnsi="楷体" w:eastAsia="楷体" w:cs="楷体"/>
          <w:sz w:val="28"/>
          <w:szCs w:val="28"/>
        </w:rPr>
        <w:t>披露了其存款结构，13家上市多元化银行存款结构进行平均，对公存款合计占比高达65.94%，个人存款占比30.31%。对公存款中占比最高的是对公活期，平均占比高达33.94%，其中的中信银行占比高达41.56%，最低的农业银行，占比为8.43%；其次是对公定期，平均占比32%，最高的为兴业银行，占比46.68%，最低的农业银行，占比11.02%。存款结构直接决定了银行的存款成本，截止三季度末，计息负债成本率最高的是兴业银行，计息负债率为2.4%，最低的工商银行仅为1.6%，而农商银行的计息负债成本率基本在2%以上，因此，加大对低成本存款的吸纳能力，提高公司类和事业单位等对公客户的服务能力，满足客户多样化需求，增加客户粘性是降低存款成本的关键。</w:t>
      </w:r>
    </w:p>
    <w:p>
      <w:pPr>
        <w:ind w:firstLine="640"/>
        <w:rPr>
          <w:rFonts w:hint="eastAsia" w:ascii="楷体" w:hAnsi="楷体" w:eastAsia="楷体" w:cs="楷体"/>
          <w:sz w:val="28"/>
          <w:szCs w:val="28"/>
        </w:rPr>
      </w:pPr>
      <w:r>
        <w:rPr>
          <w:rFonts w:hint="eastAsia" w:ascii="楷体" w:hAnsi="楷体" w:eastAsia="楷体" w:cs="楷体"/>
          <w:sz w:val="28"/>
          <w:szCs w:val="28"/>
        </w:rPr>
        <w:t>（二）加强对资产和负债的配置能力，优化资产负债管理。一方面，我国农商银行的负债主要以存款为主要来源的被动负债，负债机构比较单一，因此通过发行债券、同业存单和债务工具等主动融资，拓宽资金来源的多渠道，提高负债和资产配置的主动性。另一方面，加强对资产的组合管理</w:t>
      </w:r>
      <w:r>
        <w:rPr>
          <w:rFonts w:hint="eastAsia" w:ascii="楷体" w:hAnsi="楷体" w:eastAsia="楷体" w:cs="楷体"/>
          <w:sz w:val="28"/>
          <w:szCs w:val="28"/>
          <w:lang w:eastAsia="zh-CN"/>
        </w:rPr>
        <w:t>，</w:t>
      </w:r>
      <w:r>
        <w:rPr>
          <w:rFonts w:hint="eastAsia" w:ascii="楷体" w:hAnsi="楷体" w:eastAsia="楷体" w:cs="楷体"/>
          <w:sz w:val="28"/>
          <w:szCs w:val="28"/>
        </w:rPr>
        <w:t>目的是利用资产的多样化控制风险，资产组合包括流动性资产组合和盈利性资产组合，流动性资产组合主要是资金运营部进行配置，盈利性资产组合主要是贷款的配置，这就要求信贷部和资金运营部在遵守内外部监管的前提下合理进行资产配置，提高资产收益率。</w:t>
      </w:r>
    </w:p>
    <w:p>
      <w:pPr>
        <w:ind w:firstLine="640"/>
        <w:rPr>
          <w:rFonts w:hint="eastAsia" w:ascii="楷体" w:hAnsi="楷体" w:eastAsia="楷体" w:cs="楷体"/>
          <w:sz w:val="28"/>
          <w:szCs w:val="28"/>
        </w:rPr>
      </w:pPr>
      <w:r>
        <w:rPr>
          <w:rFonts w:hint="eastAsia" w:ascii="楷体" w:hAnsi="楷体" w:eastAsia="楷体" w:cs="楷体"/>
          <w:sz w:val="28"/>
          <w:szCs w:val="28"/>
        </w:rPr>
        <w:t>（三）完善风险定价机制，加强利率风险管理。风险成本已成为农商银行的主要成本，不良贷款上升促使农商银行大量利润用来计提拨备，因此增强风险控制能力降低不良贷款提升资产质量是农商银行发展的生命线。农商银行应建立适合本行特点的FTP曲线，对贷款利率进行定价，同时通过VAR方法、情景分析与压力测试等风险管理技术对利率风险进行度量和管理，降低利率风险。</w:t>
      </w:r>
    </w:p>
    <w:p>
      <w:pPr>
        <w:ind w:firstLine="640"/>
        <w:rPr>
          <w:rFonts w:hint="eastAsia" w:ascii="楷体" w:hAnsi="楷体" w:eastAsia="楷体" w:cs="楷体"/>
          <w:sz w:val="28"/>
          <w:szCs w:val="28"/>
        </w:rPr>
      </w:pPr>
      <w:r>
        <w:rPr>
          <w:rFonts w:hint="eastAsia" w:ascii="楷体" w:hAnsi="楷体" w:eastAsia="楷体" w:cs="楷体"/>
          <w:sz w:val="28"/>
          <w:szCs w:val="28"/>
        </w:rPr>
        <w:t>（四）强化息差管理，灵活选择息差经营管理策略。在息差趋于走低的政策导向下，农商银行应根据自身情况，一是选择低负债高资产的息差管理策略，这是最优的策略，该策略使息差率最高。二是选择低负债中资产或者高负债高资产的组合，选择高资产组合时需注意控制风险。三是选择平进平出的策略或者高负债低资产的策略，这两种策略的重点是强化交叉销售，提高客户综合经营收益。</w:t>
      </w:r>
    </w:p>
    <w:p>
      <w:pPr>
        <w:ind w:firstLine="640"/>
        <w:rPr>
          <w:rFonts w:hint="eastAsia" w:ascii="仿宋" w:hAnsi="仿宋" w:eastAsia="仿宋" w:cs="仿宋"/>
          <w:sz w:val="21"/>
          <w:szCs w:val="21"/>
        </w:rPr>
      </w:pPr>
      <w:r>
        <w:rPr>
          <w:rFonts w:hint="eastAsia" w:ascii="仿宋" w:hAnsi="仿宋" w:eastAsia="仿宋" w:cs="仿宋"/>
          <w:sz w:val="21"/>
          <w:szCs w:val="21"/>
        </w:rPr>
        <w:t>参考文献 ：</w:t>
      </w:r>
    </w:p>
    <w:p>
      <w:pPr>
        <w:ind w:firstLine="640"/>
        <w:rPr>
          <w:rFonts w:hint="eastAsia" w:ascii="仿宋" w:hAnsi="仿宋" w:eastAsia="仿宋" w:cs="仿宋"/>
          <w:sz w:val="21"/>
          <w:szCs w:val="21"/>
        </w:rPr>
      </w:pPr>
      <w:r>
        <w:rPr>
          <w:rFonts w:hint="eastAsia" w:ascii="仿宋" w:hAnsi="仿宋" w:eastAsia="仿宋" w:cs="仿宋"/>
          <w:sz w:val="21"/>
          <w:szCs w:val="21"/>
        </w:rPr>
        <w:t>[1] 孟志芳，罗琳 . 新常态下商业银行息差管理探究 [J].</w:t>
      </w:r>
    </w:p>
    <w:p>
      <w:pPr>
        <w:ind w:firstLine="640"/>
        <w:rPr>
          <w:rFonts w:hint="eastAsia" w:ascii="仿宋" w:hAnsi="仿宋" w:eastAsia="仿宋" w:cs="仿宋"/>
          <w:sz w:val="21"/>
          <w:szCs w:val="21"/>
        </w:rPr>
      </w:pPr>
      <w:r>
        <w:rPr>
          <w:rFonts w:hint="eastAsia" w:ascii="仿宋" w:hAnsi="仿宋" w:eastAsia="仿宋" w:cs="仿宋"/>
          <w:sz w:val="21"/>
          <w:szCs w:val="21"/>
        </w:rPr>
        <w:t>新金融，2017（8）：49-55.</w:t>
      </w:r>
    </w:p>
    <w:p>
      <w:pPr>
        <w:ind w:firstLine="640"/>
        <w:rPr>
          <w:rFonts w:hint="eastAsia" w:ascii="仿宋" w:hAnsi="仿宋" w:eastAsia="仿宋" w:cs="仿宋"/>
          <w:sz w:val="21"/>
          <w:szCs w:val="21"/>
        </w:rPr>
      </w:pPr>
      <w:r>
        <w:rPr>
          <w:rFonts w:hint="eastAsia" w:ascii="仿宋" w:hAnsi="仿宋" w:eastAsia="仿宋" w:cs="仿宋"/>
          <w:sz w:val="21"/>
          <w:szCs w:val="21"/>
        </w:rPr>
        <w:t>[2] 中国农业银行资产负债研究课题组 . 新时期商业银</w:t>
      </w:r>
    </w:p>
    <w:p>
      <w:pPr>
        <w:ind w:firstLine="640"/>
        <w:rPr>
          <w:rFonts w:hint="eastAsia" w:ascii="仿宋" w:hAnsi="仿宋" w:eastAsia="仿宋" w:cs="仿宋"/>
          <w:sz w:val="21"/>
          <w:szCs w:val="21"/>
        </w:rPr>
      </w:pPr>
      <w:r>
        <w:rPr>
          <w:rFonts w:hint="eastAsia" w:ascii="仿宋" w:hAnsi="仿宋" w:eastAsia="仿宋" w:cs="仿宋"/>
          <w:sz w:val="21"/>
          <w:szCs w:val="21"/>
        </w:rPr>
        <w:t>行资产配置“回归本源”的思考 [J]. 新金融，2018（11）：</w:t>
      </w:r>
    </w:p>
    <w:p>
      <w:pPr>
        <w:ind w:firstLine="640"/>
        <w:rPr>
          <w:rFonts w:hint="eastAsia" w:ascii="仿宋" w:hAnsi="仿宋" w:eastAsia="仿宋" w:cs="仿宋"/>
          <w:sz w:val="21"/>
          <w:szCs w:val="21"/>
        </w:rPr>
      </w:pPr>
      <w:r>
        <w:rPr>
          <w:rFonts w:hint="eastAsia" w:ascii="仿宋" w:hAnsi="仿宋" w:eastAsia="仿宋" w:cs="仿宋"/>
          <w:sz w:val="21"/>
          <w:szCs w:val="21"/>
        </w:rPr>
        <w:t>参考文献 ：</w:t>
      </w:r>
    </w:p>
    <w:p>
      <w:pPr>
        <w:ind w:firstLine="640"/>
        <w:rPr>
          <w:rFonts w:hint="eastAsia" w:ascii="仿宋" w:hAnsi="仿宋" w:eastAsia="仿宋" w:cs="仿宋"/>
          <w:sz w:val="21"/>
          <w:szCs w:val="21"/>
        </w:rPr>
      </w:pPr>
      <w:r>
        <w:rPr>
          <w:rFonts w:hint="eastAsia" w:ascii="仿宋" w:hAnsi="仿宋" w:eastAsia="仿宋" w:cs="仿宋"/>
          <w:sz w:val="21"/>
          <w:szCs w:val="21"/>
        </w:rPr>
        <w:t>[3]  交通银行金融研究中心课题组. 上市银行净息差分化的深层原因及启示 [J].中国银行业，2017（17）：59-62.</w:t>
      </w:r>
    </w:p>
    <w:p>
      <w:pPr>
        <w:ind w:firstLine="640"/>
        <w:rPr>
          <w:rFonts w:hint="eastAsia" w:ascii="仿宋" w:hAnsi="仿宋" w:eastAsia="仿宋" w:cs="仿宋"/>
          <w:sz w:val="21"/>
          <w:szCs w:val="21"/>
        </w:rPr>
      </w:pPr>
      <w:r>
        <w:rPr>
          <w:rFonts w:hint="eastAsia" w:ascii="仿宋" w:hAnsi="仿宋" w:eastAsia="仿宋" w:cs="仿宋"/>
          <w:sz w:val="21"/>
          <w:szCs w:val="21"/>
        </w:rPr>
        <w:t>[4] 尚航飞 黎金定. 我国银行业净息差管理的挑战与对策分析[J]. 博士后征文，2019（365）：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99077"/>
    <w:multiLevelType w:val="singleLevel"/>
    <w:tmpl w:val="5DF9907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041E1"/>
    <w:rsid w:val="00114F30"/>
    <w:rsid w:val="00253DC6"/>
    <w:rsid w:val="005611EF"/>
    <w:rsid w:val="0092443C"/>
    <w:rsid w:val="02435DEB"/>
    <w:rsid w:val="080D14C4"/>
    <w:rsid w:val="0E485588"/>
    <w:rsid w:val="17734D9E"/>
    <w:rsid w:val="1910265B"/>
    <w:rsid w:val="39AE41B6"/>
    <w:rsid w:val="408B798C"/>
    <w:rsid w:val="485C5D71"/>
    <w:rsid w:val="4A6232F2"/>
    <w:rsid w:val="5E8A1DE9"/>
    <w:rsid w:val="5FA96873"/>
    <w:rsid w:val="6DD7686A"/>
    <w:rsid w:val="7CB041E1"/>
    <w:rsid w:val="7E692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rFonts w:asciiTheme="minorHAnsi" w:hAnsiTheme="minorHAnsi" w:eastAsiaTheme="minorEastAsia" w:cstheme="minorBidi"/>
      <w:kern w:val="2"/>
      <w:sz w:val="18"/>
      <w:szCs w:val="18"/>
    </w:rPr>
  </w:style>
  <w:style w:type="character" w:customStyle="1" w:styleId="7">
    <w:name w:val="页脚 Char"/>
    <w:basedOn w:val="4"/>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522</Words>
  <Characters>2982</Characters>
  <Lines>24</Lines>
  <Paragraphs>6</Paragraphs>
  <TotalTime>784</TotalTime>
  <ScaleCrop>false</ScaleCrop>
  <LinksUpToDate>false</LinksUpToDate>
  <CharactersWithSpaces>3498</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2019-12-18T01:34:00Z</dcterms:created>
  <dc:creator>Administrator</dc:creator>
  <cp:lastModifiedBy>Administrator</cp:lastModifiedBy>
  <dcterms:modified xsi:type="dcterms:W3CDTF">2020-02-11T09:34:45Z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