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高校现金流量表编制与运用</w:t>
      </w:r>
      <w:r>
        <w:rPr>
          <w:rStyle w:val="10"/>
          <w:rFonts w:hint="eastAsia" w:ascii="黑体" w:hAnsi="黑体" w:eastAsia="黑体" w:cs="黑体"/>
          <w:b/>
          <w:bCs/>
          <w:sz w:val="30"/>
          <w:szCs w:val="30"/>
          <w:lang w:val="en-US" w:eastAsia="zh-CN"/>
        </w:rPr>
        <w:footnoteReference w:id="0"/>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郭宗睿，房常华，刘桂云,许德喜，滕艺</w:t>
      </w:r>
    </w:p>
    <w:p>
      <w:pPr>
        <w:keepNext w:val="0"/>
        <w:keepLines w:val="0"/>
        <w:pageBreakBefore w:val="0"/>
        <w:widowControl w:val="0"/>
        <w:kinsoku/>
        <w:wordWrap/>
        <w:overflowPunct/>
        <w:topLinePunct w:val="0"/>
        <w:autoSpaceDE/>
        <w:autoSpaceDN/>
        <w:bidi w:val="0"/>
        <w:adjustRightInd/>
        <w:snapToGrid/>
        <w:spacing w:after="157" w:afterLines="50"/>
        <w:ind w:firstLine="2400" w:firstLineChars="1000"/>
        <w:jc w:val="both"/>
        <w:textAlignment w:val="auto"/>
        <w:rPr>
          <w:rFonts w:hint="default" w:ascii="黑体" w:hAnsi="黑体" w:eastAsia="黑体" w:cs="黑体"/>
          <w:b/>
          <w:bCs/>
          <w:sz w:val="32"/>
          <w:szCs w:val="32"/>
          <w:lang w:val="en-US" w:eastAsia="zh-CN"/>
        </w:rPr>
      </w:pPr>
      <w:r>
        <w:rPr>
          <w:rFonts w:hint="eastAsia" w:ascii="楷体" w:hAnsi="楷体" w:eastAsia="楷体" w:cs="楷体"/>
          <w:b w:val="0"/>
          <w:bCs w:val="0"/>
          <w:sz w:val="24"/>
          <w:szCs w:val="24"/>
          <w:lang w:val="en-US" w:eastAsia="zh-CN"/>
        </w:rPr>
        <w:t>（德州学院财务处，山东德州253023）</w:t>
      </w:r>
    </w:p>
    <w:p>
      <w:pPr>
        <w:numPr>
          <w:ilvl w:val="0"/>
          <w:numId w:val="0"/>
        </w:numPr>
        <w:tabs>
          <w:tab w:val="left" w:pos="2803"/>
        </w:tabs>
        <w:jc w:val="both"/>
        <w:rPr>
          <w:rFonts w:hint="eastAsia" w:ascii="楷体" w:hAnsi="楷体" w:eastAsia="楷体" w:cs="楷体"/>
          <w:b w:val="0"/>
          <w:bCs w:val="0"/>
          <w:sz w:val="21"/>
          <w:szCs w:val="21"/>
          <w:lang w:val="en-US" w:eastAsia="zh-CN"/>
        </w:rPr>
      </w:pPr>
      <w:r>
        <w:rPr>
          <w:rFonts w:hint="eastAsia" w:ascii="楷体" w:hAnsi="楷体" w:eastAsia="楷体" w:cs="楷体"/>
          <w:b/>
          <w:bCs/>
          <w:sz w:val="21"/>
          <w:szCs w:val="21"/>
          <w:lang w:val="en-US" w:eastAsia="zh-CN"/>
        </w:rPr>
        <w:t>[摘要]</w:t>
      </w:r>
      <w:r>
        <w:rPr>
          <w:rFonts w:hint="eastAsia" w:ascii="楷体" w:hAnsi="楷体" w:eastAsia="楷体" w:cs="楷体"/>
          <w:b w:val="0"/>
          <w:bCs w:val="0"/>
          <w:sz w:val="21"/>
          <w:szCs w:val="21"/>
          <w:lang w:val="en-US" w:eastAsia="zh-CN"/>
        </w:rPr>
        <w:t>2019年施行新政府会计制度后，政府会计报告中增加了现金流量表，现金流信息是研究高校财务状况的重要视角。文章阐述了高校编制现金流量表的重要性，并通过对涉及现金流量的经济业务与事项的实例分析，进一步深化对高校现金流量表编制的探讨，以期为高校财务分析工作提供一定借鉴。</w:t>
      </w:r>
    </w:p>
    <w:p>
      <w:pPr>
        <w:numPr>
          <w:ilvl w:val="0"/>
          <w:numId w:val="0"/>
        </w:numPr>
        <w:jc w:val="both"/>
        <w:rPr>
          <w:rFonts w:hint="eastAsia" w:ascii="楷体" w:hAnsi="楷体" w:eastAsia="楷体" w:cs="楷体"/>
          <w:b w:val="0"/>
          <w:bCs w:val="0"/>
          <w:sz w:val="21"/>
          <w:szCs w:val="21"/>
          <w:lang w:val="en-US" w:eastAsia="zh-CN"/>
        </w:rPr>
      </w:pPr>
      <w:r>
        <w:rPr>
          <w:rFonts w:hint="eastAsia" w:ascii="楷体" w:hAnsi="楷体" w:eastAsia="楷体" w:cs="楷体"/>
          <w:b/>
          <w:bCs/>
          <w:sz w:val="21"/>
          <w:szCs w:val="21"/>
          <w:lang w:val="en-US" w:eastAsia="zh-CN"/>
        </w:rPr>
        <w:t>[关键字]</w:t>
      </w:r>
      <w:r>
        <w:rPr>
          <w:rFonts w:hint="eastAsia" w:ascii="楷体" w:hAnsi="楷体" w:eastAsia="楷体" w:cs="楷体"/>
          <w:b w:val="0"/>
          <w:bCs w:val="0"/>
          <w:sz w:val="21"/>
          <w:szCs w:val="21"/>
          <w:lang w:val="en-US" w:eastAsia="zh-CN"/>
        </w:rPr>
        <w:t>高校  现金流量  编制  运用</w:t>
      </w:r>
    </w:p>
    <w:p>
      <w:pPr>
        <w:numPr>
          <w:ilvl w:val="0"/>
          <w:numId w:val="0"/>
        </w:numPr>
        <w:ind w:leftChars="0"/>
        <w:jc w:val="both"/>
        <w:rPr>
          <w:rFonts w:hint="default" w:ascii="仿宋" w:hAnsi="仿宋" w:eastAsia="仿宋" w:cs="仿宋"/>
          <w:b/>
          <w:bCs/>
          <w:sz w:val="36"/>
          <w:szCs w:val="36"/>
          <w:lang w:val="en-US" w:eastAsia="zh-CN"/>
        </w:rPr>
      </w:pPr>
      <w:r>
        <w:rPr>
          <w:rFonts w:hint="eastAsia" w:ascii="仿宋" w:hAnsi="仿宋" w:eastAsia="仿宋" w:cs="仿宋"/>
          <w:b/>
          <w:bCs/>
          <w:sz w:val="36"/>
          <w:szCs w:val="36"/>
          <w:lang w:val="en-US" w:eastAsia="zh-CN"/>
        </w:rPr>
        <w:t xml:space="preserve">    </w:t>
      </w:r>
    </w:p>
    <w:p>
      <w:pPr>
        <w:keepNext w:val="0"/>
        <w:keepLines w:val="0"/>
        <w:pageBreakBefore w:val="0"/>
        <w:widowControl/>
        <w:suppressLineNumbers w:val="0"/>
        <w:kinsoku/>
        <w:overflowPunct/>
        <w:topLinePunct w:val="0"/>
        <w:autoSpaceDE/>
        <w:autoSpaceDN/>
        <w:bidi w:val="0"/>
        <w:adjustRightInd/>
        <w:snapToGrid/>
        <w:spacing w:line="240" w:lineRule="auto"/>
        <w:ind w:firstLine="420" w:firstLineChars="2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根据财政部2017年印发的《政府会计制度—行政事业单位会计科目和报表》（财会【2017】25号）的通知要求，2019年1月1日起，我国行政事业单位正式施行了新政府会计制度。新政府会计制度规定财务报表由资产负债表、收入费用表、净资产变动表和现金流量表及有关附表组成。近些年来，伴随着高校的跨越式发展，高校的经济活动日趋复杂化，不论是资金来源渠道，还是使用范围，都越来越多元化。高校编制现金流量表，能够更清晰、全面地了解学校资金流入流出情况，一方面，可以根据具体的收支情况有效地调度使用货币资金，做好资金使用筹划，提高货币资金的使用效益。另一方面，通过分析现金流量，可以掌握学校支付能力，为学校可持续发展提供有力的资金保障。</w:t>
      </w:r>
    </w:p>
    <w:p>
      <w:pPr>
        <w:keepNext w:val="0"/>
        <w:keepLines w:val="0"/>
        <w:pageBreakBefore w:val="0"/>
        <w:widowControl/>
        <w:numPr>
          <w:ilvl w:val="0"/>
          <w:numId w:val="1"/>
        </w:numPr>
        <w:suppressLineNumbers w:val="0"/>
        <w:kinsoku/>
        <w:overflowPunct/>
        <w:topLinePunct w:val="0"/>
        <w:autoSpaceDE/>
        <w:autoSpaceDN/>
        <w:bidi w:val="0"/>
        <w:adjustRightInd/>
        <w:snapToGrid/>
        <w:spacing w:line="240" w:lineRule="auto"/>
        <w:ind w:firstLine="422" w:firstLineChars="200"/>
        <w:jc w:val="left"/>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高校编制现金流量表的重要性</w:t>
      </w:r>
    </w:p>
    <w:p>
      <w:pPr>
        <w:keepNext w:val="0"/>
        <w:keepLines w:val="0"/>
        <w:pageBreakBefore w:val="0"/>
        <w:widowControl/>
        <w:numPr>
          <w:ilvl w:val="0"/>
          <w:numId w:val="2"/>
        </w:numPr>
        <w:suppressLineNumbers w:val="0"/>
        <w:tabs>
          <w:tab w:val="left" w:pos="2443"/>
        </w:tabs>
        <w:kinsoku/>
        <w:overflowPunct/>
        <w:topLinePunct w:val="0"/>
        <w:autoSpaceDE/>
        <w:autoSpaceDN/>
        <w:bidi w:val="0"/>
        <w:adjustRightInd/>
        <w:snapToGrid/>
        <w:spacing w:line="240" w:lineRule="auto"/>
        <w:ind w:left="600" w:leftChars="0" w:firstLine="0" w:firstLineChars="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有利于掌握整体财务状况</w:t>
      </w:r>
    </w:p>
    <w:p>
      <w:pPr>
        <w:keepNext w:val="0"/>
        <w:keepLines w:val="0"/>
        <w:pageBreakBefore w:val="0"/>
        <w:widowControl/>
        <w:numPr>
          <w:ilvl w:val="0"/>
          <w:numId w:val="0"/>
        </w:numPr>
        <w:suppressLineNumbers w:val="0"/>
        <w:tabs>
          <w:tab w:val="left" w:pos="2443"/>
        </w:tabs>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高校的财务管理水平源于高校财务提供信息的质量和数量，有效、高质量的财务信息提供给信息需求者，才能有助于使用者做出更准确的决策。高校财务信息多数来源于资产负债表、收入费用表、预算执行情况表等，但是这些报表并不能满足新形势下对高校财务信息的需求。高校现金流量表是对现有高校财务信息的补充。高校现金流量表通过汇集高校日常活动、投资活动和筹资活动产生的现金流</w:t>
      </w:r>
      <w:r>
        <w:rPr>
          <w:rFonts w:hint="eastAsia" w:asciiTheme="minorEastAsia" w:hAnsiTheme="minorEastAsia" w:cstheme="minorEastAsia"/>
          <w:b w:val="0"/>
          <w:bCs w:val="0"/>
          <w:sz w:val="21"/>
          <w:szCs w:val="21"/>
          <w:lang w:val="en-US" w:eastAsia="zh-CN"/>
        </w:rPr>
        <w:t>量信息</w:t>
      </w:r>
      <w:r>
        <w:rPr>
          <w:rFonts w:hint="eastAsia" w:asciiTheme="minorEastAsia" w:hAnsiTheme="minorEastAsia" w:eastAsiaTheme="minorEastAsia" w:cstheme="minorEastAsia"/>
          <w:b w:val="0"/>
          <w:bCs w:val="0"/>
          <w:sz w:val="21"/>
          <w:szCs w:val="21"/>
          <w:lang w:val="en-US" w:eastAsia="zh-CN"/>
        </w:rPr>
        <w:t>，全面反映高校货币资金的来源渠道</w:t>
      </w:r>
      <w:r>
        <w:rPr>
          <w:rFonts w:hint="eastAsia" w:asciiTheme="minorEastAsia" w:hAnsiTheme="minorEastAsia" w:cstheme="minorEastAsia"/>
          <w:b w:val="0"/>
          <w:bCs w:val="0"/>
          <w:sz w:val="21"/>
          <w:szCs w:val="21"/>
          <w:lang w:val="en-US" w:eastAsia="zh-CN"/>
        </w:rPr>
        <w:t>和</w:t>
      </w:r>
      <w:r>
        <w:rPr>
          <w:rFonts w:hint="eastAsia" w:asciiTheme="minorEastAsia" w:hAnsiTheme="minorEastAsia" w:eastAsiaTheme="minorEastAsia" w:cstheme="minorEastAsia"/>
          <w:b w:val="0"/>
          <w:bCs w:val="0"/>
          <w:sz w:val="21"/>
          <w:szCs w:val="21"/>
          <w:lang w:val="en-US" w:eastAsia="zh-CN"/>
        </w:rPr>
        <w:t>使用情况</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在掌握高校资产负债、收入支出等信息的情况下，对货币资金信息更加细化，使高校财务提供更加有效、有价值的信息，满足外部债权人、学校内部管理者和其他利益相关者的信息需求。</w:t>
      </w:r>
    </w:p>
    <w:p>
      <w:pPr>
        <w:keepNext w:val="0"/>
        <w:keepLines w:val="0"/>
        <w:pageBreakBefore w:val="0"/>
        <w:widowControl/>
        <w:numPr>
          <w:ilvl w:val="0"/>
          <w:numId w:val="2"/>
        </w:numPr>
        <w:suppressLineNumbers w:val="0"/>
        <w:tabs>
          <w:tab w:val="left" w:pos="2443"/>
        </w:tabs>
        <w:kinsoku/>
        <w:overflowPunct/>
        <w:topLinePunct w:val="0"/>
        <w:autoSpaceDE/>
        <w:autoSpaceDN/>
        <w:bidi w:val="0"/>
        <w:adjustRightInd/>
        <w:snapToGrid/>
        <w:spacing w:line="240" w:lineRule="auto"/>
        <w:ind w:left="600" w:leftChars="0" w:firstLine="0" w:firstLineChars="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有利于对货币资金进行管理</w:t>
      </w:r>
    </w:p>
    <w:p>
      <w:pPr>
        <w:keepNext w:val="0"/>
        <w:keepLines w:val="0"/>
        <w:pageBreakBefore w:val="0"/>
        <w:widowControl/>
        <w:numPr>
          <w:ilvl w:val="0"/>
          <w:numId w:val="0"/>
        </w:numPr>
        <w:suppressLineNumbers w:val="0"/>
        <w:tabs>
          <w:tab w:val="left" w:pos="2443"/>
        </w:tabs>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从整体上看，高校现金流量表可以提供学校在一定会计期间内日常活动、投资活动和筹资活动的现金流量净额及总体现金净变动情况。从各部分看，高校现金流量表反映学校现金流入中，财政拨款、事业收入有多少，投资活动产生了多少现金流入，通过举借债务补充了多少货币资金，还可以考察学校资金使用情况及现金流分布情况。高校通过编制现金流量表，可以更好地掌握学校资金状况，统筹各渠道货币资金，便于合理安排与调度，提高货币资金的使用效益与管理水平。</w:t>
      </w:r>
    </w:p>
    <w:p>
      <w:pPr>
        <w:keepNext w:val="0"/>
        <w:keepLines w:val="0"/>
        <w:pageBreakBefore w:val="0"/>
        <w:widowControl/>
        <w:numPr>
          <w:ilvl w:val="0"/>
          <w:numId w:val="2"/>
        </w:numPr>
        <w:suppressLineNumbers w:val="0"/>
        <w:tabs>
          <w:tab w:val="left" w:pos="2443"/>
        </w:tabs>
        <w:kinsoku/>
        <w:overflowPunct/>
        <w:topLinePunct w:val="0"/>
        <w:autoSpaceDE/>
        <w:autoSpaceDN/>
        <w:bidi w:val="0"/>
        <w:adjustRightInd/>
        <w:snapToGrid/>
        <w:spacing w:line="240" w:lineRule="auto"/>
        <w:ind w:left="600" w:leftChars="0" w:firstLine="0" w:firstLineChars="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有利于防范财务风险</w:t>
      </w:r>
      <w:r>
        <w:rPr>
          <w:rFonts w:hint="eastAsia" w:asciiTheme="minorEastAsia" w:hAnsiTheme="minorEastAsia" w:eastAsiaTheme="minorEastAsia" w:cstheme="minorEastAsia"/>
          <w:b w:val="0"/>
          <w:bCs w:val="0"/>
          <w:sz w:val="21"/>
          <w:szCs w:val="21"/>
          <w:lang w:val="en-US" w:eastAsia="zh-CN"/>
        </w:rPr>
        <w:tab/>
      </w:r>
    </w:p>
    <w:p>
      <w:pPr>
        <w:keepNext w:val="0"/>
        <w:keepLines w:val="0"/>
        <w:pageBreakBefore w:val="0"/>
        <w:widowControl/>
        <w:numPr>
          <w:ilvl w:val="0"/>
          <w:numId w:val="0"/>
        </w:numPr>
        <w:suppressLineNumbers w:val="0"/>
        <w:tabs>
          <w:tab w:val="left" w:pos="2443"/>
        </w:tabs>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通过对高校现金流量表进行分析，我们可以评价高校现金流分布是否合理，现金流动是否存在不合理的情况，是否出现现金流入流出不平衡的情况。如果高校不同性质来源的现金流量出现不合理的情况、或者现金流入与现金流出不相互匹配，就要分析是否出现现金供给障碍，是否有大额现金流出。如果高校日常活动的现金流出占用了大量筹资活动的现金流入，则表明学校的支付能力受到较大影响，需要综合分析还本付息等刚性现金流出事项。通过现金流量表，可以更好地掌握现金</w:t>
      </w:r>
      <w:r>
        <w:rPr>
          <w:rFonts w:hint="eastAsia" w:asciiTheme="minorEastAsia" w:hAnsiTheme="minorEastAsia" w:cstheme="minorEastAsia"/>
          <w:b w:val="0"/>
          <w:bCs w:val="0"/>
          <w:sz w:val="21"/>
          <w:szCs w:val="21"/>
          <w:lang w:val="en-US" w:eastAsia="zh-CN"/>
        </w:rPr>
        <w:t>流</w:t>
      </w:r>
      <w:r>
        <w:rPr>
          <w:rFonts w:hint="eastAsia" w:asciiTheme="minorEastAsia" w:hAnsiTheme="minorEastAsia" w:eastAsiaTheme="minorEastAsia" w:cstheme="minorEastAsia"/>
          <w:b w:val="0"/>
          <w:bCs w:val="0"/>
          <w:sz w:val="21"/>
          <w:szCs w:val="21"/>
          <w:lang w:val="en-US" w:eastAsia="zh-CN"/>
        </w:rPr>
        <w:t>情况，考察现金流的合理性，合理有效地分配、调度资金，实现高校现金流的动态平衡，避免资金周转困难等财务风险影响学校的正常运转。</w:t>
      </w:r>
    </w:p>
    <w:p>
      <w:pPr>
        <w:keepNext w:val="0"/>
        <w:keepLines w:val="0"/>
        <w:pageBreakBefore w:val="0"/>
        <w:widowControl/>
        <w:numPr>
          <w:ilvl w:val="0"/>
          <w:numId w:val="1"/>
        </w:numPr>
        <w:suppressLineNumbers w:val="0"/>
        <w:tabs>
          <w:tab w:val="left" w:pos="5428"/>
        </w:tabs>
        <w:kinsoku/>
        <w:overflowPunct/>
        <w:topLinePunct w:val="0"/>
        <w:autoSpaceDE/>
        <w:autoSpaceDN/>
        <w:bidi w:val="0"/>
        <w:adjustRightInd/>
        <w:snapToGrid/>
        <w:spacing w:line="240" w:lineRule="auto"/>
        <w:ind w:firstLine="422" w:firstLineChars="200"/>
        <w:jc w:val="left"/>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高校现金流量表的编制方法</w:t>
      </w:r>
    </w:p>
    <w:p>
      <w:pPr>
        <w:keepNext w:val="0"/>
        <w:keepLines w:val="0"/>
        <w:pageBreakBefore w:val="0"/>
        <w:widowControl/>
        <w:numPr>
          <w:ilvl w:val="0"/>
          <w:numId w:val="0"/>
        </w:numPr>
        <w:suppressLineNumbers w:val="0"/>
        <w:tabs>
          <w:tab w:val="left" w:pos="5428"/>
        </w:tabs>
        <w:kinsoku/>
        <w:overflowPunct/>
        <w:topLinePunct w:val="0"/>
        <w:autoSpaceDE/>
        <w:autoSpaceDN/>
        <w:bidi w:val="0"/>
        <w:adjustRightInd/>
        <w:snapToGrid/>
        <w:spacing w:line="240" w:lineRule="auto"/>
        <w:ind w:firstLine="601"/>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现金流量表是以现金为基础，反映高校在一定会计期间内现金流入和现金流出信息。从高校现金流量表结构来看，现金流量表主要从日常活动、投资活动和筹资活动三个方面反映各来源渠道的货币资金数额和各活动实际支付金额。</w:t>
      </w:r>
    </w:p>
    <w:p>
      <w:pPr>
        <w:keepNext w:val="0"/>
        <w:keepLines w:val="0"/>
        <w:pageBreakBefore w:val="0"/>
        <w:widowControl/>
        <w:numPr>
          <w:ilvl w:val="0"/>
          <w:numId w:val="0"/>
        </w:numPr>
        <w:suppressLineNumbers w:val="0"/>
        <w:tabs>
          <w:tab w:val="left" w:pos="5428"/>
        </w:tabs>
        <w:kinsoku/>
        <w:overflowPunct/>
        <w:topLinePunct w:val="0"/>
        <w:autoSpaceDE/>
        <w:autoSpaceDN/>
        <w:bidi w:val="0"/>
        <w:adjustRightInd/>
        <w:snapToGrid/>
        <w:spacing w:line="240" w:lineRule="auto"/>
        <w:ind w:firstLine="601"/>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高校应当采取直接法编制现金流量表。</w:t>
      </w:r>
    </w:p>
    <w:p>
      <w:pPr>
        <w:keepNext w:val="0"/>
        <w:keepLines w:val="0"/>
        <w:pageBreakBefore w:val="0"/>
        <w:widowControl/>
        <w:numPr>
          <w:ilvl w:val="0"/>
          <w:numId w:val="3"/>
        </w:numPr>
        <w:suppressLineNumbers w:val="0"/>
        <w:tabs>
          <w:tab w:val="left" w:pos="5428"/>
        </w:tabs>
        <w:kinsoku/>
        <w:overflowPunct/>
        <w:topLinePunct w:val="0"/>
        <w:autoSpaceDE/>
        <w:autoSpaceDN/>
        <w:bidi w:val="0"/>
        <w:adjustRightInd/>
        <w:snapToGrid/>
        <w:spacing w:line="240" w:lineRule="auto"/>
        <w:ind w:firstLine="601"/>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日常活动产生的现金流量</w:t>
      </w:r>
    </w:p>
    <w:p>
      <w:pPr>
        <w:keepNext w:val="0"/>
        <w:keepLines w:val="0"/>
        <w:pageBreakBefore w:val="0"/>
        <w:widowControl/>
        <w:numPr>
          <w:ilvl w:val="0"/>
          <w:numId w:val="4"/>
        </w:numPr>
        <w:suppressLineNumbers w:val="0"/>
        <w:tabs>
          <w:tab w:val="left" w:pos="5428"/>
        </w:tabs>
        <w:kinsoku/>
        <w:overflowPunct/>
        <w:topLinePunct w:val="0"/>
        <w:autoSpaceDE/>
        <w:autoSpaceDN/>
        <w:bidi w:val="0"/>
        <w:adjustRightInd/>
        <w:snapToGrid/>
        <w:spacing w:line="240" w:lineRule="auto"/>
        <w:ind w:left="600" w:leftChars="0" w:firstLine="0" w:firstLineChars="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日常活动的现金流入</w:t>
      </w:r>
    </w:p>
    <w:p>
      <w:pPr>
        <w:keepNext w:val="0"/>
        <w:keepLines w:val="0"/>
        <w:pageBreakBefore w:val="0"/>
        <w:widowControl/>
        <w:numPr>
          <w:ilvl w:val="0"/>
          <w:numId w:val="0"/>
        </w:numPr>
        <w:suppressLineNumbers w:val="0"/>
        <w:tabs>
          <w:tab w:val="left" w:pos="5428"/>
        </w:tabs>
        <w:kinsoku/>
        <w:overflowPunct/>
        <w:topLinePunct w:val="0"/>
        <w:autoSpaceDE/>
        <w:autoSpaceDN/>
        <w:bidi w:val="0"/>
        <w:adjustRightInd/>
        <w:snapToGrid/>
        <w:spacing w:line="240" w:lineRule="auto"/>
        <w:ind w:firstLine="420" w:firstLineChars="20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高校日常活动的现金流入主要包括高校教学、科研及其辅助活动产生的财政拨款、事业收入及其他与日常活动有关的现金。具体来看，财政拨款包括财政拨入高校的基本支出经费和除用于构建固定资产、无形资产、公共基础设施等资本性项目以外的项目支出经费，这两项应当根据“零余额账户用款额度”、“财政拨款收入”等科目及其所属明细科目填列。事业收入是高校开展教学、科研及其辅助活动取得的除财政拨款以外的现金，主要包括高校取得的学费、住宿费、考试费等教育事业收入</w:t>
      </w:r>
      <w:r>
        <w:rPr>
          <w:rFonts w:hint="eastAsia" w:asciiTheme="minorEastAsia" w:hAnsiTheme="minorEastAsia" w:cstheme="minorEastAsia"/>
          <w:b w:val="0"/>
          <w:bCs w:val="0"/>
          <w:sz w:val="21"/>
          <w:szCs w:val="21"/>
          <w:lang w:val="en-US" w:eastAsia="zh-CN"/>
        </w:rPr>
        <w:t>及</w:t>
      </w:r>
      <w:r>
        <w:rPr>
          <w:rFonts w:hint="eastAsia" w:asciiTheme="minorEastAsia" w:hAnsiTheme="minorEastAsia" w:eastAsiaTheme="minorEastAsia" w:cstheme="minorEastAsia"/>
          <w:b w:val="0"/>
          <w:bCs w:val="0"/>
          <w:sz w:val="21"/>
          <w:szCs w:val="21"/>
          <w:lang w:val="en-US" w:eastAsia="zh-CN"/>
        </w:rPr>
        <w:t>科研课题等科研事业收入，本项主要根据“银行存款”“应收账款”“事业收入”等科目及所属明细科目填列。收到的其他与日常活动有关的现金主要根据“银行存款”“库存现金”“上级补助收入”“附属单位上缴收入”“经营收入”、“非同级财政拨款收入”“捐赠收入”“利息收入”“租金收入”“其他收入”等科目及所属明细科目填列。</w:t>
      </w:r>
    </w:p>
    <w:p>
      <w:pPr>
        <w:keepNext w:val="0"/>
        <w:keepLines w:val="0"/>
        <w:pageBreakBefore w:val="0"/>
        <w:widowControl/>
        <w:numPr>
          <w:ilvl w:val="0"/>
          <w:numId w:val="4"/>
        </w:numPr>
        <w:suppressLineNumbers w:val="0"/>
        <w:tabs>
          <w:tab w:val="left" w:pos="5428"/>
        </w:tabs>
        <w:kinsoku/>
        <w:overflowPunct/>
        <w:topLinePunct w:val="0"/>
        <w:autoSpaceDE/>
        <w:autoSpaceDN/>
        <w:bidi w:val="0"/>
        <w:adjustRightInd/>
        <w:snapToGrid/>
        <w:spacing w:line="240" w:lineRule="auto"/>
        <w:ind w:left="600" w:leftChars="0" w:firstLine="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日常活动的现金流出</w:t>
      </w:r>
    </w:p>
    <w:p>
      <w:pPr>
        <w:keepNext w:val="0"/>
        <w:keepLines w:val="0"/>
        <w:pageBreakBefore w:val="0"/>
        <w:widowControl/>
        <w:numPr>
          <w:ilvl w:val="0"/>
          <w:numId w:val="0"/>
        </w:numPr>
        <w:suppressLineNumbers w:val="0"/>
        <w:tabs>
          <w:tab w:val="left" w:pos="5428"/>
        </w:tabs>
        <w:kinsoku/>
        <w:overflowPunct/>
        <w:topLinePunct w:val="0"/>
        <w:autoSpaceDE/>
        <w:autoSpaceDN/>
        <w:bidi w:val="0"/>
        <w:adjustRightInd/>
        <w:snapToGrid/>
        <w:spacing w:line="240" w:lineRule="auto"/>
        <w:ind w:firstLine="420" w:firstLineChars="20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高校日常活动的现金流出主要包括教学、科研及其辅助活动中用于购买商品、接受劳务支付的现金、支付给职工及为职工支付的现金、缴纳的相关税费、以及支付的其他与日常活动有关的现金。从核算角度来看，日常活动产生的现金流出一部分被列为费用，如“业务活动费用”“单位管理费用”“经营费用”等，还有一部分现金流出并没有引起费用的变化，如代管的工会、团费等受托代理负债，核算时借记“受托代理负债”，贷记“受托代理资产”。日常活动的现金流出主要根据具体业务内容和下列科目及所属明细科目进行填列：“银行存款”“库存现金”“零余额账户用款额度”“在途物品”“库存物品”“应付账款”“应付职工薪酬”“应交增值税”“其他应交税费”“业务活动费用”“单位管理费用”“经营费用”“所得税费用”“其他费用”“受托代理负债”等。</w:t>
      </w:r>
    </w:p>
    <w:p>
      <w:pPr>
        <w:keepNext w:val="0"/>
        <w:keepLines w:val="0"/>
        <w:pageBreakBefore w:val="0"/>
        <w:widowControl/>
        <w:numPr>
          <w:ilvl w:val="0"/>
          <w:numId w:val="3"/>
        </w:numPr>
        <w:suppressLineNumbers w:val="0"/>
        <w:tabs>
          <w:tab w:val="left" w:pos="5428"/>
        </w:tabs>
        <w:kinsoku/>
        <w:overflowPunct/>
        <w:topLinePunct w:val="0"/>
        <w:autoSpaceDE/>
        <w:autoSpaceDN/>
        <w:bidi w:val="0"/>
        <w:adjustRightInd/>
        <w:snapToGrid/>
        <w:spacing w:line="240" w:lineRule="auto"/>
        <w:ind w:firstLine="601"/>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投资活动产生的现金流量</w:t>
      </w:r>
    </w:p>
    <w:p>
      <w:pPr>
        <w:keepNext w:val="0"/>
        <w:keepLines w:val="0"/>
        <w:pageBreakBefore w:val="0"/>
        <w:widowControl/>
        <w:numPr>
          <w:ilvl w:val="0"/>
          <w:numId w:val="5"/>
        </w:numPr>
        <w:suppressLineNumbers w:val="0"/>
        <w:tabs>
          <w:tab w:val="left" w:pos="5428"/>
        </w:tabs>
        <w:kinsoku/>
        <w:overflowPunct/>
        <w:topLinePunct w:val="0"/>
        <w:autoSpaceDE/>
        <w:autoSpaceDN/>
        <w:bidi w:val="0"/>
        <w:adjustRightInd/>
        <w:snapToGrid/>
        <w:spacing w:line="240" w:lineRule="auto"/>
        <w:ind w:left="600" w:leftChars="0" w:firstLine="0" w:firstLineChars="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投资活动的现金流入</w:t>
      </w:r>
    </w:p>
    <w:p>
      <w:pPr>
        <w:keepNext w:val="0"/>
        <w:keepLines w:val="0"/>
        <w:pageBreakBefore w:val="0"/>
        <w:widowControl/>
        <w:numPr>
          <w:ilvl w:val="0"/>
          <w:numId w:val="0"/>
        </w:numPr>
        <w:suppressLineNumbers w:val="0"/>
        <w:tabs>
          <w:tab w:val="left" w:pos="5428"/>
        </w:tabs>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投资活动的现金流入主要包括高校收回投资、取得投资收益、其他与投资活动有关的现金流入及处置固定资产、无形资产、公共基础设施等收回的现金净额，其中处置固定资产、无形资产、公共基础设施等收回的现金净额，反映的是处置固定资产、无形资产、公共基础设施等收到的现金，减去因处置而产生的清理费用后的净额。以上项目主要根据“库存现金”“银行存款”“短期投资”“长期股权投资”“长期债券投资”“应收股利”“应收利息”“投资收益”“待处置财产损溢”等科目及其所属明细科目进行填列。</w:t>
      </w:r>
    </w:p>
    <w:p>
      <w:pPr>
        <w:keepNext w:val="0"/>
        <w:keepLines w:val="0"/>
        <w:pageBreakBefore w:val="0"/>
        <w:widowControl/>
        <w:numPr>
          <w:ilvl w:val="0"/>
          <w:numId w:val="5"/>
        </w:numPr>
        <w:suppressLineNumbers w:val="0"/>
        <w:tabs>
          <w:tab w:val="left" w:pos="5428"/>
        </w:tabs>
        <w:kinsoku/>
        <w:overflowPunct/>
        <w:topLinePunct w:val="0"/>
        <w:autoSpaceDE/>
        <w:autoSpaceDN/>
        <w:bidi w:val="0"/>
        <w:adjustRightInd/>
        <w:snapToGrid/>
        <w:spacing w:line="240" w:lineRule="auto"/>
        <w:ind w:left="600" w:leftChars="0" w:firstLine="0" w:firstLineChars="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投资活动的现金流出</w:t>
      </w:r>
    </w:p>
    <w:p>
      <w:pPr>
        <w:keepNext w:val="0"/>
        <w:keepLines w:val="0"/>
        <w:pageBreakBefore w:val="0"/>
        <w:widowControl/>
        <w:numPr>
          <w:ilvl w:val="0"/>
          <w:numId w:val="0"/>
        </w:numPr>
        <w:suppressLineNumbers w:val="0"/>
        <w:tabs>
          <w:tab w:val="left" w:pos="5428"/>
        </w:tabs>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投资活动的现金流出主要包括购置固定资产、无形资产、公共基础设施等、对外投资、上交处置固定资产、无形资产、公共基础设施等净收入支付的现金，主要根据“银行存款”“库存现金”“固定资产”“在建工程”“工程物资”“无形资产”“研发支出”“短期投资”“长期股权投资”“长期债券投资”“应缴财政款”等科目及其所属明细科目进行填列。</w:t>
      </w:r>
    </w:p>
    <w:p>
      <w:pPr>
        <w:keepNext w:val="0"/>
        <w:keepLines w:val="0"/>
        <w:pageBreakBefore w:val="0"/>
        <w:widowControl/>
        <w:numPr>
          <w:ilvl w:val="0"/>
          <w:numId w:val="3"/>
        </w:numPr>
        <w:suppressLineNumbers w:val="0"/>
        <w:tabs>
          <w:tab w:val="left" w:pos="5428"/>
        </w:tabs>
        <w:kinsoku/>
        <w:overflowPunct/>
        <w:topLinePunct w:val="0"/>
        <w:autoSpaceDE/>
        <w:autoSpaceDN/>
        <w:bidi w:val="0"/>
        <w:adjustRightInd/>
        <w:snapToGrid/>
        <w:spacing w:line="240" w:lineRule="auto"/>
        <w:ind w:firstLine="601"/>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筹资活动产生的现金流量</w:t>
      </w:r>
    </w:p>
    <w:p>
      <w:pPr>
        <w:keepNext w:val="0"/>
        <w:keepLines w:val="0"/>
        <w:pageBreakBefore w:val="0"/>
        <w:widowControl/>
        <w:numPr>
          <w:ilvl w:val="0"/>
          <w:numId w:val="6"/>
        </w:numPr>
        <w:suppressLineNumbers w:val="0"/>
        <w:tabs>
          <w:tab w:val="left" w:pos="5428"/>
        </w:tabs>
        <w:kinsoku/>
        <w:overflowPunct/>
        <w:topLinePunct w:val="0"/>
        <w:autoSpaceDE/>
        <w:autoSpaceDN/>
        <w:bidi w:val="0"/>
        <w:adjustRightInd/>
        <w:snapToGrid/>
        <w:spacing w:line="240" w:lineRule="auto"/>
        <w:ind w:left="600" w:leftChars="0" w:firstLine="0" w:firstLineChars="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筹资活动的现金流入</w:t>
      </w:r>
    </w:p>
    <w:p>
      <w:pPr>
        <w:keepNext w:val="0"/>
        <w:keepLines w:val="0"/>
        <w:pageBreakBefore w:val="0"/>
        <w:widowControl/>
        <w:numPr>
          <w:ilvl w:val="0"/>
          <w:numId w:val="0"/>
        </w:numPr>
        <w:suppressLineNumbers w:val="0"/>
        <w:tabs>
          <w:tab w:val="left" w:pos="5428"/>
        </w:tabs>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筹资活动的现金流入包括</w:t>
      </w:r>
      <w:r>
        <w:rPr>
          <w:rFonts w:hint="default" w:ascii="Calibri" w:hAnsi="Calibri" w:cs="Calibri" w:eastAsiaTheme="minorEastAsia"/>
          <w:b w:val="0"/>
          <w:bCs w:val="0"/>
          <w:sz w:val="21"/>
          <w:szCs w:val="21"/>
          <w:lang w:val="en-US" w:eastAsia="zh-CN"/>
        </w:rPr>
        <w:t>①</w:t>
      </w:r>
      <w:r>
        <w:rPr>
          <w:rFonts w:hint="eastAsia" w:asciiTheme="minorEastAsia" w:hAnsiTheme="minorEastAsia" w:eastAsiaTheme="minorEastAsia" w:cstheme="minorEastAsia"/>
          <w:b w:val="0"/>
          <w:bCs w:val="0"/>
          <w:sz w:val="21"/>
          <w:szCs w:val="21"/>
          <w:lang w:val="en-US" w:eastAsia="zh-CN"/>
        </w:rPr>
        <w:t>高校收到财政拨入的用于构建固定资产、无形资产、公共基础设施等资本性项目的财政专项经费，财政部门主要通过国库集中支付系统下拨经费指标，所以该项目根据“零余额账户用款额度”“财政拨款收入”等科目进行填列；</w:t>
      </w:r>
      <w:r>
        <w:rPr>
          <w:rFonts w:hint="default" w:ascii="Calibri" w:hAnsi="Calibri" w:cs="Calibri" w:eastAsiaTheme="minorEastAsia"/>
          <w:b w:val="0"/>
          <w:bCs w:val="0"/>
          <w:sz w:val="21"/>
          <w:szCs w:val="21"/>
          <w:lang w:val="en-US" w:eastAsia="zh-CN"/>
        </w:rPr>
        <w:t>②</w:t>
      </w:r>
      <w:r>
        <w:rPr>
          <w:rFonts w:hint="eastAsia" w:asciiTheme="minorEastAsia" w:hAnsiTheme="minorEastAsia" w:eastAsiaTheme="minorEastAsia" w:cstheme="minorEastAsia"/>
          <w:b w:val="0"/>
          <w:bCs w:val="0"/>
          <w:sz w:val="21"/>
          <w:szCs w:val="21"/>
          <w:lang w:val="en-US" w:eastAsia="zh-CN"/>
        </w:rPr>
        <w:t>高校收到短期、长期借款现金，主要通过“银行存款”“短期借款”“长期借款”等科目进行填列；收到的其他与筹资活动有关的现金，根据具体业务内容与核算科目进行填列。</w:t>
      </w:r>
    </w:p>
    <w:p>
      <w:pPr>
        <w:keepNext w:val="0"/>
        <w:keepLines w:val="0"/>
        <w:pageBreakBefore w:val="0"/>
        <w:widowControl/>
        <w:numPr>
          <w:ilvl w:val="0"/>
          <w:numId w:val="6"/>
        </w:numPr>
        <w:suppressLineNumbers w:val="0"/>
        <w:tabs>
          <w:tab w:val="left" w:pos="5428"/>
        </w:tabs>
        <w:kinsoku/>
        <w:overflowPunct/>
        <w:topLinePunct w:val="0"/>
        <w:autoSpaceDE/>
        <w:autoSpaceDN/>
        <w:bidi w:val="0"/>
        <w:adjustRightInd/>
        <w:snapToGrid/>
        <w:spacing w:line="240" w:lineRule="auto"/>
        <w:ind w:left="600" w:leftChars="0" w:firstLine="0" w:firstLineChars="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筹资活动的现金流出</w:t>
      </w:r>
    </w:p>
    <w:p>
      <w:pPr>
        <w:keepNext w:val="0"/>
        <w:keepLines w:val="0"/>
        <w:pageBreakBefore w:val="0"/>
        <w:widowControl/>
        <w:numPr>
          <w:ilvl w:val="0"/>
          <w:numId w:val="0"/>
        </w:numPr>
        <w:suppressLineNumbers w:val="0"/>
        <w:tabs>
          <w:tab w:val="left" w:pos="5428"/>
        </w:tabs>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高校筹资活动产生的现金流出主要包括偿还借款本金和支付借款利息，主要根据“银行存款”“短期借款”“长期借款”“应付利息”等科目及其所属明细科目进行填列。</w:t>
      </w:r>
    </w:p>
    <w:p>
      <w:pPr>
        <w:keepNext w:val="0"/>
        <w:keepLines w:val="0"/>
        <w:pageBreakBefore w:val="0"/>
        <w:widowControl/>
        <w:numPr>
          <w:ilvl w:val="0"/>
          <w:numId w:val="1"/>
        </w:numPr>
        <w:suppressLineNumbers w:val="0"/>
        <w:kinsoku/>
        <w:overflowPunct/>
        <w:topLinePunct w:val="0"/>
        <w:autoSpaceDE/>
        <w:autoSpaceDN/>
        <w:bidi w:val="0"/>
        <w:adjustRightInd/>
        <w:snapToGrid/>
        <w:spacing w:line="240" w:lineRule="auto"/>
        <w:ind w:left="0" w:leftChars="0" w:firstLine="422" w:firstLineChars="200"/>
        <w:jc w:val="left"/>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高校现金流量表编制案例分析</w:t>
      </w:r>
    </w:p>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left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（一）假设ZG大学2020年发生以下经济业务活动</w:t>
      </w:r>
      <w:r>
        <w:rPr>
          <w:rFonts w:hint="eastAsia" w:asciiTheme="minorEastAsia" w:hAnsiTheme="minorEastAsia" w:cstheme="minorEastAsia"/>
          <w:b w:val="0"/>
          <w:bCs w:val="0"/>
          <w:sz w:val="21"/>
          <w:szCs w:val="21"/>
          <w:lang w:val="en-US" w:eastAsia="zh-CN"/>
        </w:rPr>
        <w:t>：</w:t>
      </w:r>
    </w:p>
    <w:p>
      <w:pPr>
        <w:keepNext w:val="0"/>
        <w:keepLines w:val="0"/>
        <w:pageBreakBefore w:val="0"/>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1、1月2日，同级财政部门通过国库集中支付系统下达零余额授权用款额度—基本支出1420000</w:t>
      </w:r>
      <w:r>
        <w:rPr>
          <w:rFonts w:hint="eastAsia" w:asciiTheme="minorEastAsia" w:hAnsiTheme="minorEastAsia" w:cstheme="minorEastAsia"/>
          <w:sz w:val="21"/>
          <w:szCs w:val="21"/>
          <w:lang w:val="en-US" w:eastAsia="zh-CN"/>
        </w:rPr>
        <w:t>0</w:t>
      </w:r>
      <w:r>
        <w:rPr>
          <w:rFonts w:hint="eastAsia" w:asciiTheme="minorEastAsia" w:hAnsiTheme="minorEastAsia" w:eastAsiaTheme="minorEastAsia" w:cstheme="minorEastAsia"/>
          <w:sz w:val="21"/>
          <w:szCs w:val="21"/>
          <w:lang w:val="en-US" w:eastAsia="zh-CN"/>
        </w:rPr>
        <w:t xml:space="preserve">元；收到零余额授权用款额度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财务会计：</w:t>
      </w:r>
    </w:p>
    <w:p>
      <w:pPr>
        <w:keepNext w:val="0"/>
        <w:keepLines w:val="0"/>
        <w:pageBreakBefore w:val="0"/>
        <w:numPr>
          <w:ilvl w:val="0"/>
          <w:numId w:val="0"/>
        </w:numPr>
        <w:kinsoku/>
        <w:overflowPunct/>
        <w:topLinePunct w:val="0"/>
        <w:autoSpaceDE/>
        <w:autoSpaceDN/>
        <w:bidi w:val="0"/>
        <w:adjustRightInd/>
        <w:snapToGrid/>
        <w:spacing w:line="240" w:lineRule="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借：零余额账户用款额度                       14200000</w:t>
      </w:r>
    </w:p>
    <w:p>
      <w:pPr>
        <w:keepNext w:val="0"/>
        <w:keepLines w:val="0"/>
        <w:pageBreakBefore w:val="0"/>
        <w:numPr>
          <w:ilvl w:val="0"/>
          <w:numId w:val="0"/>
        </w:numPr>
        <w:kinsoku/>
        <w:overflowPunct/>
        <w:topLinePunct w:val="0"/>
        <w:autoSpaceDE/>
        <w:autoSpaceDN/>
        <w:bidi w:val="0"/>
        <w:adjustRightInd/>
        <w:snapToGrid/>
        <w:spacing w:line="240" w:lineRule="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贷：财政拨款收入                              14200000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预算会计：</w:t>
      </w:r>
    </w:p>
    <w:p>
      <w:pPr>
        <w:keepNext w:val="0"/>
        <w:keepLines w:val="0"/>
        <w:pageBreakBefore w:val="0"/>
        <w:numPr>
          <w:ilvl w:val="0"/>
          <w:numId w:val="0"/>
        </w:numPr>
        <w:kinsoku/>
        <w:overflowPunct/>
        <w:topLinePunct w:val="0"/>
        <w:autoSpaceDE/>
        <w:autoSpaceDN/>
        <w:bidi w:val="0"/>
        <w:adjustRightInd/>
        <w:snapToGrid/>
        <w:spacing w:line="240" w:lineRule="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借：资金结存—零余额账户用款额度              14200000</w:t>
      </w:r>
    </w:p>
    <w:p>
      <w:pPr>
        <w:keepNext w:val="0"/>
        <w:keepLines w:val="0"/>
        <w:pageBreakBefore w:val="0"/>
        <w:numPr>
          <w:ilvl w:val="0"/>
          <w:numId w:val="0"/>
        </w:numPr>
        <w:kinsoku/>
        <w:overflowPunct/>
        <w:topLinePunct w:val="0"/>
        <w:autoSpaceDE/>
        <w:autoSpaceDN/>
        <w:bidi w:val="0"/>
        <w:adjustRightInd/>
        <w:snapToGrid/>
        <w:spacing w:line="240" w:lineRule="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贷：财政拨款预算收入—基本支出                 14200000</w:t>
      </w:r>
    </w:p>
    <w:p>
      <w:pPr>
        <w:keepNext w:val="0"/>
        <w:keepLines w:val="0"/>
        <w:pageBreakBefore w:val="0"/>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2、1月20日收到同级财政专项拨款8000000元，其中专业群建设项目4000000元，公寓改造提升3000000元，</w:t>
      </w:r>
      <w:r>
        <w:rPr>
          <w:rFonts w:hint="eastAsia" w:asciiTheme="minorEastAsia" w:hAnsiTheme="minorEastAsia" w:eastAsiaTheme="minorEastAsia" w:cstheme="minorEastAsia"/>
          <w:color w:val="auto"/>
          <w:sz w:val="21"/>
          <w:szCs w:val="21"/>
          <w:lang w:val="en-US" w:eastAsia="zh-CN"/>
        </w:rPr>
        <w:t>高校思想政治理论建设</w:t>
      </w:r>
      <w:r>
        <w:rPr>
          <w:rFonts w:hint="eastAsia" w:asciiTheme="minorEastAsia" w:hAnsiTheme="minorEastAsia" w:eastAsiaTheme="minorEastAsia" w:cstheme="minorEastAsia"/>
          <w:sz w:val="21"/>
          <w:szCs w:val="21"/>
          <w:lang w:val="en-US" w:eastAsia="zh-CN"/>
        </w:rPr>
        <w:t xml:space="preserve">1000000元。            </w:t>
      </w:r>
    </w:p>
    <w:p>
      <w:pPr>
        <w:keepNext w:val="0"/>
        <w:keepLines w:val="0"/>
        <w:pageBreakBefore w:val="0"/>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财务会计：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借：零余额账户用款额度                         8000000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贷：财政拨款收入                               8000000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预算会计：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借：资金结存—零余额账户用款额度               8000000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贷:财政拨款预算收入—项目支出                8000000</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3、2月5日收到省学生资助中心汇入的学生励志奖学金5000000元。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财务会计：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借：银行存款—</w:t>
      </w:r>
      <w:r>
        <w:rPr>
          <w:rFonts w:hint="eastAsia" w:asciiTheme="minorEastAsia" w:hAnsiTheme="minorEastAsia" w:eastAsiaTheme="minorEastAsia" w:cstheme="minorEastAsia"/>
          <w:color w:val="auto"/>
          <w:sz w:val="21"/>
          <w:szCs w:val="21"/>
          <w:lang w:val="en-US" w:eastAsia="zh-CN"/>
        </w:rPr>
        <w:t xml:space="preserve">受托代理资产       </w:t>
      </w:r>
      <w:r>
        <w:rPr>
          <w:rFonts w:hint="eastAsia" w:asciiTheme="minorEastAsia" w:hAnsiTheme="minorEastAsia" w:eastAsiaTheme="minorEastAsia" w:cstheme="minorEastAsia"/>
          <w:sz w:val="21"/>
          <w:szCs w:val="21"/>
          <w:lang w:val="en-US" w:eastAsia="zh-CN"/>
        </w:rPr>
        <w:t xml:space="preserve">              5000000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贷：受托代理负债                               5000000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预算会计不作账务处理</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4、3月15日</w:t>
      </w:r>
      <w:r>
        <w:rPr>
          <w:rFonts w:hint="eastAsia" w:asciiTheme="minorEastAsia" w:hAnsiTheme="minorEastAsia" w:cstheme="minorEastAsia"/>
          <w:sz w:val="21"/>
          <w:szCs w:val="21"/>
          <w:lang w:val="en-US" w:eastAsia="zh-CN"/>
        </w:rPr>
        <w:t>将</w:t>
      </w:r>
      <w:r>
        <w:rPr>
          <w:rFonts w:hint="eastAsia" w:asciiTheme="minorEastAsia" w:hAnsiTheme="minorEastAsia" w:eastAsiaTheme="minorEastAsia" w:cstheme="minorEastAsia"/>
          <w:sz w:val="21"/>
          <w:szCs w:val="21"/>
          <w:lang w:val="en-US" w:eastAsia="zh-CN"/>
        </w:rPr>
        <w:t>省学生资助中心汇入的励志奖学金5000000元</w:t>
      </w:r>
      <w:r>
        <w:rPr>
          <w:rFonts w:hint="eastAsia" w:asciiTheme="minorEastAsia" w:hAnsiTheme="minorEastAsia" w:cstheme="minorEastAsia"/>
          <w:sz w:val="21"/>
          <w:szCs w:val="21"/>
          <w:lang w:val="en-US" w:eastAsia="zh-CN"/>
        </w:rPr>
        <w:t>发放给学生</w:t>
      </w: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财务会计：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借：受托代理负债                                 5000000</w:t>
      </w:r>
    </w:p>
    <w:p>
      <w:pPr>
        <w:keepNext w:val="0"/>
        <w:keepLines w:val="0"/>
        <w:pageBreakBefore w:val="0"/>
        <w:numPr>
          <w:ilvl w:val="0"/>
          <w:numId w:val="0"/>
        </w:numPr>
        <w:kinsoku/>
        <w:overflowPunct/>
        <w:topLinePunct w:val="0"/>
        <w:autoSpaceDE/>
        <w:autoSpaceDN/>
        <w:bidi w:val="0"/>
        <w:adjustRightInd/>
        <w:snapToGrid/>
        <w:spacing w:line="240" w:lineRule="auto"/>
        <w:ind w:firstLine="210" w:firstLineChars="1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贷：银行存款—受托代理资产                     5000000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预算会计不作账务处理</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5、3月27日收到市科技局拨入的科研项目经费50000元。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财务会计：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借：银行存款                                      50000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贷：事业收入—科研事业收入                       50000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预算会计：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借：资金结存—货币资金                            50000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贷：事业预算收入—科研事业预算收入              50000</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6、4月7日收档案查询费200元。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财务会计：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借：银行存款                                      200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贷：其他收入—其他                                   200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预算会计：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借：资金结存—货币资金                            200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贷：其他预算收入—其他                           200</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7、5月10日收到申请拨回的财政专户资金20000000元，其中学费15000000元，住宿费5000000元。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财务会计：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借：银行存款                            20000000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贷：事业收入—教育事业收入—学费         15000000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事业收入—教育事业收入—住宿费        5000000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预算会计：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借：资金结存—货币资金                     20000000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贷：事业预算收入—教育事业预算收入—学费    15000000</w:t>
      </w:r>
    </w:p>
    <w:p>
      <w:pPr>
        <w:keepNext w:val="0"/>
        <w:keepLines w:val="0"/>
        <w:pageBreakBefore w:val="0"/>
        <w:numPr>
          <w:ilvl w:val="0"/>
          <w:numId w:val="0"/>
        </w:numPr>
        <w:kinsoku/>
        <w:overflowPunct/>
        <w:topLinePunct w:val="0"/>
        <w:autoSpaceDE/>
        <w:autoSpaceDN/>
        <w:bidi w:val="0"/>
        <w:adjustRightInd/>
        <w:snapToGrid/>
        <w:spacing w:line="240" w:lineRule="auto"/>
        <w:ind w:firstLine="6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事业预算收入—教育事业预算收入—住宿费   5000000      </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8、5月29日，交上月办公电话费5500元，其中，教学部门3000元，行政管理部门2000元，后勤保障部门500元，由零余额账户支付。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财务会计：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借：业务活动费用-教育费用             3000</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单位管理费用-行政管理费用         2000</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单位管理费用-后勤保障费用          500</w:t>
      </w:r>
    </w:p>
    <w:p>
      <w:pPr>
        <w:keepNext w:val="0"/>
        <w:keepLines w:val="0"/>
        <w:pageBreakBefore w:val="0"/>
        <w:numPr>
          <w:ilvl w:val="0"/>
          <w:numId w:val="0"/>
        </w:numPr>
        <w:kinsoku/>
        <w:overflowPunct/>
        <w:topLinePunct w:val="0"/>
        <w:autoSpaceDE/>
        <w:autoSpaceDN/>
        <w:bidi w:val="0"/>
        <w:adjustRightInd/>
        <w:snapToGrid/>
        <w:spacing w:line="240" w:lineRule="auto"/>
        <w:ind w:firstLine="6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贷：零余额账户用款额度            5500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预算会计：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借：事业支出-教育支出-基本支出-财政补助支出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 3000</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事业支出-行政管理支出-基本支出-财政补助支出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2000</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事业支出-后勤保障支出-基本支出-财政补助支出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500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贷：资金结存-零余额账户用款额度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5500</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9、6月12日，用零余额账户支付行政管理部门印刷费1100元。</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财务会计：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借：单位管理费用-行政管理费用       1100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贷：零余额账户用款额度             1100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预算会计：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借：事业支出-行政管理支出-基本支出-财政补助支出  1100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贷：资金结存-零余额账户用款额度                1100</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10、6月27日，从零余额账户中央支持地方专项经费中发放高层次人才安家费4000000元。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财务会计：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借：业务活动费用-教育费用        4000000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贷：零余额账户用款额度          4000000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预算会计：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借：事业支出-教育支出-项目支出-财政补助支出    4000000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贷：资金结存-零余额账户用款额度              4000000</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11、7月6日，支付流动资金贷款利息共300000元。</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财务会计：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借：其他费用-利息费用       300000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贷：银行存款-建设银行        300000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预算会计：</w:t>
      </w:r>
    </w:p>
    <w:p>
      <w:pPr>
        <w:keepNext w:val="0"/>
        <w:keepLines w:val="0"/>
        <w:pageBreakBefore w:val="0"/>
        <w:numPr>
          <w:ilvl w:val="0"/>
          <w:numId w:val="0"/>
        </w:numPr>
        <w:kinsoku/>
        <w:overflowPunct/>
        <w:topLinePunct w:val="0"/>
        <w:autoSpaceDE/>
        <w:autoSpaceDN/>
        <w:bidi w:val="0"/>
        <w:adjustRightInd/>
        <w:snapToGrid/>
        <w:spacing w:line="240" w:lineRule="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借：其他支出-利息支出-其他资金支出  </w:t>
      </w:r>
      <w:r>
        <w:rPr>
          <w:rFonts w:hint="eastAsia" w:asciiTheme="minorEastAsia" w:hAnsiTheme="minorEastAsia" w:cstheme="minorEastAsia"/>
          <w:sz w:val="21"/>
          <w:szCs w:val="21"/>
          <w:lang w:val="en-US" w:eastAsia="zh-CN"/>
        </w:rPr>
        <w:t>300000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贷：资金结存-货币资金              </w:t>
      </w:r>
      <w:r>
        <w:rPr>
          <w:rFonts w:hint="eastAsia" w:asciiTheme="minorEastAsia" w:hAnsiTheme="minorEastAsia" w:cstheme="minorEastAsia"/>
          <w:sz w:val="21"/>
          <w:szCs w:val="21"/>
          <w:lang w:val="en-US" w:eastAsia="zh-CN"/>
        </w:rPr>
        <w:t>300000</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12、8月6日，学校向税务部门缴纳增值税（科研收入）15200元，个人所得税125000元。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财务会计：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借：应交增值税-应交税金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15200</w:t>
      </w:r>
    </w:p>
    <w:p>
      <w:pPr>
        <w:keepNext w:val="0"/>
        <w:keepLines w:val="0"/>
        <w:pageBreakBefore w:val="0"/>
        <w:numPr>
          <w:ilvl w:val="0"/>
          <w:numId w:val="0"/>
        </w:numPr>
        <w:kinsoku/>
        <w:overflowPunct/>
        <w:topLinePunct w:val="0"/>
        <w:autoSpaceDE/>
        <w:autoSpaceDN/>
        <w:bidi w:val="0"/>
        <w:adjustRightInd/>
        <w:snapToGrid/>
        <w:spacing w:line="240" w:lineRule="auto"/>
        <w:ind w:firstLine="6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其他应交税费-应交代扣代缴个人所得税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125000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贷：银行存款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140200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预算会计：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借：事业支出-科研支出-项目支出-其他资金</w:t>
      </w:r>
      <w:r>
        <w:rPr>
          <w:rFonts w:hint="eastAsia" w:asciiTheme="minorEastAsia" w:hAnsiTheme="minorEastAsia" w:cstheme="minorEastAsia"/>
          <w:sz w:val="21"/>
          <w:szCs w:val="21"/>
          <w:lang w:val="en-US" w:eastAsia="zh-CN"/>
        </w:rPr>
        <w:t>支出</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15200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事业支出-行政管理支出-基本支出-其他资金支出 125000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贷：资金结存-货币资金                          140200</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13、8月20日，偿还流动资金贷款本金100000元。</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财务会计：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借：短期借款                  100000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贷：银行存款                 100000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预算会计：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借：债务预算支出               100000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贷：资金结存-货币资金          100000</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14、9月20日，学校向中国建设银行贷款23000000元，期限3年，利率4.75%，按月支付利息。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财务会计：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借：银行存款-建设银行         23000000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贷：长期借款-建设银行        23000000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预算会计：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借：资金结存-货币资金           23000000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贷：债务预算收入               23000000</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15、10月9日，图书馆购入一批图书1500000元、电子数据库250000元，用学校银行存款支付。</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财务会计：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借：固定资产-图书、档案           1750000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贷：银行存款                     1750000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预算会计：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借：事业支出-教育支出-项目支出</w:t>
      </w:r>
      <w:r>
        <w:rPr>
          <w:rFonts w:hint="eastAsia" w:asciiTheme="minorEastAsia" w:hAnsiTheme="minorEastAsia" w:cstheme="minorEastAsia"/>
          <w:sz w:val="21"/>
          <w:szCs w:val="21"/>
          <w:lang w:val="en-US" w:eastAsia="zh-CN"/>
        </w:rPr>
        <w:t>-其他资金支出</w:t>
      </w:r>
      <w:r>
        <w:rPr>
          <w:rFonts w:hint="eastAsia" w:asciiTheme="minorEastAsia" w:hAnsiTheme="minorEastAsia" w:eastAsiaTheme="minorEastAsia" w:cstheme="minorEastAsia"/>
          <w:sz w:val="21"/>
          <w:szCs w:val="21"/>
          <w:lang w:val="en-US" w:eastAsia="zh-CN"/>
        </w:rPr>
        <w:t xml:space="preserve">    1750000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w:t>
      </w:r>
      <w:r>
        <w:rPr>
          <w:rFonts w:hint="eastAsia" w:asciiTheme="minorEastAsia" w:hAnsiTheme="minorEastAsia" w:cstheme="minorEastAsia"/>
          <w:sz w:val="21"/>
          <w:szCs w:val="21"/>
          <w:lang w:val="en-US" w:eastAsia="zh-CN"/>
        </w:rPr>
        <w:t>资金结存-货币资金</w:t>
      </w:r>
      <w:r>
        <w:rPr>
          <w:rFonts w:hint="eastAsia" w:asciiTheme="minorEastAsia" w:hAnsiTheme="minorEastAsia" w:eastAsiaTheme="minorEastAsia" w:cstheme="minorEastAsia"/>
          <w:sz w:val="21"/>
          <w:szCs w:val="21"/>
          <w:lang w:val="en-US" w:eastAsia="zh-CN"/>
        </w:rPr>
        <w:t xml:space="preserve">                                  1750000</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16、10月27日，生物物理研究所购入一台设备250000元，通过银行存款支付。      </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财务会计：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借：固定资产-专用设备       250000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贷：银行存款                250000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预算会计: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借：事业支出-教育支出-</w:t>
      </w:r>
      <w:r>
        <w:rPr>
          <w:rFonts w:hint="eastAsia" w:asciiTheme="minorEastAsia" w:hAnsiTheme="minorEastAsia" w:cstheme="minorEastAsia"/>
          <w:sz w:val="21"/>
          <w:szCs w:val="21"/>
          <w:lang w:val="en-US" w:eastAsia="zh-CN"/>
        </w:rPr>
        <w:t>项目支出-</w:t>
      </w:r>
      <w:r>
        <w:rPr>
          <w:rFonts w:hint="eastAsia" w:asciiTheme="minorEastAsia" w:hAnsiTheme="minorEastAsia" w:eastAsiaTheme="minorEastAsia" w:cstheme="minorEastAsia"/>
          <w:sz w:val="21"/>
          <w:szCs w:val="21"/>
          <w:lang w:val="en-US" w:eastAsia="zh-CN"/>
        </w:rPr>
        <w:t>其他资金支出   250000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贷：资金结存-货币资金                        250000</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17、11月17日，学校收到投资收益230000元。</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财务会计：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借：银行存款                 230000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贷：投资收益                230000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预算会计：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借：资金结存-货币资金          230000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贷：投资预算收入               230000</w:t>
      </w:r>
    </w:p>
    <w:p>
      <w:pPr>
        <w:keepNext w:val="0"/>
        <w:keepLines w:val="0"/>
        <w:pageBreakBefore w:val="0"/>
        <w:numPr>
          <w:ilvl w:val="0"/>
          <w:numId w:val="0"/>
        </w:numPr>
        <w:kinsoku/>
        <w:overflowPunct/>
        <w:topLinePunct w:val="0"/>
        <w:autoSpaceDE/>
        <w:autoSpaceDN/>
        <w:bidi w:val="0"/>
        <w:adjustRightInd/>
        <w:snapToGrid/>
        <w:spacing w:line="24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18、12月2日，报经上级主管部门同意，学校报废20台计算机，处置残值收入15000元，清理费用5200元，按规定将处置净收益上交国库。</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财务会计：</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借：银行存款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15000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贷：待处理财产损溢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15000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借：待处理财产损溢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 5200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贷：银行存款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 5200</w:t>
      </w:r>
    </w:p>
    <w:p>
      <w:pPr>
        <w:keepNext w:val="0"/>
        <w:keepLines w:val="0"/>
        <w:pageBreakBefore w:val="0"/>
        <w:numPr>
          <w:ilvl w:val="0"/>
          <w:numId w:val="0"/>
        </w:numPr>
        <w:kinsoku/>
        <w:overflowPunct/>
        <w:topLinePunct w:val="0"/>
        <w:autoSpaceDE/>
        <w:autoSpaceDN/>
        <w:bidi w:val="0"/>
        <w:adjustRightInd/>
        <w:snapToGrid/>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借：待处理财产损溢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 9800</w:t>
      </w:r>
    </w:p>
    <w:p>
      <w:pPr>
        <w:keepNext w:val="0"/>
        <w:keepLines w:val="0"/>
        <w:pageBreakBefore w:val="0"/>
        <w:numPr>
          <w:ilvl w:val="0"/>
          <w:numId w:val="0"/>
        </w:numPr>
        <w:kinsoku/>
        <w:overflowPunct/>
        <w:topLinePunct w:val="0"/>
        <w:autoSpaceDE/>
        <w:autoSpaceDN/>
        <w:bidi w:val="0"/>
        <w:adjustRightInd/>
        <w:snapToGrid/>
        <w:spacing w:line="240" w:lineRule="auto"/>
        <w:ind w:firstLine="210" w:firstLineChars="1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贷：应缴财政款-应缴国库款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9800</w:t>
      </w:r>
    </w:p>
    <w:p>
      <w:pPr>
        <w:keepNext w:val="0"/>
        <w:keepLines w:val="0"/>
        <w:pageBreakBefore w:val="0"/>
        <w:numPr>
          <w:ilvl w:val="0"/>
          <w:numId w:val="0"/>
        </w:numPr>
        <w:kinsoku/>
        <w:overflowPunct/>
        <w:topLinePunct w:val="0"/>
        <w:autoSpaceDE/>
        <w:autoSpaceDN/>
        <w:bidi w:val="0"/>
        <w:adjustRightInd/>
        <w:snapToGrid/>
        <w:spacing w:line="240" w:lineRule="auto"/>
        <w:ind w:firstLine="210" w:firstLineChars="10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预算会计不做账务处理。</w:t>
      </w:r>
    </w:p>
    <w:p>
      <w:pPr>
        <w:keepNext w:val="0"/>
        <w:keepLines w:val="0"/>
        <w:pageBreakBefore w:val="0"/>
        <w:widowControl/>
        <w:numPr>
          <w:ilvl w:val="0"/>
          <w:numId w:val="7"/>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根据上述经济业务，编制现金流量表（表1）。</w:t>
      </w:r>
    </w:p>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表1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bCs/>
          <w:sz w:val="21"/>
          <w:szCs w:val="21"/>
          <w:lang w:val="en-US" w:eastAsia="zh-CN"/>
        </w:rPr>
        <w:t>现金流量表</w:t>
      </w:r>
    </w:p>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编制单位：ZG大学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 xml:space="preserve">  2020年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单位：元</w:t>
      </w:r>
    </w:p>
    <w:tbl>
      <w:tblPr>
        <w:tblStyle w:val="7"/>
        <w:tblW w:w="10032" w:type="dxa"/>
        <w:tblInd w:w="-7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10"/>
        <w:gridCol w:w="2157"/>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项目</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本年金额</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上年金额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一、日常活动产生的现金流量</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     财政基本支出拨款收到的现金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14200000.00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     财政非资本性项目拨款收到的现金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8000000.00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     事业活动收到的除财政拨款以外的现金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20050000.00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     收到的其他与日常活动有关的现金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5000200.00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         日常活动的现金流入小计</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47250200.00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     购买商品、接受劳务支付的现金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6600.00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     支付给职工以及为职工支付的现金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4000000.00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     支付的各项税费</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140200.00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     支付的其他与日常活动有关的现金 </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5000000.00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         日常活动的现金流出小计</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9146800.00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     日常活动产生的现金流量净额</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38103400.00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二、投资活动产生的现金流量</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    收回投资收到的现金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取得投资收益收到的现金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230000.00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处置固定资产、无形资产、公共基础设施等收回的现金净额</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1050" w:firstLineChars="500"/>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9800.00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收到的其他与投资活动有关的现金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840" w:firstLineChars="400"/>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投资活动的现金流入小计</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shd w:val="clear" w:color="auto" w:fill="auto"/>
                <w:vertAlign w:val="baseline"/>
                <w:lang w:val="en-US" w:eastAsia="zh-CN"/>
              </w:rPr>
              <w:t>239800</w:t>
            </w:r>
            <w:r>
              <w:rPr>
                <w:rFonts w:hint="eastAsia" w:asciiTheme="minorEastAsia" w:hAnsiTheme="minorEastAsia" w:eastAsiaTheme="minorEastAsia" w:cstheme="minorEastAsia"/>
                <w:b w:val="0"/>
                <w:bCs w:val="0"/>
                <w:sz w:val="21"/>
                <w:szCs w:val="21"/>
                <w:shd w:val="clear" w:color="auto" w:fill="auto"/>
                <w:vertAlign w:val="baseline"/>
                <w:lang w:val="en-US" w:eastAsia="zh-CN"/>
              </w:rPr>
              <w:t>.00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购置固定资产、无形资产、公共基础设施等支付的现金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   2000000.00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对外投资支付的现金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上交处置固定资产、无形资产、公共基础设施等支付的现金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  9800.00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支付的其他与投资活动有关的现金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840" w:firstLineChars="400"/>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投资活动的现金流出小计</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2009800.00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投资活动产生的现金流量净额</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-1770000</w:t>
            </w:r>
            <w:r>
              <w:rPr>
                <w:rFonts w:hint="eastAsia" w:asciiTheme="minorEastAsia" w:hAnsiTheme="minorEastAsia" w:eastAsiaTheme="minorEastAsia" w:cstheme="minorEastAsia"/>
                <w:b w:val="0"/>
                <w:bCs w:val="0"/>
                <w:sz w:val="21"/>
                <w:szCs w:val="21"/>
                <w:vertAlign w:val="baseline"/>
                <w:lang w:val="en-US" w:eastAsia="zh-CN"/>
              </w:rPr>
              <w:t>.00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三、筹资活动产生的现金流量</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 xml:space="preserve">    财政资本性项目拨款收到的现金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取得借款收到的现金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23000000.00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收到的其他与筹资活动有关的现金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840" w:firstLineChars="400"/>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筹资活动的现金流入小计</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23000000.00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420" w:firstLineChars="200"/>
              <w:jc w:val="both"/>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偿还借款支付的现金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100000.00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偿还利息支付的现金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300000.00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支付的其他与筹资活动有关的现金</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840" w:firstLineChars="400"/>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筹资活动的现金流出小计</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400000.00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筹资活动产生的现金流量净额</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22600000.00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四、汇率变动对现金的影响额</w:t>
            </w:r>
          </w:p>
        </w:tc>
        <w:tc>
          <w:tcPr>
            <w:tcW w:w="2157" w:type="dxa"/>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right"/>
              <w:rPr>
                <w:rFonts w:hint="eastAsia" w:asciiTheme="minorEastAsia" w:hAnsiTheme="minorEastAsia" w:eastAsiaTheme="minorEastAsia" w:cstheme="minorEastAsia"/>
                <w:b w:val="0"/>
                <w:bCs w:val="0"/>
                <w:sz w:val="21"/>
                <w:szCs w:val="21"/>
                <w:vertAlign w:val="baseline"/>
                <w:lang w:val="en-US" w:eastAsia="zh-CN"/>
              </w:rPr>
            </w:pP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6210" w:type="dxa"/>
            <w:tcBorders>
              <w:lef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五、现金净增加额</w:t>
            </w:r>
          </w:p>
        </w:tc>
        <w:tc>
          <w:tcPr>
            <w:tcW w:w="2157" w:type="dxa"/>
            <w:vAlign w:val="center"/>
          </w:tcPr>
          <w:p>
            <w:pPr>
              <w:keepNext w:val="0"/>
              <w:keepLines w:val="0"/>
              <w:pageBreakBefore w:val="0"/>
              <w:widowControl/>
              <w:suppressLineNumbers w:val="0"/>
              <w:kinsoku/>
              <w:overflowPunct/>
              <w:topLinePunct w:val="0"/>
              <w:autoSpaceDE/>
              <w:autoSpaceDN/>
              <w:bidi w:val="0"/>
              <w:adjustRightInd/>
              <w:snapToGrid/>
              <w:spacing w:line="240" w:lineRule="auto"/>
              <w:jc w:val="right"/>
              <w:textAlignment w:val="center"/>
              <w:rPr>
                <w:rFonts w:hint="default" w:asciiTheme="minorEastAsia" w:hAnsiTheme="minorEastAsia" w:eastAsiaTheme="minorEastAsia" w:cstheme="minorEastAsia"/>
                <w:i w:val="0"/>
                <w:color w:val="000000"/>
                <w:kern w:val="2"/>
                <w:sz w:val="21"/>
                <w:szCs w:val="21"/>
                <w:u w:val="none"/>
                <w:lang w:val="en-US" w:eastAsia="zh-CN" w:bidi="ar-SA"/>
              </w:rPr>
            </w:pPr>
            <w:r>
              <w:rPr>
                <w:rFonts w:hint="eastAsia" w:asciiTheme="minorEastAsia" w:hAnsiTheme="minorEastAsia" w:cstheme="minorEastAsia"/>
                <w:b w:val="0"/>
                <w:bCs w:val="0"/>
                <w:sz w:val="21"/>
                <w:szCs w:val="21"/>
                <w:vertAlign w:val="baseline"/>
                <w:lang w:val="en-US" w:eastAsia="zh-CN"/>
              </w:rPr>
              <w:t>58933400.00</w:t>
            </w:r>
          </w:p>
        </w:tc>
        <w:tc>
          <w:tcPr>
            <w:tcW w:w="1665" w:type="dxa"/>
            <w:tcBorders>
              <w:right w:val="nil"/>
            </w:tcBorders>
            <w:vAlign w:val="top"/>
          </w:tcPr>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vertAlign w:val="baseline"/>
                <w:lang w:val="en-US" w:eastAsia="zh-CN"/>
              </w:rPr>
            </w:pPr>
          </w:p>
        </w:tc>
      </w:tr>
    </w:tbl>
    <w:p>
      <w:pPr>
        <w:keepNext w:val="0"/>
        <w:keepLines w:val="0"/>
        <w:pageBreakBefore w:val="0"/>
        <w:widowControl/>
        <w:numPr>
          <w:ilvl w:val="0"/>
          <w:numId w:val="1"/>
        </w:numPr>
        <w:suppressLineNumbers w:val="0"/>
        <w:kinsoku/>
        <w:overflowPunct/>
        <w:topLinePunct w:val="0"/>
        <w:autoSpaceDE/>
        <w:autoSpaceDN/>
        <w:bidi w:val="0"/>
        <w:adjustRightInd/>
        <w:snapToGrid/>
        <w:spacing w:line="240" w:lineRule="auto"/>
        <w:ind w:left="0" w:leftChars="0" w:firstLine="422" w:firstLineChars="200"/>
        <w:jc w:val="left"/>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高校现金流量表的</w:t>
      </w:r>
      <w:r>
        <w:rPr>
          <w:rFonts w:hint="eastAsia" w:asciiTheme="minorEastAsia" w:hAnsiTheme="minorEastAsia" w:cstheme="minorEastAsia"/>
          <w:b/>
          <w:bCs/>
          <w:sz w:val="21"/>
          <w:szCs w:val="21"/>
          <w:lang w:val="en-US" w:eastAsia="zh-CN"/>
        </w:rPr>
        <w:t>运用</w:t>
      </w:r>
    </w:p>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通过对高校现金流量表的分析，我们可以掌握学校现金流的结构与特点，从而结合具体情况，合理安排资金，为学校各项事业安全、有效的运行提供有力的资金链。</w:t>
      </w:r>
    </w:p>
    <w:p>
      <w:pPr>
        <w:keepNext w:val="0"/>
        <w:keepLines w:val="0"/>
        <w:pageBreakBefore w:val="0"/>
        <w:widowControl/>
        <w:numPr>
          <w:ilvl w:val="0"/>
          <w:numId w:val="8"/>
        </w:numPr>
        <w:suppressLineNumbers w:val="0"/>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现金流量净额分析</w:t>
      </w:r>
    </w:p>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现金流量表日常活动、投资活动和筹资活动产生的现金流量净额分别反映了该项活动的现金流是“盈余”还是“缺口”。如果现金流量为正，说明该部分现金流入量能够满足活动的正常运行；如果现金流量为负，则说明在这个会计期间内，该项活动的支出占用了以前会计期间的现金流量，或者占用了其他活动的现金流量。这里还需要结合资金性质来分析，从高校日常活动来看，由于财政专项资金专款专用的使用要求，可能</w:t>
      </w:r>
      <w:r>
        <w:rPr>
          <w:rFonts w:hint="eastAsia" w:asciiTheme="minorEastAsia" w:hAnsiTheme="minorEastAsia" w:cstheme="minorEastAsia"/>
          <w:b w:val="0"/>
          <w:bCs w:val="0"/>
          <w:sz w:val="21"/>
          <w:szCs w:val="21"/>
          <w:lang w:val="en-US" w:eastAsia="zh-CN"/>
        </w:rPr>
        <w:t>在</w:t>
      </w:r>
      <w:r>
        <w:rPr>
          <w:rFonts w:hint="eastAsia" w:asciiTheme="minorEastAsia" w:hAnsiTheme="minorEastAsia" w:eastAsiaTheme="minorEastAsia" w:cstheme="minorEastAsia"/>
          <w:b w:val="0"/>
          <w:bCs w:val="0"/>
          <w:sz w:val="21"/>
          <w:szCs w:val="21"/>
          <w:lang w:val="en-US" w:eastAsia="zh-CN"/>
        </w:rPr>
        <w:t>导致专项资金结转结余的同时，基本经费不能满足学校基本支出。</w:t>
      </w:r>
    </w:p>
    <w:p>
      <w:pPr>
        <w:keepNext w:val="0"/>
        <w:keepLines w:val="0"/>
        <w:pageBreakBefore w:val="0"/>
        <w:widowControl/>
        <w:numPr>
          <w:ilvl w:val="0"/>
          <w:numId w:val="8"/>
        </w:numPr>
        <w:suppressLineNumbers w:val="0"/>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现金流入量结构分析</w:t>
      </w:r>
    </w:p>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6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通过分析高校日常活动、投资活动、筹资活动产生的现金流入量占总现金流入量的比重，可以了解学校的财务状况。如果日常活动产生的现金流入量比重大，说明学校货币资金流入结构合理；如果筹资活动产生的现金流入量比重大，说明学校的债务负担较重，可能对发展学校事业带来一定的资金压力。</w:t>
      </w:r>
    </w:p>
    <w:p>
      <w:pPr>
        <w:keepNext w:val="0"/>
        <w:keepLines w:val="0"/>
        <w:pageBreakBefore w:val="0"/>
        <w:widowControl/>
        <w:numPr>
          <w:ilvl w:val="0"/>
          <w:numId w:val="8"/>
        </w:numPr>
        <w:suppressLineNumbers w:val="0"/>
        <w:kinsoku/>
        <w:overflowPunct/>
        <w:topLinePunct w:val="0"/>
        <w:autoSpaceDE/>
        <w:autoSpaceDN/>
        <w:bidi w:val="0"/>
        <w:adjustRightInd/>
        <w:snapToGrid/>
        <w:spacing w:line="240" w:lineRule="auto"/>
        <w:ind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现金流出量结构分析</w:t>
      </w:r>
    </w:p>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firstLine="6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合理的高校现金流出量结构应该是日常活动产生的现金流出量占总现金流出量比重最大，这样说明大量资金投入到了高校教学、科研等各项事业发展中。如果投资活动产生的现金流出量占比较大，说明在这个会计期间内，学校应该有基本建设项目，则需要关注下支持基本建设的资金来源。如果筹资活动产生的现金流出量占比较大，说明还本付息占用资金太大。后两种情况都是不合理的资金状况，需要及时考察资金来源，为学校可持续发展提供有力的资金保障。</w:t>
      </w:r>
    </w:p>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eastAsia" w:asciiTheme="minorEastAsia" w:hAnsiTheme="minorEastAsia" w:eastAsiaTheme="minorEastAsia" w:cstheme="minorEastAsia"/>
          <w:b/>
          <w:bCs/>
          <w:sz w:val="21"/>
          <w:szCs w:val="21"/>
          <w:lang w:val="en-US" w:eastAsia="zh-CN"/>
        </w:rPr>
      </w:pPr>
    </w:p>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jc w:val="left"/>
        <w:rPr>
          <w:rFonts w:hint="default" w:ascii="黑体" w:hAnsi="黑体" w:eastAsia="黑体" w:cs="黑体"/>
          <w:b/>
          <w:sz w:val="21"/>
          <w:szCs w:val="21"/>
          <w:lang w:val="en-US"/>
        </w:rPr>
      </w:pPr>
      <w:r>
        <w:rPr>
          <w:rFonts w:hint="eastAsia" w:ascii="黑体" w:hAnsi="黑体" w:eastAsia="黑体" w:cs="黑体"/>
          <w:b/>
          <w:bCs/>
          <w:sz w:val="21"/>
          <w:szCs w:val="21"/>
          <w:lang w:val="en-US" w:eastAsia="zh-CN"/>
        </w:rPr>
        <w:t>[参考文献]</w:t>
      </w:r>
    </w:p>
    <w:p>
      <w:pPr>
        <w:keepNext w:val="0"/>
        <w:keepLines w:val="0"/>
        <w:pageBreakBefore w:val="0"/>
        <w:kinsoku/>
        <w:overflowPunct/>
        <w:topLinePunct w:val="0"/>
        <w:autoSpaceDE/>
        <w:autoSpaceDN/>
        <w:bidi w:val="0"/>
        <w:adjustRightInd/>
        <w:snapToGrid/>
        <w:spacing w:line="240" w:lineRule="auto"/>
        <w:jc w:val="left"/>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rPr>
        <w:t>[1]</w:t>
      </w:r>
      <w:r>
        <w:rPr>
          <w:rFonts w:hint="eastAsia" w:ascii="华文仿宋" w:hAnsi="华文仿宋" w:eastAsia="华文仿宋" w:cs="华文仿宋"/>
          <w:sz w:val="21"/>
          <w:szCs w:val="21"/>
          <w:lang w:eastAsia="zh-CN"/>
        </w:rPr>
        <w:t>宋淑平</w:t>
      </w:r>
      <w:r>
        <w:rPr>
          <w:rFonts w:hint="eastAsia" w:ascii="华文仿宋" w:hAnsi="华文仿宋" w:eastAsia="华文仿宋" w:cs="华文仿宋"/>
          <w:sz w:val="21"/>
          <w:szCs w:val="21"/>
        </w:rPr>
        <w:t xml:space="preserve">. </w:t>
      </w:r>
      <w:r>
        <w:rPr>
          <w:rFonts w:hint="eastAsia" w:ascii="华文仿宋" w:hAnsi="华文仿宋" w:eastAsia="华文仿宋" w:cs="华文仿宋"/>
          <w:sz w:val="21"/>
          <w:szCs w:val="21"/>
          <w:lang w:eastAsia="zh-CN"/>
        </w:rPr>
        <w:t>试论高校现金流量表的设计及编制方法</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val="en-US" w:eastAsia="zh-CN"/>
        </w:rPr>
        <w:t>J</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eastAsia="zh-CN"/>
        </w:rPr>
        <w:t>中国外资</w:t>
      </w:r>
      <w:r>
        <w:rPr>
          <w:rFonts w:hint="eastAsia" w:ascii="华文仿宋" w:hAnsi="华文仿宋" w:eastAsia="华文仿宋" w:cs="华文仿宋"/>
          <w:sz w:val="21"/>
          <w:szCs w:val="21"/>
          <w:lang w:val="en-US" w:eastAsia="zh-CN"/>
        </w:rPr>
        <w:t>,2012(14)54-55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textAlignment w:val="auto"/>
        <w:rPr>
          <w:rFonts w:hint="eastAsia" w:ascii="华文仿宋" w:hAnsi="华文仿宋" w:eastAsia="华文仿宋" w:cs="华文仿宋"/>
          <w:b w:val="0"/>
          <w:bCs w:val="0"/>
          <w:sz w:val="21"/>
          <w:szCs w:val="21"/>
          <w:lang w:val="en-US" w:eastAsia="zh-CN"/>
        </w:rPr>
      </w:pPr>
      <w:r>
        <w:rPr>
          <w:rFonts w:hint="eastAsia" w:ascii="华文仿宋" w:hAnsi="华文仿宋" w:eastAsia="华文仿宋" w:cs="华文仿宋"/>
          <w:b w:val="0"/>
          <w:bCs w:val="0"/>
          <w:kern w:val="2"/>
          <w:sz w:val="21"/>
          <w:szCs w:val="21"/>
          <w:lang w:val="en-US" w:eastAsia="zh-CN" w:bidi="ar-SA"/>
        </w:rPr>
        <w:t>[2]温志刚. 现金流量表在高校财务管理中的分析与利用.</w:t>
      </w:r>
      <w:r>
        <w:rPr>
          <w:rFonts w:hint="eastAsia" w:ascii="华文仿宋" w:hAnsi="华文仿宋" w:eastAsia="华文仿宋" w:cs="华文仿宋"/>
          <w:b w:val="0"/>
          <w:bCs w:val="0"/>
          <w:sz w:val="21"/>
          <w:szCs w:val="21"/>
        </w:rPr>
        <w:t>[</w:t>
      </w:r>
      <w:r>
        <w:rPr>
          <w:rFonts w:hint="eastAsia" w:ascii="华文仿宋" w:hAnsi="华文仿宋" w:eastAsia="华文仿宋" w:cs="华文仿宋"/>
          <w:b w:val="0"/>
          <w:bCs w:val="0"/>
          <w:sz w:val="21"/>
          <w:szCs w:val="21"/>
          <w:lang w:val="en-US" w:eastAsia="zh-CN"/>
        </w:rPr>
        <w:t>J</w:t>
      </w:r>
      <w:r>
        <w:rPr>
          <w:rFonts w:hint="eastAsia" w:ascii="华文仿宋" w:hAnsi="华文仿宋" w:eastAsia="华文仿宋" w:cs="华文仿宋"/>
          <w:b w:val="0"/>
          <w:bCs w:val="0"/>
          <w:sz w:val="21"/>
          <w:szCs w:val="21"/>
        </w:rPr>
        <w:t>]</w:t>
      </w:r>
      <w:r>
        <w:rPr>
          <w:rFonts w:hint="eastAsia" w:ascii="华文仿宋" w:hAnsi="华文仿宋" w:eastAsia="华文仿宋" w:cs="华文仿宋"/>
          <w:b w:val="0"/>
          <w:bCs w:val="0"/>
          <w:sz w:val="21"/>
          <w:szCs w:val="21"/>
          <w:lang w:eastAsia="zh-CN"/>
        </w:rPr>
        <w:t>徐州工程学院学报</w:t>
      </w:r>
      <w:r>
        <w:rPr>
          <w:rFonts w:hint="eastAsia" w:ascii="华文仿宋" w:hAnsi="华文仿宋" w:eastAsia="华文仿宋" w:cs="华文仿宋"/>
          <w:b w:val="0"/>
          <w:bCs w:val="0"/>
          <w:sz w:val="21"/>
          <w:szCs w:val="21"/>
          <w:lang w:val="en-US" w:eastAsia="zh-CN"/>
        </w:rPr>
        <w:t>,2006(8)23-25</w:t>
      </w:r>
    </w:p>
    <w:p>
      <w:pPr>
        <w:keepNext w:val="0"/>
        <w:keepLines w:val="0"/>
        <w:pageBreakBefore w:val="0"/>
        <w:kinsoku/>
        <w:overflowPunct/>
        <w:topLinePunct w:val="0"/>
        <w:autoSpaceDE/>
        <w:autoSpaceDN/>
        <w:bidi w:val="0"/>
        <w:adjustRightInd/>
        <w:snapToGrid/>
        <w:spacing w:line="240" w:lineRule="auto"/>
        <w:jc w:val="left"/>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val="en-US" w:eastAsia="zh-CN"/>
        </w:rPr>
        <w:t>3</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eastAsia="zh-CN"/>
        </w:rPr>
        <w:t>党江艳</w:t>
      </w:r>
      <w:r>
        <w:rPr>
          <w:rFonts w:hint="eastAsia" w:ascii="华文仿宋" w:hAnsi="华文仿宋" w:eastAsia="华文仿宋" w:cs="华文仿宋"/>
          <w:sz w:val="21"/>
          <w:szCs w:val="21"/>
        </w:rPr>
        <w:t xml:space="preserve">. </w:t>
      </w:r>
      <w:r>
        <w:rPr>
          <w:rFonts w:hint="eastAsia" w:ascii="华文仿宋" w:hAnsi="华文仿宋" w:eastAsia="华文仿宋" w:cs="华文仿宋"/>
          <w:sz w:val="21"/>
          <w:szCs w:val="21"/>
          <w:lang w:eastAsia="zh-CN"/>
        </w:rPr>
        <w:t>高校现金流量表编制问题研究</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val="en-US" w:eastAsia="zh-CN"/>
        </w:rPr>
        <w:t>J</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eastAsia="zh-CN"/>
        </w:rPr>
        <w:t>财会月刊</w:t>
      </w:r>
      <w:r>
        <w:rPr>
          <w:rFonts w:hint="eastAsia" w:ascii="华文仿宋" w:hAnsi="华文仿宋" w:eastAsia="华文仿宋" w:cs="华文仿宋"/>
          <w:sz w:val="21"/>
          <w:szCs w:val="21"/>
          <w:lang w:val="en-US" w:eastAsia="zh-CN"/>
        </w:rPr>
        <w:t>,2013(10)29-31</w:t>
      </w:r>
    </w:p>
    <w:p>
      <w:pPr>
        <w:keepNext w:val="0"/>
        <w:keepLines w:val="0"/>
        <w:pageBreakBefore w:val="0"/>
        <w:kinsoku/>
        <w:overflowPunct/>
        <w:topLinePunct w:val="0"/>
        <w:autoSpaceDE/>
        <w:autoSpaceDN/>
        <w:bidi w:val="0"/>
        <w:adjustRightInd/>
        <w:snapToGrid/>
        <w:spacing w:line="240" w:lineRule="auto"/>
        <w:jc w:val="left"/>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val="en-US" w:eastAsia="zh-CN"/>
        </w:rPr>
        <w:t>4</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eastAsia="zh-CN"/>
        </w:rPr>
        <w:t>徐明稚</w:t>
      </w:r>
      <w:r>
        <w:rPr>
          <w:rFonts w:hint="eastAsia" w:ascii="华文仿宋" w:hAnsi="华文仿宋" w:eastAsia="华文仿宋" w:cs="华文仿宋"/>
          <w:sz w:val="21"/>
          <w:szCs w:val="21"/>
          <w:lang w:val="en-US" w:eastAsia="zh-CN"/>
        </w:rPr>
        <w:t>,</w:t>
      </w:r>
      <w:r>
        <w:rPr>
          <w:rFonts w:hint="eastAsia" w:ascii="华文仿宋" w:hAnsi="华文仿宋" w:eastAsia="华文仿宋" w:cs="华文仿宋"/>
          <w:sz w:val="21"/>
          <w:szCs w:val="21"/>
          <w:lang w:eastAsia="zh-CN"/>
        </w:rPr>
        <w:t>张丹</w:t>
      </w:r>
      <w:r>
        <w:rPr>
          <w:rFonts w:hint="eastAsia" w:ascii="华文仿宋" w:hAnsi="华文仿宋" w:eastAsia="华文仿宋" w:cs="华文仿宋"/>
          <w:sz w:val="21"/>
          <w:szCs w:val="21"/>
          <w:lang w:val="en-US" w:eastAsia="zh-CN"/>
        </w:rPr>
        <w:t>,</w:t>
      </w:r>
      <w:r>
        <w:rPr>
          <w:rFonts w:hint="eastAsia" w:ascii="华文仿宋" w:hAnsi="华文仿宋" w:eastAsia="华文仿宋" w:cs="华文仿宋"/>
          <w:sz w:val="21"/>
          <w:szCs w:val="21"/>
          <w:lang w:eastAsia="zh-CN"/>
        </w:rPr>
        <w:t>姜晓璐</w:t>
      </w:r>
      <w:r>
        <w:rPr>
          <w:rFonts w:hint="eastAsia" w:ascii="华文仿宋" w:hAnsi="华文仿宋" w:eastAsia="华文仿宋" w:cs="华文仿宋"/>
          <w:sz w:val="21"/>
          <w:szCs w:val="21"/>
        </w:rPr>
        <w:t xml:space="preserve">. </w:t>
      </w:r>
      <w:r>
        <w:rPr>
          <w:rFonts w:hint="eastAsia" w:ascii="华文仿宋" w:hAnsi="华文仿宋" w:eastAsia="华文仿宋" w:cs="华文仿宋"/>
          <w:sz w:val="21"/>
          <w:szCs w:val="21"/>
          <w:lang w:eastAsia="zh-CN"/>
        </w:rPr>
        <w:t>基于现金流量模型的高校财务风险评价体系</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val="en-US" w:eastAsia="zh-CN"/>
        </w:rPr>
        <w:t>J</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eastAsia="zh-CN"/>
        </w:rPr>
        <w:t>会计研究</w:t>
      </w:r>
      <w:r>
        <w:rPr>
          <w:rFonts w:hint="eastAsia" w:ascii="华文仿宋" w:hAnsi="华文仿宋" w:eastAsia="华文仿宋" w:cs="华文仿宋"/>
          <w:sz w:val="21"/>
          <w:szCs w:val="21"/>
          <w:lang w:val="en-US" w:eastAsia="zh-CN"/>
        </w:rPr>
        <w:t>,2012(7)57-64</w:t>
      </w:r>
    </w:p>
    <w:p>
      <w:pPr>
        <w:keepNext w:val="0"/>
        <w:keepLines w:val="0"/>
        <w:pageBreakBefore w:val="0"/>
        <w:kinsoku/>
        <w:overflowPunct/>
        <w:topLinePunct w:val="0"/>
        <w:autoSpaceDE/>
        <w:autoSpaceDN/>
        <w:bidi w:val="0"/>
        <w:adjustRightInd/>
        <w:snapToGrid/>
        <w:spacing w:line="240" w:lineRule="auto"/>
        <w:jc w:val="left"/>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val="en-US" w:eastAsia="zh-CN"/>
        </w:rPr>
        <w:t>5</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eastAsia="zh-CN"/>
        </w:rPr>
        <w:t>李珣</w:t>
      </w:r>
      <w:r>
        <w:rPr>
          <w:rFonts w:hint="eastAsia" w:ascii="华文仿宋" w:hAnsi="华文仿宋" w:eastAsia="华文仿宋" w:cs="华文仿宋"/>
          <w:sz w:val="21"/>
          <w:szCs w:val="21"/>
        </w:rPr>
        <w:t xml:space="preserve">. </w:t>
      </w:r>
      <w:r>
        <w:rPr>
          <w:rFonts w:hint="eastAsia" w:ascii="华文仿宋" w:hAnsi="华文仿宋" w:eastAsia="华文仿宋" w:cs="华文仿宋"/>
          <w:sz w:val="21"/>
          <w:szCs w:val="21"/>
          <w:lang w:eastAsia="zh-CN"/>
        </w:rPr>
        <w:t>高校现金流量表编制方法探讨</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val="en-US" w:eastAsia="zh-CN"/>
        </w:rPr>
        <w:t>J</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eastAsia="zh-CN"/>
        </w:rPr>
        <w:t>财会通讯</w:t>
      </w:r>
      <w:r>
        <w:rPr>
          <w:rFonts w:hint="eastAsia" w:ascii="华文仿宋" w:hAnsi="华文仿宋" w:eastAsia="华文仿宋" w:cs="华文仿宋"/>
          <w:sz w:val="21"/>
          <w:szCs w:val="21"/>
          <w:lang w:val="en-US" w:eastAsia="zh-CN"/>
        </w:rPr>
        <w:t>,2010(2)49-50</w:t>
      </w:r>
    </w:p>
    <w:p>
      <w:pPr>
        <w:keepNext w:val="0"/>
        <w:keepLines w:val="0"/>
        <w:pageBreakBefore w:val="0"/>
        <w:kinsoku/>
        <w:overflowPunct/>
        <w:topLinePunct w:val="0"/>
        <w:autoSpaceDE/>
        <w:autoSpaceDN/>
        <w:bidi w:val="0"/>
        <w:adjustRightInd/>
        <w:snapToGrid/>
        <w:spacing w:line="240" w:lineRule="auto"/>
        <w:jc w:val="left"/>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val="en-US" w:eastAsia="zh-CN"/>
        </w:rPr>
        <w:t>6</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eastAsia="zh-CN"/>
        </w:rPr>
        <w:t>安红、廖文萍</w:t>
      </w:r>
      <w:r>
        <w:rPr>
          <w:rFonts w:hint="eastAsia" w:ascii="华文仿宋" w:hAnsi="华文仿宋" w:eastAsia="华文仿宋" w:cs="华文仿宋"/>
          <w:sz w:val="21"/>
          <w:szCs w:val="21"/>
        </w:rPr>
        <w:t xml:space="preserve">. </w:t>
      </w:r>
      <w:r>
        <w:rPr>
          <w:rFonts w:hint="eastAsia" w:ascii="华文仿宋" w:hAnsi="华文仿宋" w:eastAsia="华文仿宋" w:cs="华文仿宋"/>
          <w:sz w:val="21"/>
          <w:szCs w:val="21"/>
          <w:lang w:eastAsia="zh-CN"/>
        </w:rPr>
        <w:t>高校现金流量表的编制与运用</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val="en-US" w:eastAsia="zh-CN"/>
        </w:rPr>
        <w:t>J</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lang w:eastAsia="zh-CN"/>
        </w:rPr>
        <w:t>会计之友</w:t>
      </w:r>
      <w:r>
        <w:rPr>
          <w:rFonts w:hint="eastAsia" w:ascii="华文仿宋" w:hAnsi="华文仿宋" w:eastAsia="华文仿宋" w:cs="华文仿宋"/>
          <w:sz w:val="21"/>
          <w:szCs w:val="21"/>
          <w:lang w:val="en-US" w:eastAsia="zh-CN"/>
        </w:rPr>
        <w:t>,2010(8)65-66</w:t>
      </w:r>
    </w:p>
    <w:p>
      <w:pPr>
        <w:keepNext w:val="0"/>
        <w:keepLines w:val="0"/>
        <w:pageBreakBefore w:val="0"/>
        <w:kinsoku/>
        <w:overflowPunct/>
        <w:topLinePunct w:val="0"/>
        <w:autoSpaceDE/>
        <w:autoSpaceDN/>
        <w:bidi w:val="0"/>
        <w:adjustRightInd/>
        <w:snapToGrid/>
        <w:spacing w:line="240" w:lineRule="auto"/>
        <w:jc w:val="left"/>
        <w:rPr>
          <w:rFonts w:hint="eastAsia" w:ascii="华文仿宋" w:hAnsi="华文仿宋" w:eastAsia="华文仿宋" w:cs="华文仿宋"/>
          <w:sz w:val="21"/>
          <w:szCs w:val="21"/>
          <w:lang w:val="en-US" w:eastAsia="zh-CN"/>
        </w:rPr>
      </w:pPr>
    </w:p>
    <w:p>
      <w:pPr>
        <w:keepNext w:val="0"/>
        <w:keepLines w:val="0"/>
        <w:pageBreakBefore w:val="0"/>
        <w:kinsoku/>
        <w:overflowPunct/>
        <w:topLinePunct w:val="0"/>
        <w:autoSpaceDE/>
        <w:autoSpaceDN/>
        <w:bidi w:val="0"/>
        <w:adjustRightInd/>
        <w:snapToGrid/>
        <w:spacing w:line="240" w:lineRule="auto"/>
        <w:jc w:val="left"/>
        <w:rPr>
          <w:rFonts w:hint="eastAsia" w:ascii="华文仿宋" w:hAnsi="华文仿宋" w:eastAsia="华文仿宋" w:cs="华文仿宋"/>
          <w:sz w:val="21"/>
          <w:szCs w:val="21"/>
          <w:lang w:val="en-US" w:eastAsia="zh-CN"/>
        </w:rPr>
      </w:pPr>
    </w:p>
    <w:p>
      <w:pPr>
        <w:keepNext w:val="0"/>
        <w:keepLines w:val="0"/>
        <w:pageBreakBefore w:val="0"/>
        <w:numPr>
          <w:ilvl w:val="0"/>
          <w:numId w:val="0"/>
        </w:numPr>
        <w:kinsoku/>
        <w:overflowPunct/>
        <w:topLinePunct w:val="0"/>
        <w:autoSpaceDE/>
        <w:autoSpaceDN/>
        <w:bidi w:val="0"/>
        <w:adjustRightInd/>
        <w:snapToGrid/>
        <w:spacing w:line="240" w:lineRule="auto"/>
        <w:ind w:leftChars="0"/>
        <w:jc w:val="both"/>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作者简介及联系方式</w:t>
      </w:r>
    </w:p>
    <w:p>
      <w:pPr>
        <w:keepNext w:val="0"/>
        <w:keepLines w:val="0"/>
        <w:pageBreakBefore w:val="0"/>
        <w:numPr>
          <w:ilvl w:val="0"/>
          <w:numId w:val="9"/>
        </w:numPr>
        <w:kinsoku/>
        <w:overflowPunct/>
        <w:topLinePunct w:val="0"/>
        <w:autoSpaceDE/>
        <w:autoSpaceDN/>
        <w:bidi w:val="0"/>
        <w:adjustRightInd/>
        <w:snapToGrid/>
        <w:spacing w:line="240" w:lineRule="auto"/>
        <w:ind w:leftChars="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郭宗睿，硕士研究生，德州学院财务处初级会计师，主要研究方向高校财务管理理论与实务。</w:t>
      </w:r>
    </w:p>
    <w:p>
      <w:pPr>
        <w:keepNext w:val="0"/>
        <w:keepLines w:val="0"/>
        <w:pageBreakBefore w:val="0"/>
        <w:numPr>
          <w:ilvl w:val="0"/>
          <w:numId w:val="0"/>
        </w:numPr>
        <w:kinsoku/>
        <w:overflowPunct/>
        <w:topLinePunct w:val="0"/>
        <w:autoSpaceDE/>
        <w:autoSpaceDN/>
        <w:bidi w:val="0"/>
        <w:adjustRightInd/>
        <w:snapToGrid/>
        <w:spacing w:line="240" w:lineRule="auto"/>
        <w:ind w:leftChars="0"/>
        <w:jc w:val="both"/>
        <w:rPr>
          <w:rStyle w:val="9"/>
          <w:rFonts w:hint="eastAsia" w:asciiTheme="majorEastAsia" w:hAnsiTheme="majorEastAsia" w:eastAsiaTheme="majorEastAsia" w:cstheme="majorEastAsia"/>
          <w:color w:val="auto"/>
          <w:sz w:val="21"/>
          <w:szCs w:val="21"/>
          <w:u w:val="none"/>
          <w:lang w:val="en-US" w:eastAsia="zh-CN"/>
        </w:rPr>
      </w:pPr>
      <w:r>
        <w:rPr>
          <w:rFonts w:hint="eastAsia" w:asciiTheme="majorEastAsia" w:hAnsiTheme="majorEastAsia" w:eastAsiaTheme="majorEastAsia" w:cstheme="majorEastAsia"/>
          <w:sz w:val="21"/>
          <w:szCs w:val="21"/>
          <w:lang w:val="en-US" w:eastAsia="zh-CN"/>
        </w:rPr>
        <w:t>通讯地址：</w:t>
      </w:r>
      <w:r>
        <w:rPr>
          <w:rFonts w:hint="eastAsia" w:asciiTheme="majorEastAsia" w:hAnsiTheme="majorEastAsia" w:eastAsiaTheme="majorEastAsia" w:cstheme="majorEastAsia"/>
          <w:color w:val="auto"/>
          <w:sz w:val="21"/>
          <w:szCs w:val="21"/>
          <w:u w:val="none"/>
          <w:lang w:val="en-US" w:eastAsia="zh-CN"/>
        </w:rPr>
        <w:fldChar w:fldCharType="begin"/>
      </w:r>
      <w:r>
        <w:rPr>
          <w:rFonts w:hint="eastAsia" w:asciiTheme="majorEastAsia" w:hAnsiTheme="majorEastAsia" w:eastAsiaTheme="majorEastAsia" w:cstheme="majorEastAsia"/>
          <w:color w:val="auto"/>
          <w:sz w:val="21"/>
          <w:szCs w:val="21"/>
          <w:u w:val="none"/>
          <w:lang w:val="en-US" w:eastAsia="zh-CN"/>
        </w:rPr>
        <w:instrText xml:space="preserve"> HYPERLINK "mailto:山东省德州市德城区大学西路566号德州学院财务处，253023，15065343917，810370212@qq.com" </w:instrText>
      </w:r>
      <w:r>
        <w:rPr>
          <w:rFonts w:hint="eastAsia" w:asciiTheme="majorEastAsia" w:hAnsiTheme="majorEastAsia" w:eastAsiaTheme="majorEastAsia" w:cstheme="majorEastAsia"/>
          <w:color w:val="auto"/>
          <w:sz w:val="21"/>
          <w:szCs w:val="21"/>
          <w:u w:val="none"/>
          <w:lang w:val="en-US" w:eastAsia="zh-CN"/>
        </w:rPr>
        <w:fldChar w:fldCharType="separate"/>
      </w:r>
      <w:r>
        <w:rPr>
          <w:rStyle w:val="9"/>
          <w:rFonts w:hint="eastAsia" w:asciiTheme="majorEastAsia" w:hAnsiTheme="majorEastAsia" w:eastAsiaTheme="majorEastAsia" w:cstheme="majorEastAsia"/>
          <w:color w:val="auto"/>
          <w:sz w:val="21"/>
          <w:szCs w:val="21"/>
          <w:u w:val="none"/>
          <w:lang w:val="en-US" w:eastAsia="zh-CN"/>
        </w:rPr>
        <w:t>山东省德州市德城区大学西路566号德州学院财务处</w:t>
      </w:r>
    </w:p>
    <w:p>
      <w:pPr>
        <w:keepNext w:val="0"/>
        <w:keepLines w:val="0"/>
        <w:pageBreakBefore w:val="0"/>
        <w:numPr>
          <w:ilvl w:val="0"/>
          <w:numId w:val="0"/>
        </w:numPr>
        <w:kinsoku/>
        <w:overflowPunct/>
        <w:topLinePunct w:val="0"/>
        <w:autoSpaceDE/>
        <w:autoSpaceDN/>
        <w:bidi w:val="0"/>
        <w:adjustRightInd/>
        <w:snapToGrid/>
        <w:spacing w:line="240" w:lineRule="auto"/>
        <w:ind w:leftChars="0"/>
        <w:jc w:val="both"/>
        <w:rPr>
          <w:rStyle w:val="9"/>
          <w:rFonts w:hint="eastAsia" w:asciiTheme="majorEastAsia" w:hAnsiTheme="majorEastAsia" w:eastAsiaTheme="majorEastAsia" w:cstheme="majorEastAsia"/>
          <w:color w:val="auto"/>
          <w:sz w:val="21"/>
          <w:szCs w:val="21"/>
          <w:u w:val="none"/>
          <w:lang w:val="en-US" w:eastAsia="zh-CN"/>
        </w:rPr>
      </w:pPr>
      <w:r>
        <w:rPr>
          <w:rStyle w:val="9"/>
          <w:rFonts w:hint="eastAsia" w:asciiTheme="majorEastAsia" w:hAnsiTheme="majorEastAsia" w:eastAsiaTheme="majorEastAsia" w:cstheme="majorEastAsia"/>
          <w:color w:val="auto"/>
          <w:sz w:val="21"/>
          <w:szCs w:val="21"/>
          <w:u w:val="none"/>
          <w:lang w:val="en-US" w:eastAsia="zh-CN"/>
        </w:rPr>
        <w:t>邮编：253023</w:t>
      </w:r>
    </w:p>
    <w:p>
      <w:pPr>
        <w:keepNext w:val="0"/>
        <w:keepLines w:val="0"/>
        <w:pageBreakBefore w:val="0"/>
        <w:numPr>
          <w:ilvl w:val="0"/>
          <w:numId w:val="0"/>
        </w:numPr>
        <w:kinsoku/>
        <w:overflowPunct/>
        <w:topLinePunct w:val="0"/>
        <w:autoSpaceDE/>
        <w:autoSpaceDN/>
        <w:bidi w:val="0"/>
        <w:adjustRightInd/>
        <w:snapToGrid/>
        <w:spacing w:line="240" w:lineRule="auto"/>
        <w:ind w:leftChars="0"/>
        <w:jc w:val="both"/>
        <w:rPr>
          <w:rStyle w:val="9"/>
          <w:rFonts w:hint="eastAsia" w:asciiTheme="majorEastAsia" w:hAnsiTheme="majorEastAsia" w:eastAsiaTheme="majorEastAsia" w:cstheme="majorEastAsia"/>
          <w:color w:val="auto"/>
          <w:sz w:val="21"/>
          <w:szCs w:val="21"/>
          <w:u w:val="none"/>
          <w:lang w:val="en-US" w:eastAsia="zh-CN"/>
        </w:rPr>
      </w:pPr>
      <w:r>
        <w:rPr>
          <w:rStyle w:val="9"/>
          <w:rFonts w:hint="eastAsia" w:asciiTheme="majorEastAsia" w:hAnsiTheme="majorEastAsia" w:eastAsiaTheme="majorEastAsia" w:cstheme="majorEastAsia"/>
          <w:color w:val="auto"/>
          <w:sz w:val="21"/>
          <w:szCs w:val="21"/>
          <w:u w:val="none"/>
          <w:lang w:val="en-US" w:eastAsia="zh-CN"/>
        </w:rPr>
        <w:t>联系电话：15065343917</w:t>
      </w:r>
    </w:p>
    <w:p>
      <w:pPr>
        <w:keepNext w:val="0"/>
        <w:keepLines w:val="0"/>
        <w:pageBreakBefore w:val="0"/>
        <w:numPr>
          <w:ilvl w:val="0"/>
          <w:numId w:val="0"/>
        </w:numPr>
        <w:kinsoku/>
        <w:overflowPunct/>
        <w:topLinePunct w:val="0"/>
        <w:autoSpaceDE/>
        <w:autoSpaceDN/>
        <w:bidi w:val="0"/>
        <w:adjustRightInd/>
        <w:snapToGrid/>
        <w:spacing w:line="240" w:lineRule="auto"/>
        <w:ind w:leftChars="0"/>
        <w:jc w:val="both"/>
        <w:rPr>
          <w:rFonts w:hint="eastAsia" w:asciiTheme="majorEastAsia" w:hAnsiTheme="majorEastAsia" w:eastAsiaTheme="majorEastAsia" w:cstheme="majorEastAsia"/>
          <w:color w:val="auto"/>
          <w:sz w:val="21"/>
          <w:szCs w:val="21"/>
          <w:u w:val="none"/>
          <w:lang w:val="en-US" w:eastAsia="zh-CN"/>
        </w:rPr>
      </w:pPr>
      <w:r>
        <w:rPr>
          <w:rStyle w:val="9"/>
          <w:rFonts w:hint="eastAsia" w:asciiTheme="majorEastAsia" w:hAnsiTheme="majorEastAsia" w:eastAsiaTheme="majorEastAsia" w:cstheme="majorEastAsia"/>
          <w:color w:val="auto"/>
          <w:sz w:val="21"/>
          <w:szCs w:val="21"/>
          <w:u w:val="none"/>
          <w:lang w:val="en-US" w:eastAsia="zh-CN"/>
        </w:rPr>
        <w:t>邮箱：810370212@qq.com</w:t>
      </w:r>
      <w:r>
        <w:rPr>
          <w:rFonts w:hint="eastAsia" w:asciiTheme="majorEastAsia" w:hAnsiTheme="majorEastAsia" w:eastAsiaTheme="majorEastAsia" w:cstheme="majorEastAsia"/>
          <w:color w:val="auto"/>
          <w:sz w:val="21"/>
          <w:szCs w:val="21"/>
          <w:u w:val="none"/>
          <w:lang w:val="en-US" w:eastAsia="zh-CN"/>
        </w:rPr>
        <w:fldChar w:fldCharType="end"/>
      </w:r>
      <w:bookmarkStart w:id="0" w:name="_GoBack"/>
      <w:bookmarkEnd w:id="0"/>
    </w:p>
    <w:p>
      <w:pPr>
        <w:keepNext w:val="0"/>
        <w:keepLines w:val="0"/>
        <w:pageBreakBefore w:val="0"/>
        <w:numPr>
          <w:ilvl w:val="0"/>
          <w:numId w:val="10"/>
        </w:numPr>
        <w:kinsoku/>
        <w:overflowPunct/>
        <w:topLinePunct w:val="0"/>
        <w:autoSpaceDE/>
        <w:autoSpaceDN/>
        <w:bidi w:val="0"/>
        <w:adjustRightInd/>
        <w:snapToGrid/>
        <w:spacing w:line="240" w:lineRule="auto"/>
        <w:ind w:leftChars="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房常华，硕士研究生，德州学院财务处高级会计师，主要研究方向高校财务管理。</w:t>
      </w:r>
    </w:p>
    <w:p>
      <w:pPr>
        <w:keepNext w:val="0"/>
        <w:keepLines w:val="0"/>
        <w:pageBreakBefore w:val="0"/>
        <w:numPr>
          <w:ilvl w:val="0"/>
          <w:numId w:val="10"/>
        </w:numPr>
        <w:kinsoku/>
        <w:overflowPunct/>
        <w:topLinePunct w:val="0"/>
        <w:autoSpaceDE/>
        <w:autoSpaceDN/>
        <w:bidi w:val="0"/>
        <w:adjustRightInd/>
        <w:snapToGrid/>
        <w:spacing w:line="240" w:lineRule="auto"/>
        <w:ind w:leftChars="0"/>
        <w:jc w:val="both"/>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刘桂云，德州学院财务处高级会计师，主要研究方向高校财务管理。</w:t>
      </w:r>
    </w:p>
    <w:p>
      <w:pPr>
        <w:keepNext w:val="0"/>
        <w:keepLines w:val="0"/>
        <w:pageBreakBefore w:val="0"/>
        <w:numPr>
          <w:ilvl w:val="0"/>
          <w:numId w:val="10"/>
        </w:numPr>
        <w:kinsoku/>
        <w:overflowPunct/>
        <w:topLinePunct w:val="0"/>
        <w:autoSpaceDE/>
        <w:autoSpaceDN/>
        <w:bidi w:val="0"/>
        <w:adjustRightInd/>
        <w:snapToGrid/>
        <w:spacing w:line="240" w:lineRule="auto"/>
        <w:ind w:leftChars="0"/>
        <w:jc w:val="both"/>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许德喜，德州学院财务处中级会计师，主要研究方向高校财务管理。</w:t>
      </w:r>
    </w:p>
    <w:p>
      <w:pPr>
        <w:keepNext w:val="0"/>
        <w:keepLines w:val="0"/>
        <w:pageBreakBefore w:val="0"/>
        <w:numPr>
          <w:ilvl w:val="0"/>
          <w:numId w:val="10"/>
        </w:numPr>
        <w:kinsoku/>
        <w:overflowPunct/>
        <w:topLinePunct w:val="0"/>
        <w:autoSpaceDE/>
        <w:autoSpaceDN/>
        <w:bidi w:val="0"/>
        <w:adjustRightInd/>
        <w:snapToGrid/>
        <w:spacing w:line="240" w:lineRule="auto"/>
        <w:ind w:leftChars="0"/>
        <w:jc w:val="both"/>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滕艺，硕士研究生，德州学院财务处中级会计师，主要研究方向高校财务管理。</w:t>
      </w:r>
    </w:p>
    <w:sectPr>
      <w:footerReference r:id="rId4" w:type="default"/>
      <w:pgSz w:w="11906" w:h="16838"/>
      <w:pgMar w:top="1587" w:right="1304" w:bottom="1247" w:left="1587"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rPr>
          <w:rFonts w:hint="default" w:eastAsiaTheme="minorEastAsia"/>
          <w:lang w:val="en-US" w:eastAsia="zh-CN"/>
        </w:rPr>
      </w:pPr>
      <w:r>
        <w:rPr>
          <w:rStyle w:val="10"/>
        </w:rPr>
        <w:footnoteRef/>
      </w:r>
      <w:r>
        <w:t xml:space="preserve"> </w:t>
      </w:r>
      <w:r>
        <w:rPr>
          <w:rFonts w:hint="eastAsia"/>
          <w:lang w:eastAsia="zh-CN"/>
        </w:rPr>
        <w:t>本文系山东省教育会计学会</w:t>
      </w:r>
      <w:r>
        <w:rPr>
          <w:rFonts w:hint="eastAsia"/>
          <w:lang w:val="en-US" w:eastAsia="zh-CN"/>
        </w:rPr>
        <w:t>2019年度课题项目“政府会计改革下高校现金流管理研究”（项目编号sdjk2019138）成果。</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B93599"/>
    <w:multiLevelType w:val="singleLevel"/>
    <w:tmpl w:val="CAB93599"/>
    <w:lvl w:ilvl="0" w:tentative="0">
      <w:start w:val="1"/>
      <w:numFmt w:val="chineseCounting"/>
      <w:suff w:val="nothing"/>
      <w:lvlText w:val="（%1）"/>
      <w:lvlJc w:val="left"/>
      <w:rPr>
        <w:rFonts w:hint="eastAsia"/>
      </w:rPr>
    </w:lvl>
  </w:abstractNum>
  <w:abstractNum w:abstractNumId="1">
    <w:nsid w:val="D1F9928C"/>
    <w:multiLevelType w:val="singleLevel"/>
    <w:tmpl w:val="D1F9928C"/>
    <w:lvl w:ilvl="0" w:tentative="0">
      <w:start w:val="1"/>
      <w:numFmt w:val="chineseCounting"/>
      <w:suff w:val="nothing"/>
      <w:lvlText w:val="%1、"/>
      <w:lvlJc w:val="left"/>
      <w:rPr>
        <w:rFonts w:hint="eastAsia"/>
      </w:rPr>
    </w:lvl>
  </w:abstractNum>
  <w:abstractNum w:abstractNumId="2">
    <w:nsid w:val="D34638BE"/>
    <w:multiLevelType w:val="singleLevel"/>
    <w:tmpl w:val="D34638BE"/>
    <w:lvl w:ilvl="0" w:tentative="0">
      <w:start w:val="1"/>
      <w:numFmt w:val="decimal"/>
      <w:suff w:val="nothing"/>
      <w:lvlText w:val="%1、"/>
      <w:lvlJc w:val="left"/>
      <w:pPr>
        <w:ind w:left="600" w:leftChars="0" w:firstLine="0" w:firstLineChars="0"/>
      </w:pPr>
    </w:lvl>
  </w:abstractNum>
  <w:abstractNum w:abstractNumId="3">
    <w:nsid w:val="F38D1F90"/>
    <w:multiLevelType w:val="singleLevel"/>
    <w:tmpl w:val="F38D1F90"/>
    <w:lvl w:ilvl="0" w:tentative="0">
      <w:start w:val="1"/>
      <w:numFmt w:val="chineseCounting"/>
      <w:suff w:val="nothing"/>
      <w:lvlText w:val="（%1）"/>
      <w:lvlJc w:val="left"/>
      <w:rPr>
        <w:rFonts w:hint="eastAsia"/>
      </w:rPr>
    </w:lvl>
  </w:abstractNum>
  <w:abstractNum w:abstractNumId="4">
    <w:nsid w:val="21B894C0"/>
    <w:multiLevelType w:val="singleLevel"/>
    <w:tmpl w:val="21B894C0"/>
    <w:lvl w:ilvl="0" w:tentative="0">
      <w:start w:val="2"/>
      <w:numFmt w:val="decimal"/>
      <w:lvlText w:val="%1."/>
      <w:lvlJc w:val="left"/>
      <w:pPr>
        <w:tabs>
          <w:tab w:val="left" w:pos="312"/>
        </w:tabs>
      </w:pPr>
    </w:lvl>
  </w:abstractNum>
  <w:abstractNum w:abstractNumId="5">
    <w:nsid w:val="2529EC71"/>
    <w:multiLevelType w:val="singleLevel"/>
    <w:tmpl w:val="2529EC71"/>
    <w:lvl w:ilvl="0" w:tentative="0">
      <w:start w:val="1"/>
      <w:numFmt w:val="chineseCounting"/>
      <w:suff w:val="nothing"/>
      <w:lvlText w:val="（%1）"/>
      <w:lvlJc w:val="left"/>
      <w:pPr>
        <w:ind w:left="600" w:leftChars="0" w:firstLine="0" w:firstLineChars="0"/>
      </w:pPr>
      <w:rPr>
        <w:rFonts w:hint="eastAsia"/>
      </w:rPr>
    </w:lvl>
  </w:abstractNum>
  <w:abstractNum w:abstractNumId="6">
    <w:nsid w:val="26725519"/>
    <w:multiLevelType w:val="singleLevel"/>
    <w:tmpl w:val="26725519"/>
    <w:lvl w:ilvl="0" w:tentative="0">
      <w:start w:val="1"/>
      <w:numFmt w:val="decimal"/>
      <w:lvlText w:val="%1."/>
      <w:lvlJc w:val="left"/>
      <w:pPr>
        <w:tabs>
          <w:tab w:val="left" w:pos="312"/>
        </w:tabs>
      </w:pPr>
    </w:lvl>
  </w:abstractNum>
  <w:abstractNum w:abstractNumId="7">
    <w:nsid w:val="44C15F37"/>
    <w:multiLevelType w:val="singleLevel"/>
    <w:tmpl w:val="44C15F37"/>
    <w:lvl w:ilvl="0" w:tentative="0">
      <w:start w:val="2"/>
      <w:numFmt w:val="chineseCounting"/>
      <w:suff w:val="nothing"/>
      <w:lvlText w:val="（%1）"/>
      <w:lvlJc w:val="left"/>
      <w:rPr>
        <w:rFonts w:hint="eastAsia"/>
      </w:rPr>
    </w:lvl>
  </w:abstractNum>
  <w:abstractNum w:abstractNumId="8">
    <w:nsid w:val="46C6E2ED"/>
    <w:multiLevelType w:val="singleLevel"/>
    <w:tmpl w:val="46C6E2ED"/>
    <w:lvl w:ilvl="0" w:tentative="0">
      <w:start w:val="1"/>
      <w:numFmt w:val="decimal"/>
      <w:suff w:val="nothing"/>
      <w:lvlText w:val="%1、"/>
      <w:lvlJc w:val="left"/>
      <w:pPr>
        <w:ind w:left="600" w:leftChars="0" w:firstLine="0" w:firstLineChars="0"/>
      </w:pPr>
    </w:lvl>
  </w:abstractNum>
  <w:abstractNum w:abstractNumId="9">
    <w:nsid w:val="70C545C9"/>
    <w:multiLevelType w:val="singleLevel"/>
    <w:tmpl w:val="70C545C9"/>
    <w:lvl w:ilvl="0" w:tentative="0">
      <w:start w:val="1"/>
      <w:numFmt w:val="decimal"/>
      <w:suff w:val="nothing"/>
      <w:lvlText w:val="%1、"/>
      <w:lvlJc w:val="left"/>
      <w:pPr>
        <w:ind w:left="600" w:leftChars="0" w:firstLine="0" w:firstLineChars="0"/>
      </w:pPr>
    </w:lvl>
  </w:abstractNum>
  <w:num w:numId="1">
    <w:abstractNumId w:val="1"/>
  </w:num>
  <w:num w:numId="2">
    <w:abstractNumId w:val="5"/>
  </w:num>
  <w:num w:numId="3">
    <w:abstractNumId w:val="3"/>
  </w:num>
  <w:num w:numId="4">
    <w:abstractNumId w:val="8"/>
  </w:num>
  <w:num w:numId="5">
    <w:abstractNumId w:val="2"/>
  </w:num>
  <w:num w:numId="6">
    <w:abstractNumId w:val="9"/>
  </w:num>
  <w:num w:numId="7">
    <w:abstractNumId w:val="7"/>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1EF9"/>
    <w:rsid w:val="00134685"/>
    <w:rsid w:val="00241C42"/>
    <w:rsid w:val="00526782"/>
    <w:rsid w:val="008160E5"/>
    <w:rsid w:val="0082264D"/>
    <w:rsid w:val="00DD616E"/>
    <w:rsid w:val="01716A17"/>
    <w:rsid w:val="01896927"/>
    <w:rsid w:val="01AC5215"/>
    <w:rsid w:val="01F150D6"/>
    <w:rsid w:val="02621241"/>
    <w:rsid w:val="02B014B1"/>
    <w:rsid w:val="02B1266B"/>
    <w:rsid w:val="035A0DAC"/>
    <w:rsid w:val="035D39BD"/>
    <w:rsid w:val="03942FC9"/>
    <w:rsid w:val="03AE43FF"/>
    <w:rsid w:val="0400729C"/>
    <w:rsid w:val="041107C8"/>
    <w:rsid w:val="041F17F0"/>
    <w:rsid w:val="04544162"/>
    <w:rsid w:val="052A38AD"/>
    <w:rsid w:val="055F47C0"/>
    <w:rsid w:val="06432D73"/>
    <w:rsid w:val="065345DE"/>
    <w:rsid w:val="06F339FF"/>
    <w:rsid w:val="071034A5"/>
    <w:rsid w:val="07192F6B"/>
    <w:rsid w:val="07633C66"/>
    <w:rsid w:val="07D75AC6"/>
    <w:rsid w:val="07E55F8F"/>
    <w:rsid w:val="08A72F45"/>
    <w:rsid w:val="08C2531C"/>
    <w:rsid w:val="08ED1634"/>
    <w:rsid w:val="0919120C"/>
    <w:rsid w:val="094E66AA"/>
    <w:rsid w:val="09714124"/>
    <w:rsid w:val="097B2184"/>
    <w:rsid w:val="0A1D3DBA"/>
    <w:rsid w:val="0A246AAB"/>
    <w:rsid w:val="0AB07356"/>
    <w:rsid w:val="0AFA338B"/>
    <w:rsid w:val="0B3304D9"/>
    <w:rsid w:val="0B617154"/>
    <w:rsid w:val="0BC822BB"/>
    <w:rsid w:val="0BCE5594"/>
    <w:rsid w:val="0C6B73BF"/>
    <w:rsid w:val="0C833963"/>
    <w:rsid w:val="0C8D799F"/>
    <w:rsid w:val="0CD3768A"/>
    <w:rsid w:val="0CDD53BC"/>
    <w:rsid w:val="0D15366A"/>
    <w:rsid w:val="0D3A052F"/>
    <w:rsid w:val="0D4C3494"/>
    <w:rsid w:val="0DE45438"/>
    <w:rsid w:val="0E56741F"/>
    <w:rsid w:val="0EF6771A"/>
    <w:rsid w:val="0F813AA2"/>
    <w:rsid w:val="0F87732A"/>
    <w:rsid w:val="0FD355C4"/>
    <w:rsid w:val="0FE37261"/>
    <w:rsid w:val="0FF231FD"/>
    <w:rsid w:val="11C460E3"/>
    <w:rsid w:val="121534E1"/>
    <w:rsid w:val="12334139"/>
    <w:rsid w:val="124D45D8"/>
    <w:rsid w:val="125C300F"/>
    <w:rsid w:val="12EA639F"/>
    <w:rsid w:val="130666A2"/>
    <w:rsid w:val="13146993"/>
    <w:rsid w:val="134C5253"/>
    <w:rsid w:val="135B4316"/>
    <w:rsid w:val="13BC1452"/>
    <w:rsid w:val="140A21D0"/>
    <w:rsid w:val="140F2589"/>
    <w:rsid w:val="144472EF"/>
    <w:rsid w:val="14AC78AF"/>
    <w:rsid w:val="14E352A1"/>
    <w:rsid w:val="1551591A"/>
    <w:rsid w:val="155C631E"/>
    <w:rsid w:val="15634EC9"/>
    <w:rsid w:val="15741237"/>
    <w:rsid w:val="158D7379"/>
    <w:rsid w:val="167B02CE"/>
    <w:rsid w:val="16A814EC"/>
    <w:rsid w:val="17322803"/>
    <w:rsid w:val="17481E96"/>
    <w:rsid w:val="1844687E"/>
    <w:rsid w:val="18745F30"/>
    <w:rsid w:val="187E26FF"/>
    <w:rsid w:val="187F3462"/>
    <w:rsid w:val="18AE1A47"/>
    <w:rsid w:val="18DF06F9"/>
    <w:rsid w:val="1907296D"/>
    <w:rsid w:val="191C42E6"/>
    <w:rsid w:val="1A251386"/>
    <w:rsid w:val="1A491B13"/>
    <w:rsid w:val="1A741669"/>
    <w:rsid w:val="1AE33579"/>
    <w:rsid w:val="1B4003F5"/>
    <w:rsid w:val="1B8603D1"/>
    <w:rsid w:val="1B986BFF"/>
    <w:rsid w:val="1BD9535E"/>
    <w:rsid w:val="1C330E04"/>
    <w:rsid w:val="1C426D4C"/>
    <w:rsid w:val="1C940DE4"/>
    <w:rsid w:val="1CA033A8"/>
    <w:rsid w:val="1CBE59E6"/>
    <w:rsid w:val="1CF72355"/>
    <w:rsid w:val="1D430A97"/>
    <w:rsid w:val="1D660619"/>
    <w:rsid w:val="1D854259"/>
    <w:rsid w:val="1DEC7E63"/>
    <w:rsid w:val="1E0A08EA"/>
    <w:rsid w:val="1E3D20E5"/>
    <w:rsid w:val="1EE1733E"/>
    <w:rsid w:val="1F135919"/>
    <w:rsid w:val="1F1F2698"/>
    <w:rsid w:val="1F510231"/>
    <w:rsid w:val="1F880548"/>
    <w:rsid w:val="20192A4F"/>
    <w:rsid w:val="204A1DEE"/>
    <w:rsid w:val="20820CC9"/>
    <w:rsid w:val="20F83C7D"/>
    <w:rsid w:val="20FD01DC"/>
    <w:rsid w:val="21064645"/>
    <w:rsid w:val="228479C6"/>
    <w:rsid w:val="229B6681"/>
    <w:rsid w:val="22AD79AD"/>
    <w:rsid w:val="22E369A2"/>
    <w:rsid w:val="22E92CA4"/>
    <w:rsid w:val="2366307D"/>
    <w:rsid w:val="23B977D6"/>
    <w:rsid w:val="25287C53"/>
    <w:rsid w:val="259E686A"/>
    <w:rsid w:val="25B5768B"/>
    <w:rsid w:val="25F11DDB"/>
    <w:rsid w:val="26235BD4"/>
    <w:rsid w:val="26346A69"/>
    <w:rsid w:val="264956BC"/>
    <w:rsid w:val="268A6F50"/>
    <w:rsid w:val="26C3610E"/>
    <w:rsid w:val="26FF44E7"/>
    <w:rsid w:val="27472B15"/>
    <w:rsid w:val="275841EC"/>
    <w:rsid w:val="28560FB8"/>
    <w:rsid w:val="28986369"/>
    <w:rsid w:val="297436DB"/>
    <w:rsid w:val="29784407"/>
    <w:rsid w:val="2A262DBB"/>
    <w:rsid w:val="2A353C61"/>
    <w:rsid w:val="2A39309A"/>
    <w:rsid w:val="2A4109DD"/>
    <w:rsid w:val="2AEF7AFE"/>
    <w:rsid w:val="2B477C7D"/>
    <w:rsid w:val="2B4C750B"/>
    <w:rsid w:val="2B5279E3"/>
    <w:rsid w:val="2BBF1744"/>
    <w:rsid w:val="2BE40A87"/>
    <w:rsid w:val="2C356C54"/>
    <w:rsid w:val="2C712FD1"/>
    <w:rsid w:val="2CB46601"/>
    <w:rsid w:val="2CFE2116"/>
    <w:rsid w:val="2D917E6A"/>
    <w:rsid w:val="2DB812A4"/>
    <w:rsid w:val="2DC97AE5"/>
    <w:rsid w:val="2DEF0EA3"/>
    <w:rsid w:val="2E055BEC"/>
    <w:rsid w:val="2E5A14BB"/>
    <w:rsid w:val="2E6368C4"/>
    <w:rsid w:val="2E8150D4"/>
    <w:rsid w:val="2F1C0B96"/>
    <w:rsid w:val="2FA327D8"/>
    <w:rsid w:val="30BF7937"/>
    <w:rsid w:val="31A020E5"/>
    <w:rsid w:val="31D54568"/>
    <w:rsid w:val="328450FF"/>
    <w:rsid w:val="32A767C4"/>
    <w:rsid w:val="32FE0887"/>
    <w:rsid w:val="330F06A1"/>
    <w:rsid w:val="336828E0"/>
    <w:rsid w:val="337163DD"/>
    <w:rsid w:val="33B513F8"/>
    <w:rsid w:val="3444342F"/>
    <w:rsid w:val="344E5018"/>
    <w:rsid w:val="34B5779F"/>
    <w:rsid w:val="34B834E8"/>
    <w:rsid w:val="34CB52A5"/>
    <w:rsid w:val="34F645E8"/>
    <w:rsid w:val="34F82D24"/>
    <w:rsid w:val="34F945AD"/>
    <w:rsid w:val="35234649"/>
    <w:rsid w:val="35272511"/>
    <w:rsid w:val="35673F7A"/>
    <w:rsid w:val="35A66195"/>
    <w:rsid w:val="35D34EF6"/>
    <w:rsid w:val="36271E5B"/>
    <w:rsid w:val="366918D9"/>
    <w:rsid w:val="36D37DD3"/>
    <w:rsid w:val="370969A6"/>
    <w:rsid w:val="37397D00"/>
    <w:rsid w:val="37E92D88"/>
    <w:rsid w:val="387C576F"/>
    <w:rsid w:val="38B144CC"/>
    <w:rsid w:val="395748B4"/>
    <w:rsid w:val="396F718E"/>
    <w:rsid w:val="39765BCB"/>
    <w:rsid w:val="399C57F8"/>
    <w:rsid w:val="39EE00F8"/>
    <w:rsid w:val="39F645DA"/>
    <w:rsid w:val="39F80547"/>
    <w:rsid w:val="3A05655E"/>
    <w:rsid w:val="3A116665"/>
    <w:rsid w:val="3A56291B"/>
    <w:rsid w:val="3A836602"/>
    <w:rsid w:val="3A931FFE"/>
    <w:rsid w:val="3A9C659C"/>
    <w:rsid w:val="3AA1228F"/>
    <w:rsid w:val="3B695265"/>
    <w:rsid w:val="3CE23DEC"/>
    <w:rsid w:val="3CF50ED9"/>
    <w:rsid w:val="3CFA4C7D"/>
    <w:rsid w:val="3CFA673B"/>
    <w:rsid w:val="3D106FFC"/>
    <w:rsid w:val="3D8B09B2"/>
    <w:rsid w:val="3DA166AC"/>
    <w:rsid w:val="3DA61F81"/>
    <w:rsid w:val="3DF200DC"/>
    <w:rsid w:val="3E32048E"/>
    <w:rsid w:val="3EA32D26"/>
    <w:rsid w:val="3EBB0A66"/>
    <w:rsid w:val="3F346B86"/>
    <w:rsid w:val="3F3E32D0"/>
    <w:rsid w:val="3F6E6C54"/>
    <w:rsid w:val="3F8418BB"/>
    <w:rsid w:val="3FF03CD7"/>
    <w:rsid w:val="40680CD3"/>
    <w:rsid w:val="40C135AC"/>
    <w:rsid w:val="415414D3"/>
    <w:rsid w:val="417B79D3"/>
    <w:rsid w:val="418221C4"/>
    <w:rsid w:val="42024D35"/>
    <w:rsid w:val="42031EB6"/>
    <w:rsid w:val="42820858"/>
    <w:rsid w:val="43BC2855"/>
    <w:rsid w:val="44040C39"/>
    <w:rsid w:val="443B2F58"/>
    <w:rsid w:val="44715CDC"/>
    <w:rsid w:val="452C1059"/>
    <w:rsid w:val="454661E2"/>
    <w:rsid w:val="458A40C4"/>
    <w:rsid w:val="45DA07E4"/>
    <w:rsid w:val="45DB5443"/>
    <w:rsid w:val="45FC1CC5"/>
    <w:rsid w:val="46102E35"/>
    <w:rsid w:val="46A82677"/>
    <w:rsid w:val="46C61B97"/>
    <w:rsid w:val="46FC27BE"/>
    <w:rsid w:val="470C33A0"/>
    <w:rsid w:val="477A7E59"/>
    <w:rsid w:val="47A2658E"/>
    <w:rsid w:val="47AF2053"/>
    <w:rsid w:val="47CA29DC"/>
    <w:rsid w:val="47CE4304"/>
    <w:rsid w:val="47DE30D8"/>
    <w:rsid w:val="482A70B2"/>
    <w:rsid w:val="483119D5"/>
    <w:rsid w:val="48366F87"/>
    <w:rsid w:val="489D361C"/>
    <w:rsid w:val="490C38F0"/>
    <w:rsid w:val="491355D9"/>
    <w:rsid w:val="495E3DF6"/>
    <w:rsid w:val="495E6795"/>
    <w:rsid w:val="495F7450"/>
    <w:rsid w:val="497C1A89"/>
    <w:rsid w:val="49E41A3C"/>
    <w:rsid w:val="4A435FD2"/>
    <w:rsid w:val="4A5660C1"/>
    <w:rsid w:val="4A6D3701"/>
    <w:rsid w:val="4A6E726F"/>
    <w:rsid w:val="4AC72B81"/>
    <w:rsid w:val="4B09004E"/>
    <w:rsid w:val="4B3441DD"/>
    <w:rsid w:val="4B3A1A7D"/>
    <w:rsid w:val="4B501CD3"/>
    <w:rsid w:val="4C0211B1"/>
    <w:rsid w:val="4C27625B"/>
    <w:rsid w:val="4D3135F6"/>
    <w:rsid w:val="4D3D3AD0"/>
    <w:rsid w:val="4D820386"/>
    <w:rsid w:val="4D89312B"/>
    <w:rsid w:val="4D947D7E"/>
    <w:rsid w:val="4DE13561"/>
    <w:rsid w:val="4DF2624E"/>
    <w:rsid w:val="4DF9711E"/>
    <w:rsid w:val="4DFC2A66"/>
    <w:rsid w:val="4E1C1416"/>
    <w:rsid w:val="4E4A786C"/>
    <w:rsid w:val="4E6A5200"/>
    <w:rsid w:val="4F54631C"/>
    <w:rsid w:val="4F7C4273"/>
    <w:rsid w:val="4F9F144D"/>
    <w:rsid w:val="4FB40A5A"/>
    <w:rsid w:val="50230749"/>
    <w:rsid w:val="50684185"/>
    <w:rsid w:val="50697DFE"/>
    <w:rsid w:val="50D01936"/>
    <w:rsid w:val="50F758A0"/>
    <w:rsid w:val="51A04AEE"/>
    <w:rsid w:val="52BF2F73"/>
    <w:rsid w:val="52F31660"/>
    <w:rsid w:val="53116DE7"/>
    <w:rsid w:val="53200D60"/>
    <w:rsid w:val="53734518"/>
    <w:rsid w:val="53C74A5E"/>
    <w:rsid w:val="53E277DE"/>
    <w:rsid w:val="542B512B"/>
    <w:rsid w:val="549B6E6F"/>
    <w:rsid w:val="549F6E9C"/>
    <w:rsid w:val="55117A0B"/>
    <w:rsid w:val="552E4D37"/>
    <w:rsid w:val="55451AE5"/>
    <w:rsid w:val="55804ED2"/>
    <w:rsid w:val="558737FB"/>
    <w:rsid w:val="558B3499"/>
    <w:rsid w:val="559C2063"/>
    <w:rsid w:val="55C92C73"/>
    <w:rsid w:val="55F27372"/>
    <w:rsid w:val="560D6B6C"/>
    <w:rsid w:val="56314DE5"/>
    <w:rsid w:val="563D6028"/>
    <w:rsid w:val="56994841"/>
    <w:rsid w:val="569E45A5"/>
    <w:rsid w:val="57641768"/>
    <w:rsid w:val="5774042C"/>
    <w:rsid w:val="57AB640F"/>
    <w:rsid w:val="5803762D"/>
    <w:rsid w:val="58665193"/>
    <w:rsid w:val="588234F2"/>
    <w:rsid w:val="592C1438"/>
    <w:rsid w:val="59A524C8"/>
    <w:rsid w:val="59AF0C99"/>
    <w:rsid w:val="5A9356C4"/>
    <w:rsid w:val="5B156C75"/>
    <w:rsid w:val="5B273743"/>
    <w:rsid w:val="5B704521"/>
    <w:rsid w:val="5BD87FA2"/>
    <w:rsid w:val="5C514F2E"/>
    <w:rsid w:val="5CB15F99"/>
    <w:rsid w:val="5CC654F4"/>
    <w:rsid w:val="5CCE1F63"/>
    <w:rsid w:val="5D140C7F"/>
    <w:rsid w:val="5D236B6B"/>
    <w:rsid w:val="5D5844C7"/>
    <w:rsid w:val="5DE06B2E"/>
    <w:rsid w:val="5EA17A74"/>
    <w:rsid w:val="5F1A39C1"/>
    <w:rsid w:val="5F1B071C"/>
    <w:rsid w:val="5F494809"/>
    <w:rsid w:val="5F8432CC"/>
    <w:rsid w:val="6052151D"/>
    <w:rsid w:val="60AB10AE"/>
    <w:rsid w:val="60C36D30"/>
    <w:rsid w:val="60D71E65"/>
    <w:rsid w:val="612851A5"/>
    <w:rsid w:val="6209097A"/>
    <w:rsid w:val="620B5720"/>
    <w:rsid w:val="639670E5"/>
    <w:rsid w:val="63A961DD"/>
    <w:rsid w:val="63EE56A4"/>
    <w:rsid w:val="64060FF6"/>
    <w:rsid w:val="64117D32"/>
    <w:rsid w:val="646E0BBA"/>
    <w:rsid w:val="654D0EC0"/>
    <w:rsid w:val="657B5212"/>
    <w:rsid w:val="65966B8A"/>
    <w:rsid w:val="65AB7AC1"/>
    <w:rsid w:val="65C11C2C"/>
    <w:rsid w:val="65ED605F"/>
    <w:rsid w:val="66885540"/>
    <w:rsid w:val="66945421"/>
    <w:rsid w:val="67343E52"/>
    <w:rsid w:val="678137CE"/>
    <w:rsid w:val="686400CF"/>
    <w:rsid w:val="687519A8"/>
    <w:rsid w:val="68AD7947"/>
    <w:rsid w:val="69915722"/>
    <w:rsid w:val="69C321C0"/>
    <w:rsid w:val="6AF1435E"/>
    <w:rsid w:val="6AFD2D16"/>
    <w:rsid w:val="6B0213D2"/>
    <w:rsid w:val="6B253E9D"/>
    <w:rsid w:val="6B9914C0"/>
    <w:rsid w:val="6CBC475E"/>
    <w:rsid w:val="6CC139C6"/>
    <w:rsid w:val="6CF279F0"/>
    <w:rsid w:val="6CF77921"/>
    <w:rsid w:val="6D815FA6"/>
    <w:rsid w:val="6D8A5FF8"/>
    <w:rsid w:val="6DDE227A"/>
    <w:rsid w:val="6E2F3D9E"/>
    <w:rsid w:val="6E5E657B"/>
    <w:rsid w:val="6EF5294E"/>
    <w:rsid w:val="6EF95C1C"/>
    <w:rsid w:val="6F6E43F0"/>
    <w:rsid w:val="6F74018C"/>
    <w:rsid w:val="705E38FE"/>
    <w:rsid w:val="70F56A24"/>
    <w:rsid w:val="71F31154"/>
    <w:rsid w:val="722E1732"/>
    <w:rsid w:val="727C2B68"/>
    <w:rsid w:val="7294094A"/>
    <w:rsid w:val="72C321DD"/>
    <w:rsid w:val="7313071B"/>
    <w:rsid w:val="732F1EF7"/>
    <w:rsid w:val="7354008F"/>
    <w:rsid w:val="740033DC"/>
    <w:rsid w:val="74230B56"/>
    <w:rsid w:val="74B150E4"/>
    <w:rsid w:val="755D1E5A"/>
    <w:rsid w:val="75D10AA7"/>
    <w:rsid w:val="77075EAB"/>
    <w:rsid w:val="770D14DF"/>
    <w:rsid w:val="77486E2E"/>
    <w:rsid w:val="775B4B2A"/>
    <w:rsid w:val="77734BA8"/>
    <w:rsid w:val="77BE28B1"/>
    <w:rsid w:val="77EB0966"/>
    <w:rsid w:val="785745D3"/>
    <w:rsid w:val="78727875"/>
    <w:rsid w:val="78B65A70"/>
    <w:rsid w:val="793A4D30"/>
    <w:rsid w:val="797940B1"/>
    <w:rsid w:val="79E303C2"/>
    <w:rsid w:val="7A170F1A"/>
    <w:rsid w:val="7A333D61"/>
    <w:rsid w:val="7ACF7770"/>
    <w:rsid w:val="7AFE3201"/>
    <w:rsid w:val="7B057589"/>
    <w:rsid w:val="7B44406C"/>
    <w:rsid w:val="7C8F7262"/>
    <w:rsid w:val="7CB93EA1"/>
    <w:rsid w:val="7D396A12"/>
    <w:rsid w:val="7DFE32F8"/>
    <w:rsid w:val="7E237ADF"/>
    <w:rsid w:val="7EEE4622"/>
    <w:rsid w:val="7F0D29F5"/>
    <w:rsid w:val="7F19725C"/>
    <w:rsid w:val="7F75603D"/>
    <w:rsid w:val="7F96290F"/>
    <w:rsid w:val="7FC12ADB"/>
    <w:rsid w:val="7FE55EA4"/>
    <w:rsid w:val="7FF31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qFormat/>
    <w:uiPriority w:val="0"/>
    <w:pPr>
      <w:snapToGrid w:val="0"/>
      <w:jc w:val="left"/>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character" w:styleId="10">
    <w:name w:val="footnote reference"/>
    <w:basedOn w:val="8"/>
    <w:qFormat/>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2019-11-16T16:04:00Z</dcterms:created>
  <dc:creator>zfq_613</dc:creator>
  <cp:lastModifiedBy>睿</cp:lastModifiedBy>
  <dcterms:modified xsi:type="dcterms:W3CDTF">2020-02-11T14:52:59Z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