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b/>
          <w:bCs/>
          <w:sz w:val="22"/>
          <w:szCs w:val="21"/>
        </w:rPr>
      </w:pPr>
    </w:p>
    <w:p>
      <w:pPr>
        <w:numPr>
          <w:ilvl w:val="0"/>
          <w:numId w:val="0"/>
        </w:numPr>
        <w:rPr>
          <w:rFonts w:hint="eastAsia"/>
          <w:b/>
          <w:bCs/>
          <w:sz w:val="22"/>
          <w:szCs w:val="21"/>
        </w:rPr>
      </w:pPr>
    </w:p>
    <w:p>
      <w:pPr>
        <w:numPr>
          <w:ilvl w:val="0"/>
          <w:numId w:val="0"/>
        </w:numPr>
        <w:ind w:firstLine="960" w:firstLineChars="300"/>
        <w:rPr>
          <w:rFonts w:hint="eastAsia"/>
          <w:sz w:val="32"/>
          <w:u w:val="none"/>
        </w:rPr>
      </w:pPr>
      <w:r>
        <w:rPr>
          <w:rFonts w:hint="eastAsia"/>
          <w:sz w:val="32"/>
          <w:u w:val="none"/>
          <w:lang w:eastAsia="zh-CN"/>
        </w:rPr>
        <w:t>西北师范大学女子足球</w:t>
      </w:r>
      <w:r>
        <w:rPr>
          <w:rFonts w:hint="eastAsia"/>
          <w:sz w:val="32"/>
          <w:u w:val="none"/>
        </w:rPr>
        <w:t>选项课课程建设研究</w:t>
      </w:r>
    </w:p>
    <w:p>
      <w:pPr>
        <w:numPr>
          <w:ilvl w:val="0"/>
          <w:numId w:val="0"/>
        </w:numPr>
        <w:ind w:firstLine="2880" w:firstLineChars="900"/>
        <w:rPr>
          <w:rFonts w:hint="default"/>
          <w:sz w:val="32"/>
          <w:u w:val="none"/>
          <w:lang w:val="en-US" w:eastAsia="zh-CN"/>
        </w:rPr>
      </w:pPr>
      <w:r>
        <w:rPr>
          <w:rFonts w:hint="eastAsia"/>
          <w:sz w:val="32"/>
          <w:u w:val="none"/>
          <w:lang w:val="en-US" w:eastAsia="zh-CN"/>
        </w:rPr>
        <w:t>蒋强 西北师范大学</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exact"/>
        <w:jc w:val="both"/>
        <w:textAlignment w:val="auto"/>
        <w:rPr>
          <w:rFonts w:hint="eastAsia" w:ascii="方正行楷简体" w:hAnsi="Times New Roman" w:eastAsia="方正行楷简体" w:cs="Times New Roman"/>
          <w:kern w:val="2"/>
          <w:sz w:val="24"/>
          <w:szCs w:val="22"/>
          <w:lang w:val="en-US" w:eastAsia="zh-CN" w:bidi="ar-SA"/>
        </w:rPr>
      </w:pPr>
      <w:r>
        <w:rPr>
          <w:rFonts w:hint="eastAsia"/>
          <w:b/>
          <w:bCs/>
          <w:sz w:val="22"/>
          <w:szCs w:val="21"/>
          <w:lang w:eastAsia="zh-CN"/>
        </w:rPr>
        <w:t>摘要：</w:t>
      </w:r>
      <w:r>
        <w:rPr>
          <w:rStyle w:val="8"/>
          <w:rFonts w:hint="eastAsia" w:ascii="黑体" w:hAnsi="黑体" w:eastAsia="黑体" w:cs="黑体"/>
          <w:b w:val="0"/>
          <w:bCs/>
          <w:i w:val="0"/>
          <w:caps w:val="0"/>
          <w:spacing w:val="0"/>
          <w:sz w:val="28"/>
          <w:szCs w:val="28"/>
          <w:shd w:val="clear" w:fill="FFFFFF"/>
          <w:lang w:val="en-US" w:eastAsia="zh-CN"/>
        </w:rPr>
        <w:t xml:space="preserve"> </w:t>
      </w:r>
      <w:r>
        <w:rPr>
          <w:rFonts w:hint="eastAsia" w:ascii="方正行楷简体" w:hAnsi="Times New Roman" w:eastAsia="方正行楷简体" w:cs="Times New Roman"/>
          <w:kern w:val="2"/>
          <w:sz w:val="24"/>
          <w:szCs w:val="22"/>
          <w:lang w:val="en-US" w:eastAsia="zh-CN" w:bidi="ar-SA"/>
        </w:rPr>
        <w:t>高校女子足球选项课的开设，不仅是顺应教育发展趋势的必然要求，也能为高校女大学生的体育锻炼创设更为丰富的空间，对于培养女大学生团队意识、协作精神以及个人全面发展、提升高校体育教学的有效性有着重要的作用。</w:t>
      </w:r>
    </w:p>
    <w:p>
      <w:pPr>
        <w:keepNext w:val="0"/>
        <w:keepLines w:val="0"/>
        <w:pageBreakBefore w:val="0"/>
        <w:widowControl/>
        <w:kinsoku/>
        <w:wordWrap/>
        <w:overflowPunct/>
        <w:topLinePunct w:val="0"/>
        <w:autoSpaceDE/>
        <w:autoSpaceDN/>
        <w:bidi w:val="0"/>
        <w:adjustRightInd/>
        <w:snapToGrid/>
        <w:spacing w:beforeAutospacing="0" w:afterAutospacing="0" w:line="480" w:lineRule="exact"/>
        <w:jc w:val="both"/>
        <w:textAlignment w:val="auto"/>
        <w:rPr>
          <w:rFonts w:hint="eastAsia" w:ascii="方正行楷简体" w:hAnsi="Times New Roman" w:eastAsia="方正行楷简体" w:cs="Times New Roman"/>
          <w:kern w:val="2"/>
          <w:sz w:val="24"/>
          <w:szCs w:val="22"/>
          <w:lang w:val="en-US" w:eastAsia="zh-CN" w:bidi="ar-SA"/>
        </w:rPr>
      </w:pPr>
      <w:r>
        <w:rPr>
          <w:rStyle w:val="8"/>
          <w:rFonts w:hint="eastAsia" w:ascii="黑体" w:hAnsi="黑体" w:eastAsia="黑体" w:cs="黑体"/>
          <w:b w:val="0"/>
          <w:bCs/>
          <w:i w:val="0"/>
          <w:caps w:val="0"/>
          <w:spacing w:val="0"/>
          <w:sz w:val="28"/>
          <w:szCs w:val="28"/>
          <w:shd w:val="clear" w:fill="FFFFFF"/>
          <w:lang w:val="en-US" w:eastAsia="zh-CN"/>
        </w:rPr>
        <w:t>【关键字】</w:t>
      </w:r>
      <w:r>
        <w:rPr>
          <w:rFonts w:hint="eastAsia" w:ascii="仿宋" w:hAnsi="仿宋" w:eastAsia="仿宋" w:cs="仿宋"/>
          <w:i w:val="0"/>
          <w:caps w:val="0"/>
          <w:color w:val="333333"/>
          <w:spacing w:val="0"/>
          <w:sz w:val="28"/>
          <w:szCs w:val="28"/>
          <w:shd w:val="clear" w:fill="FFFFFF"/>
          <w:lang w:val="en-US" w:eastAsia="zh-CN"/>
        </w:rPr>
        <w:t xml:space="preserve"> </w:t>
      </w:r>
      <w:r>
        <w:rPr>
          <w:rFonts w:hint="eastAsia" w:ascii="方正行楷简体" w:hAnsi="Times New Roman" w:eastAsia="方正行楷简体" w:cs="Times New Roman"/>
          <w:kern w:val="2"/>
          <w:sz w:val="24"/>
          <w:szCs w:val="22"/>
          <w:lang w:val="en-US" w:eastAsia="zh-CN" w:bidi="ar-SA"/>
        </w:rPr>
        <w:t>高校公共体育课</w:t>
      </w:r>
      <w:r>
        <w:rPr>
          <w:rFonts w:hint="eastAsia" w:ascii="方正行楷简体" w:eastAsia="方正行楷简体" w:cs="Times New Roman"/>
          <w:kern w:val="2"/>
          <w:sz w:val="24"/>
          <w:szCs w:val="22"/>
          <w:lang w:val="en-US" w:eastAsia="zh-CN" w:bidi="ar-SA"/>
        </w:rPr>
        <w:t>；</w:t>
      </w:r>
      <w:r>
        <w:rPr>
          <w:rFonts w:hint="eastAsia" w:ascii="方正行楷简体" w:hAnsi="Times New Roman" w:eastAsia="方正行楷简体" w:cs="Times New Roman"/>
          <w:kern w:val="2"/>
          <w:sz w:val="24"/>
          <w:szCs w:val="22"/>
          <w:lang w:val="en-US" w:eastAsia="zh-CN" w:bidi="ar-SA"/>
        </w:rPr>
        <w:t xml:space="preserve">女子足球 </w:t>
      </w:r>
      <w:r>
        <w:rPr>
          <w:rFonts w:hint="eastAsia" w:ascii="方正行楷简体" w:eastAsia="方正行楷简体" w:cs="Times New Roman"/>
          <w:kern w:val="2"/>
          <w:sz w:val="24"/>
          <w:szCs w:val="22"/>
          <w:lang w:val="en-US" w:eastAsia="zh-CN" w:bidi="ar-SA"/>
        </w:rPr>
        <w:t>；课程建设</w:t>
      </w:r>
      <w:r>
        <w:rPr>
          <w:rFonts w:hint="eastAsia" w:ascii="方正行楷简体" w:hAnsi="Times New Roman" w:eastAsia="方正行楷简体" w:cs="Times New Roman"/>
          <w:kern w:val="2"/>
          <w:sz w:val="24"/>
          <w:szCs w:val="22"/>
          <w:lang w:val="en-US" w:eastAsia="zh-CN" w:bidi="ar-SA"/>
        </w:rPr>
        <w:t xml:space="preserve">  </w:t>
      </w:r>
    </w:p>
    <w:p>
      <w:pPr>
        <w:keepNext w:val="0"/>
        <w:keepLines w:val="0"/>
        <w:pageBreakBefore w:val="0"/>
        <w:widowControl/>
        <w:kinsoku/>
        <w:wordWrap/>
        <w:overflowPunct/>
        <w:topLinePunct w:val="0"/>
        <w:autoSpaceDE/>
        <w:autoSpaceDN/>
        <w:bidi w:val="0"/>
        <w:adjustRightInd/>
        <w:snapToGrid/>
        <w:spacing w:beforeAutospacing="0" w:afterAutospacing="0" w:line="480" w:lineRule="exact"/>
        <w:ind w:firstLine="480" w:firstLineChars="200"/>
        <w:jc w:val="both"/>
        <w:textAlignment w:val="auto"/>
        <w:rPr>
          <w:rFonts w:hint="eastAsia" w:ascii="方正行楷简体" w:eastAsia="方正行楷简体"/>
          <w:sz w:val="24"/>
          <w:szCs w:val="22"/>
          <w:lang w:val="en-US" w:eastAsia="zh-CN"/>
        </w:rPr>
      </w:pPr>
      <w:r>
        <w:rPr>
          <w:rFonts w:hint="eastAsia" w:ascii="方正行楷简体" w:hAnsi="Times New Roman" w:eastAsia="方正行楷简体" w:cs="Times New Roman"/>
          <w:kern w:val="2"/>
          <w:sz w:val="24"/>
          <w:szCs w:val="22"/>
          <w:lang w:val="en-US" w:eastAsia="zh-CN" w:bidi="ar-SA"/>
        </w:rPr>
        <w:t>随着素质教育的不断深入,体育教学受到各个教育阶段的重视。而在高校体育课程改革的过程中,以选项课的方式来激发大学生的运动兴趣,是当前我国高校的一种改革方式。</w:t>
      </w:r>
      <w:r>
        <w:rPr>
          <w:rFonts w:hint="eastAsia" w:ascii="方正行楷简体" w:eastAsia="方正行楷简体"/>
          <w:sz w:val="24"/>
          <w:szCs w:val="22"/>
          <w:lang w:val="en-US" w:eastAsia="zh-CN"/>
        </w:rPr>
        <w:t>大学生体质健康问题深受社会各界人士的关注，体育锻炼能有效提高大学生的身体素质。长期进行足球锻炼，可使心跳强劲，</w:t>
      </w:r>
      <w:r>
        <w:rPr>
          <w:rFonts w:hint="eastAsia" w:ascii="方正行楷简体" w:eastAsia="方正行楷简体"/>
          <w:sz w:val="24"/>
          <w:szCs w:val="22"/>
          <w:lang w:val="en-US" w:eastAsia="zh-CN"/>
        </w:rPr>
        <w:fldChar w:fldCharType="begin"/>
      </w:r>
      <w:r>
        <w:rPr>
          <w:rFonts w:hint="eastAsia" w:ascii="方正行楷简体" w:eastAsia="方正行楷简体"/>
          <w:sz w:val="24"/>
          <w:szCs w:val="22"/>
          <w:lang w:val="en-US" w:eastAsia="zh-CN"/>
        </w:rPr>
        <w:instrText xml:space="preserve"> HYPERLINK "https://baike.so.com/doc/140114-148296.html" \t "https://baike.so.com/doc/_blank" </w:instrText>
      </w:r>
      <w:r>
        <w:rPr>
          <w:rFonts w:hint="eastAsia" w:ascii="方正行楷简体" w:eastAsia="方正行楷简体"/>
          <w:sz w:val="24"/>
          <w:szCs w:val="22"/>
          <w:lang w:val="en-US" w:eastAsia="zh-CN"/>
        </w:rPr>
        <w:fldChar w:fldCharType="separate"/>
      </w:r>
      <w:r>
        <w:rPr>
          <w:rFonts w:hint="eastAsia" w:ascii="方正行楷简体" w:eastAsia="方正行楷简体"/>
          <w:sz w:val="24"/>
          <w:szCs w:val="22"/>
          <w:lang w:val="en-US" w:eastAsia="zh-CN"/>
        </w:rPr>
        <w:t>肺活量</w:t>
      </w:r>
      <w:r>
        <w:rPr>
          <w:rFonts w:hint="eastAsia" w:ascii="方正行楷简体" w:eastAsia="方正行楷简体"/>
          <w:sz w:val="24"/>
          <w:szCs w:val="22"/>
          <w:lang w:val="en-US" w:eastAsia="zh-CN"/>
        </w:rPr>
        <w:fldChar w:fldCharType="end"/>
      </w:r>
      <w:r>
        <w:rPr>
          <w:rFonts w:hint="eastAsia" w:ascii="方正行楷简体" w:eastAsia="方正行楷简体"/>
          <w:sz w:val="24"/>
          <w:szCs w:val="22"/>
          <w:lang w:val="en-US" w:eastAsia="zh-CN"/>
        </w:rPr>
        <w:t>加大，耐久力提高，释放学习压力，促进身心健康。</w:t>
      </w:r>
    </w:p>
    <w:p>
      <w:pPr>
        <w:numPr>
          <w:ilvl w:val="0"/>
          <w:numId w:val="1"/>
        </w:numPr>
        <w:autoSpaceDE w:val="0"/>
        <w:autoSpaceDN w:val="0"/>
        <w:adjustRightInd w:val="0"/>
        <w:spacing w:line="360" w:lineRule="auto"/>
        <w:jc w:val="left"/>
        <w:rPr>
          <w:rFonts w:hint="eastAsia" w:ascii="Times New Roman" w:hAnsi="Times New Roman" w:eastAsia="宋体" w:cs="Times New Roman"/>
          <w:b/>
          <w:bCs/>
          <w:kern w:val="0"/>
          <w:sz w:val="22"/>
          <w:szCs w:val="21"/>
          <w:lang w:val="en-US" w:eastAsia="zh-CN" w:bidi="ar"/>
        </w:rPr>
      </w:pPr>
      <w:r>
        <w:rPr>
          <w:rFonts w:hint="eastAsia" w:ascii="Times New Roman" w:hAnsi="Times New Roman" w:eastAsia="宋体" w:cs="Times New Roman"/>
          <w:b/>
          <w:bCs/>
          <w:kern w:val="0"/>
          <w:sz w:val="22"/>
          <w:szCs w:val="21"/>
          <w:lang w:val="en-US" w:eastAsia="zh-CN" w:bidi="ar"/>
        </w:rPr>
        <w:t>大学体育选课现状分析</w:t>
      </w:r>
    </w:p>
    <w:p>
      <w:pPr>
        <w:keepNext w:val="0"/>
        <w:keepLines w:val="0"/>
        <w:pageBreakBefore w:val="0"/>
        <w:widowControl/>
        <w:kinsoku/>
        <w:wordWrap/>
        <w:overflowPunct/>
        <w:topLinePunct w:val="0"/>
        <w:autoSpaceDE/>
        <w:autoSpaceDN/>
        <w:bidi w:val="0"/>
        <w:adjustRightInd/>
        <w:snapToGrid/>
        <w:spacing w:beforeAutospacing="0" w:afterAutospacing="0" w:line="480" w:lineRule="exact"/>
        <w:ind w:firstLine="480" w:firstLineChars="200"/>
        <w:jc w:val="both"/>
        <w:textAlignment w:val="auto"/>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大学体育》课程是面向全校学生开设的必修课程，为满足不同层次、不同水平和不同兴趣学生需要，打破原有院系、班级建制，重新组合班级上课。我校大学一年级在第一学期开设体育综合课，主要以提高学生的身体素质和体质健康水平为主。大学一年级第二学期学生按照任课教师所授课程上课，此时原有体育课班级不变；对大二学生开设体育选项课，学生可根据自己的喜好来选择项目上课，此时按项目重新分班。如表1所示:其它项目都有分布，足球项目为零。这和举国的足球强国政策，大相径庭。值得我们思考。</w:t>
      </w:r>
    </w:p>
    <w:p>
      <w:pPr>
        <w:autoSpaceDE w:val="0"/>
        <w:autoSpaceDN w:val="0"/>
        <w:adjustRightInd w:val="0"/>
        <w:spacing w:line="360" w:lineRule="auto"/>
        <w:ind w:firstLine="1680" w:firstLineChars="700"/>
        <w:jc w:val="both"/>
        <w:rPr>
          <w:rFonts w:hint="eastAsia" w:ascii="宋体" w:hAnsi="宋体" w:eastAsia="宋体" w:cs="宋体"/>
          <w:b/>
          <w:bCs/>
          <w:sz w:val="20"/>
          <w:szCs w:val="20"/>
          <w:lang w:val="en-US" w:eastAsia="zh-CN"/>
        </w:rPr>
      </w:pPr>
      <w:r>
        <w:rPr>
          <w:rFonts w:hint="eastAsia" w:ascii="方正行楷简体" w:eastAsia="方正行楷简体"/>
          <w:sz w:val="24"/>
          <w:szCs w:val="22"/>
          <w:lang w:val="en-US" w:eastAsia="zh-CN"/>
        </w:rPr>
        <w:t>表1《大学体育》课学生项目选择情况</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1"/>
        <w:gridCol w:w="1712"/>
        <w:gridCol w:w="1712"/>
        <w:gridCol w:w="1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jc w:val="center"/>
        </w:trPr>
        <w:tc>
          <w:tcPr>
            <w:tcW w:w="1711"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项目</w:t>
            </w:r>
          </w:p>
        </w:tc>
        <w:tc>
          <w:tcPr>
            <w:tcW w:w="1712"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选课人数</w:t>
            </w:r>
          </w:p>
        </w:tc>
        <w:tc>
          <w:tcPr>
            <w:tcW w:w="1712"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比例</w:t>
            </w:r>
          </w:p>
        </w:tc>
        <w:tc>
          <w:tcPr>
            <w:tcW w:w="1713"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jc w:val="center"/>
        </w:trPr>
        <w:tc>
          <w:tcPr>
            <w:tcW w:w="1711"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篮球</w:t>
            </w:r>
          </w:p>
        </w:tc>
        <w:tc>
          <w:tcPr>
            <w:tcW w:w="1712"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504</w:t>
            </w:r>
          </w:p>
        </w:tc>
        <w:tc>
          <w:tcPr>
            <w:tcW w:w="1712"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15%</w:t>
            </w:r>
          </w:p>
        </w:tc>
        <w:tc>
          <w:tcPr>
            <w:tcW w:w="1713"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jc w:val="center"/>
        </w:trPr>
        <w:tc>
          <w:tcPr>
            <w:tcW w:w="1711"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健美操</w:t>
            </w:r>
          </w:p>
        </w:tc>
        <w:tc>
          <w:tcPr>
            <w:tcW w:w="1712" w:type="dxa"/>
            <w:noWrap w:val="0"/>
            <w:vAlign w:val="center"/>
          </w:tcPr>
          <w:p>
            <w:pPr>
              <w:autoSpaceDE w:val="0"/>
              <w:autoSpaceDN w:val="0"/>
              <w:adjustRightInd w:val="0"/>
              <w:spacing w:line="360" w:lineRule="auto"/>
              <w:ind w:firstLine="480" w:firstLineChars="200"/>
              <w:jc w:val="left"/>
              <w:rPr>
                <w:rFonts w:hint="default" w:ascii="方正行楷简体" w:eastAsia="方正行楷简体"/>
                <w:sz w:val="24"/>
                <w:szCs w:val="22"/>
                <w:lang w:val="en-US" w:eastAsia="zh-CN"/>
              </w:rPr>
            </w:pPr>
            <w:r>
              <w:rPr>
                <w:rFonts w:hint="eastAsia" w:ascii="方正行楷简体" w:eastAsia="方正行楷简体"/>
                <w:sz w:val="24"/>
                <w:szCs w:val="22"/>
                <w:lang w:val="en-US" w:eastAsia="zh-CN"/>
              </w:rPr>
              <w:t>494</w:t>
            </w:r>
          </w:p>
        </w:tc>
        <w:tc>
          <w:tcPr>
            <w:tcW w:w="1712"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13%</w:t>
            </w:r>
          </w:p>
        </w:tc>
        <w:tc>
          <w:tcPr>
            <w:tcW w:w="1713"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jc w:val="center"/>
        </w:trPr>
        <w:tc>
          <w:tcPr>
            <w:tcW w:w="1711"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羽毛球</w:t>
            </w:r>
          </w:p>
        </w:tc>
        <w:tc>
          <w:tcPr>
            <w:tcW w:w="1712"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488</w:t>
            </w:r>
          </w:p>
        </w:tc>
        <w:tc>
          <w:tcPr>
            <w:tcW w:w="1712"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13%</w:t>
            </w:r>
          </w:p>
        </w:tc>
        <w:tc>
          <w:tcPr>
            <w:tcW w:w="1713"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jc w:val="center"/>
        </w:trPr>
        <w:tc>
          <w:tcPr>
            <w:tcW w:w="1711"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乒乓球</w:t>
            </w:r>
          </w:p>
        </w:tc>
        <w:tc>
          <w:tcPr>
            <w:tcW w:w="1712"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419</w:t>
            </w:r>
          </w:p>
        </w:tc>
        <w:tc>
          <w:tcPr>
            <w:tcW w:w="1712"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12%</w:t>
            </w:r>
          </w:p>
        </w:tc>
        <w:tc>
          <w:tcPr>
            <w:tcW w:w="1713"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jc w:val="center"/>
        </w:trPr>
        <w:tc>
          <w:tcPr>
            <w:tcW w:w="1711"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网球</w:t>
            </w:r>
          </w:p>
        </w:tc>
        <w:tc>
          <w:tcPr>
            <w:tcW w:w="1712"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407</w:t>
            </w:r>
          </w:p>
        </w:tc>
        <w:tc>
          <w:tcPr>
            <w:tcW w:w="1712"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11%</w:t>
            </w:r>
          </w:p>
        </w:tc>
        <w:tc>
          <w:tcPr>
            <w:tcW w:w="1713"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jc w:val="center"/>
        </w:trPr>
        <w:tc>
          <w:tcPr>
            <w:tcW w:w="1711"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武术</w:t>
            </w:r>
          </w:p>
        </w:tc>
        <w:tc>
          <w:tcPr>
            <w:tcW w:w="1712" w:type="dxa"/>
            <w:noWrap w:val="0"/>
            <w:vAlign w:val="center"/>
          </w:tcPr>
          <w:p>
            <w:pPr>
              <w:autoSpaceDE w:val="0"/>
              <w:autoSpaceDN w:val="0"/>
              <w:adjustRightInd w:val="0"/>
              <w:spacing w:line="360" w:lineRule="auto"/>
              <w:ind w:firstLine="480" w:firstLineChars="200"/>
              <w:jc w:val="left"/>
              <w:rPr>
                <w:rFonts w:hint="default" w:ascii="方正行楷简体" w:eastAsia="方正行楷简体"/>
                <w:sz w:val="24"/>
                <w:szCs w:val="22"/>
                <w:lang w:val="en-US" w:eastAsia="zh-CN"/>
              </w:rPr>
            </w:pPr>
            <w:r>
              <w:rPr>
                <w:rFonts w:hint="eastAsia" w:ascii="方正行楷简体" w:eastAsia="方正行楷简体"/>
                <w:sz w:val="24"/>
                <w:szCs w:val="22"/>
                <w:lang w:val="en-US" w:eastAsia="zh-CN"/>
              </w:rPr>
              <w:t>403</w:t>
            </w:r>
          </w:p>
        </w:tc>
        <w:tc>
          <w:tcPr>
            <w:tcW w:w="1712"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11%</w:t>
            </w:r>
          </w:p>
        </w:tc>
        <w:tc>
          <w:tcPr>
            <w:tcW w:w="1713"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jc w:val="center"/>
        </w:trPr>
        <w:tc>
          <w:tcPr>
            <w:tcW w:w="1711"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瑜伽</w:t>
            </w:r>
          </w:p>
        </w:tc>
        <w:tc>
          <w:tcPr>
            <w:tcW w:w="1712"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260</w:t>
            </w:r>
          </w:p>
        </w:tc>
        <w:tc>
          <w:tcPr>
            <w:tcW w:w="1712"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8%</w:t>
            </w:r>
          </w:p>
        </w:tc>
        <w:tc>
          <w:tcPr>
            <w:tcW w:w="1713"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jc w:val="center"/>
        </w:trPr>
        <w:tc>
          <w:tcPr>
            <w:tcW w:w="1711"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排球</w:t>
            </w:r>
          </w:p>
        </w:tc>
        <w:tc>
          <w:tcPr>
            <w:tcW w:w="1712"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255</w:t>
            </w:r>
          </w:p>
        </w:tc>
        <w:tc>
          <w:tcPr>
            <w:tcW w:w="1712"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7%</w:t>
            </w:r>
          </w:p>
        </w:tc>
        <w:tc>
          <w:tcPr>
            <w:tcW w:w="1713"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jc w:val="center"/>
        </w:trPr>
        <w:tc>
          <w:tcPr>
            <w:tcW w:w="1711"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艺术体操</w:t>
            </w:r>
          </w:p>
        </w:tc>
        <w:tc>
          <w:tcPr>
            <w:tcW w:w="1712" w:type="dxa"/>
            <w:noWrap w:val="0"/>
            <w:vAlign w:val="center"/>
          </w:tcPr>
          <w:p>
            <w:pPr>
              <w:autoSpaceDE w:val="0"/>
              <w:autoSpaceDN w:val="0"/>
              <w:adjustRightInd w:val="0"/>
              <w:spacing w:line="360" w:lineRule="auto"/>
              <w:ind w:firstLine="480" w:firstLineChars="200"/>
              <w:jc w:val="left"/>
              <w:rPr>
                <w:rFonts w:hint="default" w:ascii="方正行楷简体" w:eastAsia="方正行楷简体"/>
                <w:sz w:val="24"/>
                <w:szCs w:val="22"/>
                <w:lang w:val="en-US" w:eastAsia="zh-CN"/>
              </w:rPr>
            </w:pPr>
            <w:r>
              <w:rPr>
                <w:rFonts w:hint="eastAsia" w:ascii="方正行楷简体" w:eastAsia="方正行楷简体"/>
                <w:sz w:val="24"/>
                <w:szCs w:val="22"/>
                <w:lang w:val="en-US" w:eastAsia="zh-CN"/>
              </w:rPr>
              <w:t>252</w:t>
            </w:r>
          </w:p>
        </w:tc>
        <w:tc>
          <w:tcPr>
            <w:tcW w:w="1712"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7%</w:t>
            </w:r>
          </w:p>
        </w:tc>
        <w:tc>
          <w:tcPr>
            <w:tcW w:w="1713"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jc w:val="center"/>
        </w:trPr>
        <w:tc>
          <w:tcPr>
            <w:tcW w:w="1711"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生存拓展</w:t>
            </w:r>
          </w:p>
        </w:tc>
        <w:tc>
          <w:tcPr>
            <w:tcW w:w="1712"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122</w:t>
            </w:r>
          </w:p>
        </w:tc>
        <w:tc>
          <w:tcPr>
            <w:tcW w:w="1712"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3%</w:t>
            </w:r>
          </w:p>
        </w:tc>
        <w:tc>
          <w:tcPr>
            <w:tcW w:w="1713"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jc w:val="center"/>
        </w:trPr>
        <w:tc>
          <w:tcPr>
            <w:tcW w:w="1711"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保健课</w:t>
            </w:r>
          </w:p>
        </w:tc>
        <w:tc>
          <w:tcPr>
            <w:tcW w:w="1712"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32</w:t>
            </w:r>
          </w:p>
        </w:tc>
        <w:tc>
          <w:tcPr>
            <w:tcW w:w="1712"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1%</w:t>
            </w:r>
          </w:p>
        </w:tc>
        <w:tc>
          <w:tcPr>
            <w:tcW w:w="1713"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11"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足球</w:t>
            </w:r>
          </w:p>
        </w:tc>
        <w:tc>
          <w:tcPr>
            <w:tcW w:w="1712"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0</w:t>
            </w:r>
          </w:p>
        </w:tc>
        <w:tc>
          <w:tcPr>
            <w:tcW w:w="1712"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0</w:t>
            </w:r>
          </w:p>
        </w:tc>
        <w:tc>
          <w:tcPr>
            <w:tcW w:w="1713" w:type="dxa"/>
            <w:noWrap w:val="0"/>
            <w:vAlign w:val="center"/>
          </w:tcPr>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12</w:t>
            </w:r>
          </w:p>
        </w:tc>
      </w:tr>
    </w:tbl>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研究当中本人随机选取了2019年春季《大学体育》课学生项目选择情况，可以看出学生选课人数最多的项目分别是篮球、健美操和羽毛球，人数分别为504人、490人和488人，比例均为14%、13%、13%。最少的三个项目足球、生存扩展、保健课，人数分别为0人、32人、122人，比例分别为0%、1%、3%.我们西北师范大学是甘肃省教育教学改革的排头兵，我们也是甘肃省校园足球发展办公室所在地，现在足球选课人数为零。说明我们大学体育课程制度很不合理。通过调查发现想选择足球课程的学生也有很多，看到学校没安排足球课他们也就选择其他项目了。</w:t>
      </w:r>
    </w:p>
    <w:p>
      <w:pPr>
        <w:autoSpaceDE w:val="0"/>
        <w:autoSpaceDN w:val="0"/>
        <w:adjustRightInd w:val="0"/>
        <w:spacing w:line="360" w:lineRule="auto"/>
        <w:ind w:firstLine="2880" w:firstLineChars="1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表二女生选课占比情况（前六）</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9"/>
        <w:gridCol w:w="1319"/>
        <w:gridCol w:w="1319"/>
        <w:gridCol w:w="1320"/>
        <w:gridCol w:w="1320"/>
        <w:gridCol w:w="1320"/>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9" w:type="dxa"/>
            <w:tcBorders>
              <w:top w:val="single" w:color="000000" w:sz="18" w:space="0"/>
              <w:left w:val="nil"/>
              <w:bottom w:val="single" w:color="000000" w:sz="12" w:space="0"/>
              <w:right w:val="nil"/>
            </w:tcBorders>
            <w:noWrap w:val="0"/>
            <w:vAlign w:val="top"/>
          </w:tcPr>
          <w:p>
            <w:pPr>
              <w:autoSpaceDE w:val="0"/>
              <w:autoSpaceDN w:val="0"/>
              <w:adjustRightInd w:val="0"/>
              <w:spacing w:line="360" w:lineRule="auto"/>
              <w:jc w:val="left"/>
              <w:rPr>
                <w:rFonts w:hint="eastAsia" w:ascii="方正行楷简体" w:eastAsia="方正行楷简体"/>
                <w:sz w:val="24"/>
                <w:szCs w:val="22"/>
                <w:vertAlign w:val="baseline"/>
                <w:lang w:val="en-US" w:eastAsia="zh-CN"/>
              </w:rPr>
            </w:pPr>
            <w:r>
              <w:rPr>
                <w:rFonts w:hint="eastAsia" w:ascii="方正行楷简体" w:eastAsia="方正行楷简体"/>
                <w:sz w:val="24"/>
                <w:szCs w:val="22"/>
                <w:vertAlign w:val="baseline"/>
                <w:lang w:val="en-US" w:eastAsia="zh-CN"/>
              </w:rPr>
              <w:t>项目</w:t>
            </w:r>
          </w:p>
        </w:tc>
        <w:tc>
          <w:tcPr>
            <w:tcW w:w="1319" w:type="dxa"/>
            <w:tcBorders>
              <w:top w:val="single" w:color="000000" w:sz="18" w:space="0"/>
              <w:left w:val="nil"/>
              <w:bottom w:val="single" w:color="000000" w:sz="12" w:space="0"/>
              <w:right w:val="nil"/>
            </w:tcBorders>
            <w:noWrap w:val="0"/>
            <w:vAlign w:val="top"/>
          </w:tcPr>
          <w:p>
            <w:pPr>
              <w:autoSpaceDE w:val="0"/>
              <w:autoSpaceDN w:val="0"/>
              <w:adjustRightInd w:val="0"/>
              <w:spacing w:line="360" w:lineRule="auto"/>
              <w:jc w:val="left"/>
              <w:rPr>
                <w:rFonts w:hint="eastAsia" w:ascii="方正行楷简体" w:eastAsia="方正行楷简体"/>
                <w:sz w:val="24"/>
                <w:szCs w:val="22"/>
                <w:vertAlign w:val="baseline"/>
                <w:lang w:val="en-US" w:eastAsia="zh-CN"/>
              </w:rPr>
            </w:pPr>
            <w:r>
              <w:rPr>
                <w:rFonts w:hint="eastAsia" w:ascii="方正行楷简体" w:eastAsia="方正行楷简体"/>
                <w:sz w:val="24"/>
                <w:szCs w:val="22"/>
                <w:vertAlign w:val="baseline"/>
                <w:lang w:val="en-US" w:eastAsia="zh-CN"/>
              </w:rPr>
              <w:t>健美操</w:t>
            </w:r>
          </w:p>
        </w:tc>
        <w:tc>
          <w:tcPr>
            <w:tcW w:w="1319" w:type="dxa"/>
            <w:tcBorders>
              <w:top w:val="single" w:color="000000" w:sz="18" w:space="0"/>
              <w:left w:val="nil"/>
              <w:bottom w:val="single" w:color="000000" w:sz="12" w:space="0"/>
              <w:right w:val="nil"/>
            </w:tcBorders>
            <w:noWrap w:val="0"/>
            <w:vAlign w:val="top"/>
          </w:tcPr>
          <w:p>
            <w:pPr>
              <w:autoSpaceDE w:val="0"/>
              <w:autoSpaceDN w:val="0"/>
              <w:adjustRightInd w:val="0"/>
              <w:spacing w:line="360" w:lineRule="auto"/>
              <w:ind w:firstLine="240" w:firstLineChars="100"/>
              <w:jc w:val="left"/>
              <w:rPr>
                <w:rFonts w:hint="eastAsia" w:ascii="方正行楷简体" w:eastAsia="方正行楷简体"/>
                <w:sz w:val="24"/>
                <w:szCs w:val="22"/>
                <w:vertAlign w:val="baseline"/>
                <w:lang w:val="en-US" w:eastAsia="zh-CN"/>
              </w:rPr>
            </w:pPr>
            <w:r>
              <w:rPr>
                <w:rFonts w:hint="eastAsia" w:ascii="方正行楷简体" w:eastAsia="方正行楷简体"/>
                <w:sz w:val="24"/>
                <w:szCs w:val="22"/>
                <w:vertAlign w:val="baseline"/>
                <w:lang w:val="en-US" w:eastAsia="zh-CN"/>
              </w:rPr>
              <w:t>乒乓球</w:t>
            </w:r>
          </w:p>
        </w:tc>
        <w:tc>
          <w:tcPr>
            <w:tcW w:w="1320" w:type="dxa"/>
            <w:tcBorders>
              <w:top w:val="single" w:color="000000" w:sz="18" w:space="0"/>
              <w:left w:val="nil"/>
              <w:bottom w:val="single" w:color="000000" w:sz="12" w:space="0"/>
              <w:right w:val="nil"/>
            </w:tcBorders>
            <w:noWrap w:val="0"/>
            <w:vAlign w:val="top"/>
          </w:tcPr>
          <w:p>
            <w:pPr>
              <w:autoSpaceDE w:val="0"/>
              <w:autoSpaceDN w:val="0"/>
              <w:adjustRightInd w:val="0"/>
              <w:spacing w:line="360" w:lineRule="auto"/>
              <w:jc w:val="left"/>
            </w:pPr>
            <w:r>
              <w:rPr>
                <w:rFonts w:hint="eastAsia" w:ascii="方正行楷简体" w:eastAsia="方正行楷简体"/>
                <w:sz w:val="24"/>
                <w:szCs w:val="22"/>
                <w:vertAlign w:val="baseline"/>
                <w:lang w:val="en-US" w:eastAsia="zh-CN"/>
              </w:rPr>
              <w:t>羽毛球</w:t>
            </w:r>
          </w:p>
        </w:tc>
        <w:tc>
          <w:tcPr>
            <w:tcW w:w="1320" w:type="dxa"/>
            <w:tcBorders>
              <w:top w:val="single" w:color="000000" w:sz="18" w:space="0"/>
              <w:left w:val="nil"/>
              <w:bottom w:val="single" w:color="000000" w:sz="12" w:space="0"/>
              <w:right w:val="nil"/>
            </w:tcBorders>
            <w:noWrap w:val="0"/>
            <w:vAlign w:val="top"/>
          </w:tcPr>
          <w:p>
            <w:pPr>
              <w:autoSpaceDE w:val="0"/>
              <w:autoSpaceDN w:val="0"/>
              <w:adjustRightInd w:val="0"/>
              <w:spacing w:line="360" w:lineRule="auto"/>
              <w:jc w:val="left"/>
            </w:pPr>
            <w:r>
              <w:rPr>
                <w:rFonts w:hint="eastAsia" w:ascii="方正行楷简体" w:eastAsia="方正行楷简体"/>
                <w:sz w:val="24"/>
                <w:szCs w:val="22"/>
                <w:vertAlign w:val="baseline"/>
                <w:lang w:val="en-US" w:eastAsia="zh-CN"/>
              </w:rPr>
              <w:t>网球</w:t>
            </w:r>
          </w:p>
        </w:tc>
        <w:tc>
          <w:tcPr>
            <w:tcW w:w="1320" w:type="dxa"/>
            <w:tcBorders>
              <w:top w:val="single" w:color="000000" w:sz="18" w:space="0"/>
              <w:left w:val="nil"/>
              <w:bottom w:val="single" w:color="000000" w:sz="12" w:space="0"/>
              <w:right w:val="nil"/>
            </w:tcBorders>
            <w:noWrap w:val="0"/>
            <w:vAlign w:val="top"/>
          </w:tcPr>
          <w:p>
            <w:pPr>
              <w:autoSpaceDE w:val="0"/>
              <w:autoSpaceDN w:val="0"/>
              <w:adjustRightInd w:val="0"/>
              <w:spacing w:line="360" w:lineRule="auto"/>
              <w:jc w:val="left"/>
              <w:rPr>
                <w:rFonts w:hint="eastAsia" w:ascii="方正行楷简体" w:eastAsia="方正行楷简体"/>
                <w:sz w:val="24"/>
                <w:szCs w:val="22"/>
                <w:vertAlign w:val="baseline"/>
                <w:lang w:val="en-US" w:eastAsia="zh-CN"/>
              </w:rPr>
            </w:pPr>
            <w:r>
              <w:rPr>
                <w:rFonts w:hint="eastAsia" w:ascii="方正行楷简体" w:eastAsia="方正行楷简体"/>
                <w:sz w:val="24"/>
                <w:szCs w:val="22"/>
                <w:vertAlign w:val="baseline"/>
                <w:lang w:val="en-US" w:eastAsia="zh-CN"/>
              </w:rPr>
              <w:t>艺术体操</w:t>
            </w:r>
          </w:p>
        </w:tc>
        <w:tc>
          <w:tcPr>
            <w:tcW w:w="1320" w:type="dxa"/>
            <w:tcBorders>
              <w:top w:val="single" w:color="000000" w:sz="18" w:space="0"/>
              <w:left w:val="nil"/>
              <w:bottom w:val="single" w:color="000000" w:sz="12" w:space="0"/>
              <w:right w:val="nil"/>
            </w:tcBorders>
            <w:noWrap w:val="0"/>
            <w:vAlign w:val="top"/>
          </w:tcPr>
          <w:p>
            <w:pPr>
              <w:autoSpaceDE w:val="0"/>
              <w:autoSpaceDN w:val="0"/>
              <w:adjustRightInd w:val="0"/>
              <w:spacing w:line="360" w:lineRule="auto"/>
              <w:ind w:firstLine="480" w:firstLineChars="200"/>
              <w:jc w:val="left"/>
              <w:rPr>
                <w:rFonts w:hint="eastAsia" w:ascii="方正行楷简体" w:eastAsia="方正行楷简体"/>
                <w:sz w:val="24"/>
                <w:szCs w:val="22"/>
                <w:vertAlign w:val="baseline"/>
                <w:lang w:val="en-US" w:eastAsia="zh-CN"/>
              </w:rPr>
            </w:pPr>
            <w:r>
              <w:rPr>
                <w:rFonts w:hint="eastAsia" w:ascii="方正行楷简体" w:eastAsia="方正行楷简体"/>
                <w:sz w:val="24"/>
                <w:szCs w:val="22"/>
                <w:vertAlign w:val="baseline"/>
                <w:lang w:val="en-US" w:eastAsia="zh-CN"/>
              </w:rPr>
              <w:t>瑜伽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19" w:type="dxa"/>
            <w:tcBorders>
              <w:top w:val="single" w:color="000000" w:sz="12" w:space="0"/>
              <w:left w:val="nil"/>
              <w:bottom w:val="nil"/>
              <w:right w:val="nil"/>
            </w:tcBorders>
            <w:noWrap w:val="0"/>
            <w:vAlign w:val="top"/>
          </w:tcPr>
          <w:p>
            <w:pPr>
              <w:autoSpaceDE w:val="0"/>
              <w:autoSpaceDN w:val="0"/>
              <w:adjustRightInd w:val="0"/>
              <w:spacing w:line="360" w:lineRule="auto"/>
              <w:jc w:val="left"/>
              <w:rPr>
                <w:rFonts w:hint="eastAsia" w:ascii="方正行楷简体" w:eastAsia="方正行楷简体"/>
                <w:sz w:val="24"/>
                <w:szCs w:val="22"/>
                <w:vertAlign w:val="baseline"/>
                <w:lang w:val="en-US" w:eastAsia="zh-CN"/>
              </w:rPr>
            </w:pPr>
            <w:r>
              <w:rPr>
                <w:rFonts w:hint="eastAsia" w:ascii="方正行楷简体" w:eastAsia="方正行楷简体"/>
                <w:sz w:val="24"/>
                <w:szCs w:val="22"/>
                <w:vertAlign w:val="baseline"/>
                <w:lang w:val="en-US" w:eastAsia="zh-CN"/>
              </w:rPr>
              <w:t>人数</w:t>
            </w:r>
          </w:p>
        </w:tc>
        <w:tc>
          <w:tcPr>
            <w:tcW w:w="1319" w:type="dxa"/>
            <w:tcBorders>
              <w:top w:val="single" w:color="000000" w:sz="12" w:space="0"/>
              <w:left w:val="nil"/>
              <w:bottom w:val="nil"/>
              <w:right w:val="nil"/>
            </w:tcBorders>
            <w:noWrap w:val="0"/>
            <w:vAlign w:val="top"/>
          </w:tcPr>
          <w:p>
            <w:pPr>
              <w:autoSpaceDE w:val="0"/>
              <w:autoSpaceDN w:val="0"/>
              <w:adjustRightInd w:val="0"/>
              <w:spacing w:line="360" w:lineRule="auto"/>
              <w:jc w:val="left"/>
              <w:rPr>
                <w:rFonts w:hint="default" w:ascii="方正行楷简体" w:eastAsia="方正行楷简体"/>
                <w:sz w:val="24"/>
                <w:szCs w:val="22"/>
                <w:vertAlign w:val="baseline"/>
                <w:lang w:val="en-US" w:eastAsia="zh-CN"/>
              </w:rPr>
            </w:pPr>
            <w:r>
              <w:rPr>
                <w:rFonts w:hint="eastAsia" w:ascii="方正行楷简体" w:eastAsia="方正行楷简体"/>
                <w:sz w:val="24"/>
                <w:szCs w:val="22"/>
                <w:vertAlign w:val="baseline"/>
                <w:lang w:val="en-US" w:eastAsia="zh-CN"/>
              </w:rPr>
              <w:t>494</w:t>
            </w:r>
          </w:p>
        </w:tc>
        <w:tc>
          <w:tcPr>
            <w:tcW w:w="1319" w:type="dxa"/>
            <w:tcBorders>
              <w:top w:val="single" w:color="000000" w:sz="12" w:space="0"/>
              <w:left w:val="nil"/>
              <w:bottom w:val="nil"/>
              <w:right w:val="nil"/>
            </w:tcBorders>
            <w:noWrap w:val="0"/>
            <w:vAlign w:val="top"/>
          </w:tcPr>
          <w:p>
            <w:pPr>
              <w:autoSpaceDE w:val="0"/>
              <w:autoSpaceDN w:val="0"/>
              <w:adjustRightInd w:val="0"/>
              <w:spacing w:line="360" w:lineRule="auto"/>
              <w:ind w:firstLine="480" w:firstLineChars="200"/>
              <w:jc w:val="left"/>
              <w:rPr>
                <w:rFonts w:hint="default" w:ascii="方正行楷简体" w:eastAsia="方正行楷简体"/>
                <w:sz w:val="24"/>
                <w:szCs w:val="22"/>
                <w:vertAlign w:val="baseline"/>
                <w:lang w:val="en-US" w:eastAsia="zh-CN"/>
              </w:rPr>
            </w:pPr>
            <w:r>
              <w:rPr>
                <w:rFonts w:hint="eastAsia" w:ascii="方正行楷简体" w:eastAsia="方正行楷简体"/>
                <w:sz w:val="24"/>
                <w:szCs w:val="22"/>
                <w:vertAlign w:val="baseline"/>
                <w:lang w:val="en-US" w:eastAsia="zh-CN"/>
              </w:rPr>
              <w:t>372</w:t>
            </w:r>
          </w:p>
        </w:tc>
        <w:tc>
          <w:tcPr>
            <w:tcW w:w="1320" w:type="dxa"/>
            <w:tcBorders>
              <w:top w:val="single" w:color="000000" w:sz="12" w:space="0"/>
              <w:left w:val="nil"/>
              <w:bottom w:val="nil"/>
              <w:right w:val="nil"/>
            </w:tcBorders>
            <w:noWrap w:val="0"/>
            <w:vAlign w:val="top"/>
          </w:tcPr>
          <w:p>
            <w:pPr>
              <w:autoSpaceDE w:val="0"/>
              <w:autoSpaceDN w:val="0"/>
              <w:adjustRightInd w:val="0"/>
              <w:spacing w:line="360" w:lineRule="auto"/>
              <w:jc w:val="left"/>
            </w:pPr>
            <w:r>
              <w:rPr>
                <w:rFonts w:hint="eastAsia" w:ascii="方正行楷简体" w:eastAsia="方正行楷简体"/>
                <w:sz w:val="24"/>
                <w:szCs w:val="22"/>
                <w:vertAlign w:val="baseline"/>
                <w:lang w:val="en-US" w:eastAsia="zh-CN"/>
              </w:rPr>
              <w:t>346</w:t>
            </w:r>
          </w:p>
        </w:tc>
        <w:tc>
          <w:tcPr>
            <w:tcW w:w="1320" w:type="dxa"/>
            <w:tcBorders>
              <w:top w:val="single" w:color="000000" w:sz="12" w:space="0"/>
              <w:left w:val="nil"/>
              <w:bottom w:val="nil"/>
              <w:right w:val="nil"/>
            </w:tcBorders>
            <w:noWrap w:val="0"/>
            <w:vAlign w:val="top"/>
          </w:tcPr>
          <w:p>
            <w:pPr>
              <w:autoSpaceDE w:val="0"/>
              <w:autoSpaceDN w:val="0"/>
              <w:adjustRightInd w:val="0"/>
              <w:spacing w:line="360" w:lineRule="auto"/>
              <w:jc w:val="left"/>
            </w:pPr>
            <w:r>
              <w:rPr>
                <w:rFonts w:hint="eastAsia" w:ascii="方正行楷简体" w:eastAsia="方正行楷简体"/>
                <w:sz w:val="24"/>
                <w:szCs w:val="22"/>
                <w:vertAlign w:val="baseline"/>
                <w:lang w:val="en-US" w:eastAsia="zh-CN"/>
              </w:rPr>
              <w:t>332</w:t>
            </w:r>
          </w:p>
        </w:tc>
        <w:tc>
          <w:tcPr>
            <w:tcW w:w="1320" w:type="dxa"/>
            <w:tcBorders>
              <w:top w:val="single" w:color="000000" w:sz="12" w:space="0"/>
              <w:left w:val="nil"/>
              <w:bottom w:val="nil"/>
              <w:right w:val="nil"/>
            </w:tcBorders>
            <w:noWrap w:val="0"/>
            <w:vAlign w:val="top"/>
          </w:tcPr>
          <w:p>
            <w:pPr>
              <w:autoSpaceDE w:val="0"/>
              <w:autoSpaceDN w:val="0"/>
              <w:adjustRightInd w:val="0"/>
              <w:spacing w:line="360" w:lineRule="auto"/>
              <w:jc w:val="left"/>
              <w:rPr>
                <w:rFonts w:hint="default" w:ascii="方正行楷简体" w:eastAsia="方正行楷简体"/>
                <w:sz w:val="24"/>
                <w:szCs w:val="22"/>
                <w:vertAlign w:val="baseline"/>
                <w:lang w:val="en-US" w:eastAsia="zh-CN"/>
              </w:rPr>
            </w:pPr>
            <w:r>
              <w:rPr>
                <w:rFonts w:hint="eastAsia" w:ascii="方正行楷简体" w:eastAsia="方正行楷简体"/>
                <w:sz w:val="24"/>
                <w:szCs w:val="22"/>
                <w:vertAlign w:val="baseline"/>
                <w:lang w:val="en-US" w:eastAsia="zh-CN"/>
              </w:rPr>
              <w:t>260</w:t>
            </w:r>
          </w:p>
        </w:tc>
        <w:tc>
          <w:tcPr>
            <w:tcW w:w="1320" w:type="dxa"/>
            <w:tcBorders>
              <w:top w:val="single" w:color="000000" w:sz="12" w:space="0"/>
              <w:left w:val="nil"/>
              <w:bottom w:val="nil"/>
              <w:right w:val="nil"/>
            </w:tcBorders>
            <w:noWrap w:val="0"/>
            <w:vAlign w:val="top"/>
          </w:tcPr>
          <w:p>
            <w:pPr>
              <w:autoSpaceDE w:val="0"/>
              <w:autoSpaceDN w:val="0"/>
              <w:adjustRightInd w:val="0"/>
              <w:spacing w:line="360" w:lineRule="auto"/>
              <w:ind w:firstLine="240" w:firstLineChars="100"/>
              <w:jc w:val="left"/>
              <w:rPr>
                <w:rFonts w:hint="default" w:ascii="方正行楷简体" w:eastAsia="方正行楷简体"/>
                <w:sz w:val="24"/>
                <w:szCs w:val="22"/>
                <w:vertAlign w:val="baseline"/>
                <w:lang w:val="en-US" w:eastAsia="zh-CN"/>
              </w:rPr>
            </w:pPr>
            <w:r>
              <w:rPr>
                <w:rFonts w:hint="eastAsia" w:ascii="方正行楷简体" w:eastAsia="方正行楷简体"/>
                <w:sz w:val="24"/>
                <w:szCs w:val="22"/>
                <w:vertAlign w:val="baseline"/>
                <w:lang w:val="en-US" w:eastAsia="zh-CN"/>
              </w:rPr>
              <w:t>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19" w:type="dxa"/>
            <w:tcBorders>
              <w:top w:val="nil"/>
              <w:left w:val="nil"/>
              <w:bottom w:val="nil"/>
              <w:right w:val="nil"/>
            </w:tcBorders>
            <w:noWrap w:val="0"/>
            <w:vAlign w:val="top"/>
          </w:tcPr>
          <w:p>
            <w:pPr>
              <w:autoSpaceDE w:val="0"/>
              <w:autoSpaceDN w:val="0"/>
              <w:adjustRightInd w:val="0"/>
              <w:spacing w:line="360" w:lineRule="auto"/>
              <w:jc w:val="left"/>
              <w:rPr>
                <w:rFonts w:hint="eastAsia" w:ascii="方正行楷简体" w:eastAsia="方正行楷简体"/>
                <w:sz w:val="24"/>
                <w:szCs w:val="22"/>
                <w:vertAlign w:val="baseline"/>
                <w:lang w:val="en-US" w:eastAsia="zh-CN"/>
              </w:rPr>
            </w:pPr>
            <w:r>
              <w:rPr>
                <w:rFonts w:hint="eastAsia" w:ascii="方正行楷简体" w:eastAsia="方正行楷简体"/>
                <w:sz w:val="24"/>
                <w:szCs w:val="22"/>
                <w:vertAlign w:val="baseline"/>
                <w:lang w:val="en-US" w:eastAsia="zh-CN"/>
              </w:rPr>
              <w:t>占比</w:t>
            </w:r>
          </w:p>
        </w:tc>
        <w:tc>
          <w:tcPr>
            <w:tcW w:w="1319" w:type="dxa"/>
            <w:tcBorders>
              <w:top w:val="nil"/>
              <w:left w:val="nil"/>
              <w:bottom w:val="nil"/>
              <w:right w:val="nil"/>
            </w:tcBorders>
            <w:noWrap w:val="0"/>
            <w:vAlign w:val="top"/>
          </w:tcPr>
          <w:p>
            <w:pPr>
              <w:autoSpaceDE w:val="0"/>
              <w:autoSpaceDN w:val="0"/>
              <w:adjustRightInd w:val="0"/>
              <w:spacing w:line="360" w:lineRule="auto"/>
              <w:jc w:val="left"/>
              <w:rPr>
                <w:rFonts w:hint="default" w:ascii="方正行楷简体" w:eastAsia="方正行楷简体"/>
                <w:sz w:val="24"/>
                <w:szCs w:val="22"/>
                <w:vertAlign w:val="baseline"/>
                <w:lang w:val="en-US" w:eastAsia="zh-CN"/>
              </w:rPr>
            </w:pPr>
            <w:r>
              <w:rPr>
                <w:rFonts w:hint="eastAsia" w:ascii="方正行楷简体" w:eastAsia="方正行楷简体"/>
                <w:sz w:val="24"/>
                <w:szCs w:val="22"/>
                <w:vertAlign w:val="baseline"/>
                <w:lang w:val="en-US" w:eastAsia="zh-CN"/>
              </w:rPr>
              <w:t>21%</w:t>
            </w:r>
          </w:p>
        </w:tc>
        <w:tc>
          <w:tcPr>
            <w:tcW w:w="1319" w:type="dxa"/>
            <w:tcBorders>
              <w:top w:val="nil"/>
              <w:left w:val="nil"/>
              <w:bottom w:val="nil"/>
              <w:right w:val="nil"/>
            </w:tcBorders>
            <w:noWrap w:val="0"/>
            <w:vAlign w:val="top"/>
          </w:tcPr>
          <w:p>
            <w:pPr>
              <w:autoSpaceDE w:val="0"/>
              <w:autoSpaceDN w:val="0"/>
              <w:adjustRightInd w:val="0"/>
              <w:spacing w:line="360" w:lineRule="auto"/>
              <w:jc w:val="left"/>
              <w:rPr>
                <w:rFonts w:hint="default" w:ascii="方正行楷简体" w:eastAsia="方正行楷简体"/>
                <w:sz w:val="24"/>
                <w:szCs w:val="22"/>
                <w:vertAlign w:val="baseline"/>
                <w:lang w:val="en-US" w:eastAsia="zh-CN"/>
              </w:rPr>
            </w:pPr>
            <w:r>
              <w:rPr>
                <w:rFonts w:hint="eastAsia" w:ascii="方正行楷简体" w:eastAsia="方正行楷简体"/>
                <w:sz w:val="24"/>
                <w:szCs w:val="22"/>
                <w:vertAlign w:val="baseline"/>
                <w:lang w:val="en-US" w:eastAsia="zh-CN"/>
              </w:rPr>
              <w:t>15%</w:t>
            </w:r>
          </w:p>
        </w:tc>
        <w:tc>
          <w:tcPr>
            <w:tcW w:w="1320" w:type="dxa"/>
            <w:tcBorders>
              <w:top w:val="nil"/>
              <w:left w:val="nil"/>
              <w:bottom w:val="nil"/>
              <w:right w:val="nil"/>
            </w:tcBorders>
            <w:noWrap w:val="0"/>
            <w:vAlign w:val="top"/>
          </w:tcPr>
          <w:p>
            <w:pPr>
              <w:autoSpaceDE w:val="0"/>
              <w:autoSpaceDN w:val="0"/>
              <w:adjustRightInd w:val="0"/>
              <w:spacing w:line="360" w:lineRule="auto"/>
              <w:jc w:val="left"/>
            </w:pPr>
            <w:r>
              <w:rPr>
                <w:rFonts w:hint="eastAsia" w:ascii="方正行楷简体" w:eastAsia="方正行楷简体"/>
                <w:sz w:val="24"/>
                <w:szCs w:val="22"/>
                <w:vertAlign w:val="baseline"/>
                <w:lang w:val="en-US" w:eastAsia="zh-CN"/>
              </w:rPr>
              <w:t>13.8%</w:t>
            </w:r>
          </w:p>
        </w:tc>
        <w:tc>
          <w:tcPr>
            <w:tcW w:w="1320" w:type="dxa"/>
            <w:tcBorders>
              <w:top w:val="nil"/>
              <w:left w:val="nil"/>
              <w:bottom w:val="nil"/>
              <w:right w:val="nil"/>
            </w:tcBorders>
            <w:noWrap w:val="0"/>
            <w:vAlign w:val="top"/>
          </w:tcPr>
          <w:p>
            <w:pPr>
              <w:autoSpaceDE w:val="0"/>
              <w:autoSpaceDN w:val="0"/>
              <w:adjustRightInd w:val="0"/>
              <w:spacing w:line="360" w:lineRule="auto"/>
              <w:jc w:val="left"/>
            </w:pPr>
            <w:r>
              <w:rPr>
                <w:rFonts w:hint="eastAsia" w:ascii="方正行楷简体" w:eastAsia="方正行楷简体"/>
                <w:sz w:val="24"/>
                <w:szCs w:val="22"/>
                <w:vertAlign w:val="baseline"/>
                <w:lang w:val="en-US" w:eastAsia="zh-CN"/>
              </w:rPr>
              <w:t>13.2%</w:t>
            </w:r>
          </w:p>
        </w:tc>
        <w:tc>
          <w:tcPr>
            <w:tcW w:w="1320" w:type="dxa"/>
            <w:tcBorders>
              <w:top w:val="nil"/>
              <w:left w:val="nil"/>
              <w:bottom w:val="nil"/>
              <w:right w:val="nil"/>
            </w:tcBorders>
            <w:noWrap w:val="0"/>
            <w:vAlign w:val="top"/>
          </w:tcPr>
          <w:p>
            <w:pPr>
              <w:autoSpaceDE w:val="0"/>
              <w:autoSpaceDN w:val="0"/>
              <w:adjustRightInd w:val="0"/>
              <w:spacing w:line="360" w:lineRule="auto"/>
              <w:jc w:val="left"/>
              <w:rPr>
                <w:rFonts w:hint="default" w:ascii="方正行楷简体" w:eastAsia="方正行楷简体"/>
                <w:sz w:val="24"/>
                <w:szCs w:val="22"/>
                <w:vertAlign w:val="baseline"/>
                <w:lang w:val="en-US" w:eastAsia="zh-CN"/>
              </w:rPr>
            </w:pPr>
            <w:r>
              <w:rPr>
                <w:rFonts w:hint="eastAsia" w:ascii="方正行楷简体" w:eastAsia="方正行楷简体"/>
                <w:sz w:val="24"/>
                <w:szCs w:val="22"/>
                <w:vertAlign w:val="baseline"/>
                <w:lang w:val="en-US" w:eastAsia="zh-CN"/>
              </w:rPr>
              <w:t>11%</w:t>
            </w:r>
          </w:p>
        </w:tc>
        <w:tc>
          <w:tcPr>
            <w:tcW w:w="1320" w:type="dxa"/>
            <w:tcBorders>
              <w:top w:val="nil"/>
              <w:left w:val="nil"/>
              <w:bottom w:val="nil"/>
              <w:right w:val="nil"/>
            </w:tcBorders>
            <w:noWrap w:val="0"/>
            <w:vAlign w:val="top"/>
          </w:tcPr>
          <w:p>
            <w:pPr>
              <w:autoSpaceDE w:val="0"/>
              <w:autoSpaceDN w:val="0"/>
              <w:adjustRightInd w:val="0"/>
              <w:spacing w:line="360" w:lineRule="auto"/>
              <w:jc w:val="left"/>
              <w:rPr>
                <w:rFonts w:hint="default" w:ascii="方正行楷简体" w:eastAsia="方正行楷简体"/>
                <w:sz w:val="24"/>
                <w:szCs w:val="22"/>
                <w:vertAlign w:val="baseline"/>
                <w:lang w:val="en-US" w:eastAsia="zh-CN"/>
              </w:rPr>
            </w:pPr>
            <w:r>
              <w:rPr>
                <w:rFonts w:hint="eastAsia" w:ascii="方正行楷简体" w:eastAsia="方正行楷简体"/>
                <w:sz w:val="24"/>
                <w:szCs w:val="22"/>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9" w:type="dxa"/>
            <w:tcBorders>
              <w:top w:val="nil"/>
              <w:left w:val="nil"/>
              <w:right w:val="nil"/>
            </w:tcBorders>
            <w:noWrap w:val="0"/>
            <w:vAlign w:val="top"/>
          </w:tcPr>
          <w:p>
            <w:pPr>
              <w:autoSpaceDE w:val="0"/>
              <w:autoSpaceDN w:val="0"/>
              <w:adjustRightInd w:val="0"/>
              <w:spacing w:line="360" w:lineRule="auto"/>
              <w:jc w:val="left"/>
              <w:rPr>
                <w:rFonts w:hint="eastAsia" w:ascii="方正行楷简体" w:eastAsia="方正行楷简体"/>
                <w:sz w:val="24"/>
                <w:szCs w:val="22"/>
                <w:vertAlign w:val="baseline"/>
                <w:lang w:val="en-US" w:eastAsia="zh-CN"/>
              </w:rPr>
            </w:pPr>
          </w:p>
        </w:tc>
        <w:tc>
          <w:tcPr>
            <w:tcW w:w="1319" w:type="dxa"/>
            <w:tcBorders>
              <w:top w:val="nil"/>
              <w:left w:val="nil"/>
              <w:right w:val="nil"/>
            </w:tcBorders>
            <w:noWrap w:val="0"/>
            <w:vAlign w:val="top"/>
          </w:tcPr>
          <w:p>
            <w:pPr>
              <w:autoSpaceDE w:val="0"/>
              <w:autoSpaceDN w:val="0"/>
              <w:adjustRightInd w:val="0"/>
              <w:spacing w:line="360" w:lineRule="auto"/>
              <w:jc w:val="left"/>
              <w:rPr>
                <w:rFonts w:hint="eastAsia" w:ascii="方正行楷简体" w:eastAsia="方正行楷简体"/>
                <w:sz w:val="24"/>
                <w:szCs w:val="22"/>
                <w:vertAlign w:val="baseline"/>
                <w:lang w:val="en-US" w:eastAsia="zh-CN"/>
              </w:rPr>
            </w:pPr>
          </w:p>
        </w:tc>
        <w:tc>
          <w:tcPr>
            <w:tcW w:w="1319" w:type="dxa"/>
            <w:tcBorders>
              <w:top w:val="nil"/>
              <w:left w:val="nil"/>
              <w:right w:val="nil"/>
            </w:tcBorders>
            <w:noWrap w:val="0"/>
            <w:vAlign w:val="top"/>
          </w:tcPr>
          <w:p>
            <w:pPr>
              <w:autoSpaceDE w:val="0"/>
              <w:autoSpaceDN w:val="0"/>
              <w:adjustRightInd w:val="0"/>
              <w:spacing w:line="360" w:lineRule="auto"/>
              <w:jc w:val="left"/>
              <w:rPr>
                <w:rFonts w:hint="eastAsia" w:ascii="方正行楷简体" w:eastAsia="方正行楷简体"/>
                <w:sz w:val="24"/>
                <w:szCs w:val="22"/>
                <w:vertAlign w:val="baseline"/>
                <w:lang w:val="en-US" w:eastAsia="zh-CN"/>
              </w:rPr>
            </w:pPr>
          </w:p>
        </w:tc>
        <w:tc>
          <w:tcPr>
            <w:tcW w:w="1320" w:type="dxa"/>
            <w:tcBorders>
              <w:top w:val="nil"/>
              <w:left w:val="nil"/>
              <w:right w:val="nil"/>
            </w:tcBorders>
            <w:noWrap w:val="0"/>
            <w:vAlign w:val="top"/>
          </w:tcPr>
          <w:p>
            <w:pPr>
              <w:autoSpaceDE w:val="0"/>
              <w:autoSpaceDN w:val="0"/>
              <w:adjustRightInd w:val="0"/>
              <w:spacing w:line="360" w:lineRule="auto"/>
              <w:jc w:val="left"/>
            </w:pPr>
          </w:p>
        </w:tc>
        <w:tc>
          <w:tcPr>
            <w:tcW w:w="1320" w:type="dxa"/>
            <w:tcBorders>
              <w:top w:val="nil"/>
              <w:left w:val="nil"/>
              <w:right w:val="nil"/>
            </w:tcBorders>
            <w:noWrap w:val="0"/>
            <w:vAlign w:val="top"/>
          </w:tcPr>
          <w:p>
            <w:pPr>
              <w:autoSpaceDE w:val="0"/>
              <w:autoSpaceDN w:val="0"/>
              <w:adjustRightInd w:val="0"/>
              <w:spacing w:line="360" w:lineRule="auto"/>
              <w:jc w:val="left"/>
            </w:pPr>
          </w:p>
        </w:tc>
        <w:tc>
          <w:tcPr>
            <w:tcW w:w="1320" w:type="dxa"/>
            <w:tcBorders>
              <w:top w:val="nil"/>
              <w:left w:val="nil"/>
              <w:right w:val="nil"/>
            </w:tcBorders>
            <w:noWrap w:val="0"/>
            <w:vAlign w:val="top"/>
          </w:tcPr>
          <w:p>
            <w:pPr>
              <w:autoSpaceDE w:val="0"/>
              <w:autoSpaceDN w:val="0"/>
              <w:adjustRightInd w:val="0"/>
              <w:spacing w:line="360" w:lineRule="auto"/>
              <w:jc w:val="left"/>
              <w:rPr>
                <w:rFonts w:hint="eastAsia" w:ascii="方正行楷简体" w:eastAsia="方正行楷简体"/>
                <w:sz w:val="24"/>
                <w:szCs w:val="22"/>
                <w:vertAlign w:val="baseline"/>
                <w:lang w:val="en-US" w:eastAsia="zh-CN"/>
              </w:rPr>
            </w:pPr>
          </w:p>
        </w:tc>
        <w:tc>
          <w:tcPr>
            <w:tcW w:w="1320" w:type="dxa"/>
            <w:tcBorders>
              <w:top w:val="nil"/>
              <w:left w:val="nil"/>
              <w:right w:val="nil"/>
            </w:tcBorders>
            <w:noWrap w:val="0"/>
            <w:vAlign w:val="top"/>
          </w:tcPr>
          <w:p>
            <w:pPr>
              <w:autoSpaceDE w:val="0"/>
              <w:autoSpaceDN w:val="0"/>
              <w:adjustRightInd w:val="0"/>
              <w:spacing w:line="360" w:lineRule="auto"/>
              <w:jc w:val="left"/>
              <w:rPr>
                <w:rFonts w:hint="eastAsia" w:ascii="方正行楷简体" w:eastAsia="方正行楷简体"/>
                <w:sz w:val="24"/>
                <w:szCs w:val="22"/>
                <w:vertAlign w:val="baseline"/>
                <w:lang w:val="en-US" w:eastAsia="zh-CN"/>
              </w:rPr>
            </w:pPr>
          </w:p>
        </w:tc>
      </w:tr>
    </w:tbl>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如图通对女生选课项目进行统计：女生选课最多的前六项,且室内项目占比将近60%。很多室内课由于活动空间有限上课负荷达不到国家体制健康标准要求，导致学生体制逐年下降。《国务院关于加强青少年青少年体质的意见》和《国家中长期教育改革和发展纲要》，提出大力发展校园足球，阳光体育，将校园足球上升为国家战略。我们现在的大学体育课即没有开设足球，上课又多在室内见不了阳光。建议将室内课的学生带到操场，结合足球课程综合性的特点，让学生感受阳光，增强体质。</w:t>
      </w:r>
    </w:p>
    <w:p>
      <w:pPr>
        <w:autoSpaceDE w:val="0"/>
        <w:autoSpaceDN w:val="0"/>
        <w:adjustRightInd w:val="0"/>
        <w:spacing w:line="360" w:lineRule="auto"/>
        <w:ind w:firstLine="2160" w:firstLineChars="900"/>
        <w:jc w:val="left"/>
        <w:rPr>
          <w:rFonts w:hint="eastAsia" w:ascii="方正行楷简体" w:eastAsia="方正行楷简体"/>
          <w:sz w:val="24"/>
          <w:szCs w:val="22"/>
          <w:lang w:val="en-US" w:eastAsia="zh-CN"/>
        </w:rPr>
      </w:pPr>
      <w:r>
        <w:rPr>
          <w:rFonts w:hint="eastAsia" w:ascii="方正行楷简体" w:eastAsia="方正行楷简体"/>
          <w:sz w:val="24"/>
          <w:szCs w:val="22"/>
          <w:vertAlign w:val="baseline"/>
          <w:lang w:val="en-US" w:eastAsia="zh-CN"/>
        </w:rPr>
        <w:t xml:space="preserve">  </w:t>
      </w:r>
      <w:r>
        <w:rPr>
          <w:rFonts w:hint="eastAsia" w:ascii="方正行楷简体" w:eastAsia="方正行楷简体"/>
          <w:sz w:val="24"/>
          <w:szCs w:val="22"/>
          <w:lang w:val="en-US" w:eastAsia="zh-CN"/>
        </w:rPr>
        <w:t>表3女生参加足球运动的态度调查对比</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2029"/>
        <w:gridCol w:w="1605"/>
        <w:gridCol w:w="1770"/>
        <w:gridCol w:w="2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 w:hRule="atLeast"/>
        </w:trPr>
        <w:tc>
          <w:tcPr>
            <w:tcW w:w="1101" w:type="dxa"/>
            <w:tcBorders>
              <w:top w:val="single" w:color="auto" w:sz="18" w:space="0"/>
              <w:left w:val="nil"/>
              <w:bottom w:val="single" w:color="auto" w:sz="12" w:space="0"/>
              <w:right w:val="nil"/>
            </w:tcBorders>
            <w:noWrap w:val="0"/>
            <w:vAlign w:val="top"/>
          </w:tcPr>
          <w:p>
            <w:pPr>
              <w:autoSpaceDE w:val="0"/>
              <w:autoSpaceDN w:val="0"/>
              <w:adjustRightInd w:val="0"/>
              <w:spacing w:line="360" w:lineRule="auto"/>
              <w:jc w:val="left"/>
              <w:rPr>
                <w:rFonts w:hint="eastAsia" w:ascii="方正行楷简体" w:eastAsia="方正行楷简体"/>
                <w:sz w:val="24"/>
                <w:szCs w:val="22"/>
                <w:vertAlign w:val="baseline"/>
                <w:lang w:val="en-US" w:eastAsia="zh-CN"/>
              </w:rPr>
            </w:pPr>
            <w:r>
              <w:rPr>
                <w:rFonts w:hint="eastAsia" w:ascii="方正行楷简体" w:eastAsia="方正行楷简体"/>
                <w:sz w:val="24"/>
                <w:szCs w:val="22"/>
                <w:vertAlign w:val="baseline"/>
                <w:lang w:val="en-US" w:eastAsia="zh-CN"/>
              </w:rPr>
              <w:t>参加动机</w:t>
            </w:r>
          </w:p>
        </w:tc>
        <w:tc>
          <w:tcPr>
            <w:tcW w:w="2029" w:type="dxa"/>
            <w:tcBorders>
              <w:top w:val="single" w:color="auto" w:sz="18" w:space="0"/>
              <w:left w:val="nil"/>
              <w:bottom w:val="single" w:color="auto" w:sz="12" w:space="0"/>
              <w:right w:val="nil"/>
            </w:tcBorders>
            <w:noWrap w:val="0"/>
            <w:vAlign w:val="top"/>
          </w:tcPr>
          <w:p>
            <w:pPr>
              <w:autoSpaceDE w:val="0"/>
              <w:autoSpaceDN w:val="0"/>
              <w:adjustRightInd w:val="0"/>
              <w:spacing w:line="360" w:lineRule="auto"/>
              <w:jc w:val="left"/>
              <w:rPr>
                <w:rFonts w:hint="eastAsia" w:ascii="方正行楷简体" w:eastAsia="方正行楷简体"/>
                <w:sz w:val="24"/>
                <w:szCs w:val="22"/>
                <w:vertAlign w:val="baseline"/>
                <w:lang w:val="en-US" w:eastAsia="zh-CN"/>
              </w:rPr>
            </w:pPr>
            <w:r>
              <w:rPr>
                <w:rFonts w:hint="eastAsia" w:ascii="方正行楷简体" w:eastAsia="方正行楷简体"/>
                <w:sz w:val="24"/>
                <w:szCs w:val="22"/>
                <w:vertAlign w:val="baseline"/>
                <w:lang w:val="en-US" w:eastAsia="zh-CN"/>
              </w:rPr>
              <w:t>非凡的兴趣爱好</w:t>
            </w:r>
          </w:p>
          <w:p>
            <w:pPr>
              <w:autoSpaceDE w:val="0"/>
              <w:autoSpaceDN w:val="0"/>
              <w:adjustRightInd w:val="0"/>
              <w:spacing w:line="360" w:lineRule="auto"/>
              <w:jc w:val="left"/>
              <w:rPr>
                <w:rFonts w:hint="eastAsia" w:ascii="方正行楷简体" w:eastAsia="方正行楷简体"/>
                <w:sz w:val="24"/>
                <w:szCs w:val="22"/>
                <w:vertAlign w:val="baseline"/>
                <w:lang w:val="en-US" w:eastAsia="zh-CN"/>
              </w:rPr>
            </w:pPr>
          </w:p>
        </w:tc>
        <w:tc>
          <w:tcPr>
            <w:tcW w:w="1605" w:type="dxa"/>
            <w:tcBorders>
              <w:top w:val="single" w:color="auto" w:sz="18" w:space="0"/>
              <w:left w:val="nil"/>
              <w:bottom w:val="single" w:color="auto" w:sz="12" w:space="0"/>
              <w:right w:val="nil"/>
            </w:tcBorders>
            <w:noWrap w:val="0"/>
            <w:vAlign w:val="top"/>
          </w:tcPr>
          <w:p>
            <w:pPr>
              <w:autoSpaceDE w:val="0"/>
              <w:autoSpaceDN w:val="0"/>
              <w:adjustRightInd w:val="0"/>
              <w:spacing w:line="360" w:lineRule="auto"/>
              <w:jc w:val="left"/>
              <w:rPr>
                <w:rFonts w:hint="eastAsia" w:ascii="方正行楷简体" w:eastAsia="方正行楷简体"/>
                <w:sz w:val="24"/>
                <w:szCs w:val="22"/>
                <w:vertAlign w:val="baseline"/>
                <w:lang w:val="en-US" w:eastAsia="zh-CN"/>
              </w:rPr>
            </w:pPr>
            <w:r>
              <w:rPr>
                <w:rFonts w:hint="eastAsia" w:ascii="方正行楷简体" w:eastAsia="方正行楷简体"/>
                <w:sz w:val="24"/>
                <w:szCs w:val="22"/>
                <w:vertAlign w:val="baseline"/>
                <w:lang w:val="en-US" w:eastAsia="zh-CN"/>
              </w:rPr>
              <w:t>有兴趣</w:t>
            </w:r>
          </w:p>
        </w:tc>
        <w:tc>
          <w:tcPr>
            <w:tcW w:w="1770" w:type="dxa"/>
            <w:tcBorders>
              <w:top w:val="single" w:color="auto" w:sz="18" w:space="0"/>
              <w:left w:val="nil"/>
              <w:bottom w:val="single" w:color="auto" w:sz="12" w:space="0"/>
              <w:right w:val="nil"/>
            </w:tcBorders>
            <w:noWrap w:val="0"/>
            <w:vAlign w:val="top"/>
          </w:tcPr>
          <w:p>
            <w:pPr>
              <w:autoSpaceDE w:val="0"/>
              <w:autoSpaceDN w:val="0"/>
              <w:adjustRightInd w:val="0"/>
              <w:spacing w:line="360" w:lineRule="auto"/>
              <w:jc w:val="left"/>
              <w:rPr>
                <w:rFonts w:hint="eastAsia" w:ascii="方正行楷简体" w:eastAsia="方正行楷简体"/>
                <w:sz w:val="24"/>
                <w:szCs w:val="22"/>
                <w:vertAlign w:val="baseline"/>
                <w:lang w:val="en-US" w:eastAsia="zh-CN"/>
              </w:rPr>
            </w:pPr>
            <w:r>
              <w:rPr>
                <w:rFonts w:hint="eastAsia" w:ascii="方正行楷简体" w:eastAsia="方正行楷简体"/>
                <w:sz w:val="24"/>
                <w:szCs w:val="22"/>
                <w:vertAlign w:val="baseline"/>
                <w:lang w:val="en-US" w:eastAsia="zh-CN"/>
              </w:rPr>
              <w:t>保持中立</w:t>
            </w:r>
          </w:p>
        </w:tc>
        <w:tc>
          <w:tcPr>
            <w:tcW w:w="2991" w:type="dxa"/>
            <w:tcBorders>
              <w:top w:val="single" w:color="auto" w:sz="18" w:space="0"/>
              <w:left w:val="nil"/>
              <w:bottom w:val="single" w:color="auto" w:sz="12" w:space="0"/>
              <w:right w:val="nil"/>
            </w:tcBorders>
            <w:noWrap w:val="0"/>
            <w:vAlign w:val="top"/>
          </w:tcPr>
          <w:p>
            <w:pPr>
              <w:autoSpaceDE w:val="0"/>
              <w:autoSpaceDN w:val="0"/>
              <w:adjustRightInd w:val="0"/>
              <w:spacing w:line="360" w:lineRule="auto"/>
              <w:jc w:val="left"/>
              <w:rPr>
                <w:rFonts w:hint="eastAsia" w:ascii="方正行楷简体" w:eastAsia="方正行楷简体"/>
                <w:sz w:val="24"/>
                <w:szCs w:val="22"/>
                <w:vertAlign w:val="baseline"/>
                <w:lang w:val="en-US" w:eastAsia="zh-CN"/>
              </w:rPr>
            </w:pPr>
            <w:r>
              <w:rPr>
                <w:rFonts w:hint="eastAsia" w:ascii="方正行楷简体" w:eastAsia="方正行楷简体"/>
                <w:sz w:val="24"/>
                <w:szCs w:val="22"/>
                <w:vertAlign w:val="baseline"/>
                <w:lang w:val="en-US" w:eastAsia="zh-CN"/>
              </w:rPr>
              <w:t>排斥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101" w:type="dxa"/>
            <w:tcBorders>
              <w:top w:val="single" w:color="auto" w:sz="12" w:space="0"/>
              <w:left w:val="nil"/>
              <w:bottom w:val="nil"/>
              <w:right w:val="nil"/>
            </w:tcBorders>
            <w:noWrap w:val="0"/>
            <w:vAlign w:val="top"/>
          </w:tcPr>
          <w:p>
            <w:pPr>
              <w:autoSpaceDE w:val="0"/>
              <w:autoSpaceDN w:val="0"/>
              <w:adjustRightInd w:val="0"/>
              <w:spacing w:line="360" w:lineRule="auto"/>
              <w:jc w:val="left"/>
              <w:rPr>
                <w:rFonts w:hint="eastAsia" w:ascii="方正行楷简体" w:eastAsia="方正行楷简体"/>
                <w:sz w:val="24"/>
                <w:szCs w:val="22"/>
                <w:vertAlign w:val="baseline"/>
                <w:lang w:val="en-US" w:eastAsia="zh-CN"/>
              </w:rPr>
            </w:pPr>
            <w:r>
              <w:rPr>
                <w:rFonts w:hint="eastAsia" w:ascii="方正行楷简体" w:eastAsia="方正行楷简体"/>
                <w:sz w:val="24"/>
                <w:szCs w:val="22"/>
                <w:vertAlign w:val="baseline"/>
                <w:lang w:val="en-US" w:eastAsia="zh-CN"/>
              </w:rPr>
              <w:t>总人数</w:t>
            </w:r>
          </w:p>
          <w:p>
            <w:pPr>
              <w:autoSpaceDE w:val="0"/>
              <w:autoSpaceDN w:val="0"/>
              <w:adjustRightInd w:val="0"/>
              <w:spacing w:line="360" w:lineRule="auto"/>
              <w:jc w:val="left"/>
              <w:rPr>
                <w:rFonts w:hint="eastAsia" w:ascii="方正行楷简体" w:eastAsia="方正行楷简体"/>
                <w:sz w:val="24"/>
                <w:szCs w:val="22"/>
                <w:vertAlign w:val="baseline"/>
                <w:lang w:val="en-US" w:eastAsia="zh-CN"/>
              </w:rPr>
            </w:pPr>
            <w:r>
              <w:rPr>
                <w:rFonts w:hint="eastAsia" w:ascii="方正行楷简体" w:eastAsia="方正行楷简体"/>
                <w:sz w:val="24"/>
                <w:szCs w:val="22"/>
                <w:vertAlign w:val="baseline"/>
                <w:lang w:val="en-US" w:eastAsia="zh-CN"/>
              </w:rPr>
              <w:t>人数</w:t>
            </w:r>
          </w:p>
          <w:p>
            <w:pPr>
              <w:autoSpaceDE w:val="0"/>
              <w:autoSpaceDN w:val="0"/>
              <w:adjustRightInd w:val="0"/>
              <w:spacing w:line="360" w:lineRule="auto"/>
              <w:jc w:val="left"/>
              <w:rPr>
                <w:rFonts w:hint="eastAsia" w:ascii="方正行楷简体" w:eastAsia="方正行楷简体"/>
                <w:sz w:val="24"/>
                <w:szCs w:val="22"/>
                <w:vertAlign w:val="baseline"/>
                <w:lang w:val="en-US" w:eastAsia="zh-CN"/>
              </w:rPr>
            </w:pPr>
            <w:r>
              <w:rPr>
                <w:rFonts w:hint="eastAsia" w:ascii="方正行楷简体" w:eastAsia="方正行楷简体"/>
                <w:sz w:val="24"/>
                <w:szCs w:val="22"/>
                <w:vertAlign w:val="baseline"/>
                <w:lang w:val="en-US" w:eastAsia="zh-CN"/>
              </w:rPr>
              <w:t>比例</w:t>
            </w:r>
          </w:p>
        </w:tc>
        <w:tc>
          <w:tcPr>
            <w:tcW w:w="2029" w:type="dxa"/>
            <w:tcBorders>
              <w:top w:val="single" w:color="auto" w:sz="12" w:space="0"/>
              <w:left w:val="nil"/>
              <w:bottom w:val="nil"/>
              <w:right w:val="nil"/>
            </w:tcBorders>
            <w:noWrap w:val="0"/>
            <w:vAlign w:val="top"/>
          </w:tcPr>
          <w:p>
            <w:pPr>
              <w:autoSpaceDE w:val="0"/>
              <w:autoSpaceDN w:val="0"/>
              <w:adjustRightInd w:val="0"/>
              <w:spacing w:line="360" w:lineRule="auto"/>
              <w:jc w:val="left"/>
              <w:rPr>
                <w:rFonts w:hint="default" w:ascii="方正行楷简体" w:eastAsia="方正行楷简体"/>
                <w:sz w:val="24"/>
                <w:szCs w:val="22"/>
                <w:vertAlign w:val="baseline"/>
                <w:lang w:val="en-US" w:eastAsia="zh-CN"/>
              </w:rPr>
            </w:pPr>
            <w:r>
              <w:rPr>
                <w:rFonts w:hint="eastAsia" w:ascii="方正行楷简体" w:eastAsia="方正行楷简体"/>
                <w:sz w:val="24"/>
                <w:szCs w:val="22"/>
                <w:vertAlign w:val="baseline"/>
                <w:lang w:val="en-US" w:eastAsia="zh-CN"/>
              </w:rPr>
              <w:t>120</w:t>
            </w:r>
          </w:p>
          <w:p>
            <w:pPr>
              <w:autoSpaceDE w:val="0"/>
              <w:autoSpaceDN w:val="0"/>
              <w:adjustRightInd w:val="0"/>
              <w:spacing w:line="360" w:lineRule="auto"/>
              <w:jc w:val="left"/>
              <w:rPr>
                <w:rFonts w:hint="default" w:ascii="方正行楷简体" w:eastAsia="方正行楷简体"/>
                <w:sz w:val="24"/>
                <w:szCs w:val="22"/>
                <w:vertAlign w:val="baseline"/>
                <w:lang w:val="en-US" w:eastAsia="zh-CN"/>
              </w:rPr>
            </w:pPr>
            <w:r>
              <w:rPr>
                <w:rFonts w:hint="eastAsia" w:ascii="方正行楷简体" w:eastAsia="方正行楷简体"/>
                <w:sz w:val="24"/>
                <w:szCs w:val="22"/>
                <w:vertAlign w:val="baseline"/>
                <w:lang w:val="en-US" w:eastAsia="zh-CN"/>
              </w:rPr>
              <w:t>26</w:t>
            </w:r>
          </w:p>
          <w:p>
            <w:pPr>
              <w:autoSpaceDE w:val="0"/>
              <w:autoSpaceDN w:val="0"/>
              <w:adjustRightInd w:val="0"/>
              <w:spacing w:line="360" w:lineRule="auto"/>
              <w:jc w:val="left"/>
              <w:rPr>
                <w:rFonts w:hint="default" w:ascii="方正行楷简体" w:eastAsia="方正行楷简体"/>
                <w:sz w:val="24"/>
                <w:szCs w:val="22"/>
                <w:vertAlign w:val="baseline"/>
                <w:lang w:val="en-US" w:eastAsia="zh-CN"/>
              </w:rPr>
            </w:pPr>
            <w:r>
              <w:rPr>
                <w:rFonts w:hint="eastAsia" w:ascii="方正行楷简体" w:eastAsia="方正行楷简体"/>
                <w:sz w:val="24"/>
                <w:szCs w:val="22"/>
                <w:vertAlign w:val="baseline"/>
                <w:lang w:val="en-US" w:eastAsia="zh-CN"/>
              </w:rPr>
              <w:t>21%</w:t>
            </w:r>
          </w:p>
        </w:tc>
        <w:tc>
          <w:tcPr>
            <w:tcW w:w="1605" w:type="dxa"/>
            <w:tcBorders>
              <w:top w:val="single" w:color="auto" w:sz="12" w:space="0"/>
              <w:left w:val="nil"/>
              <w:bottom w:val="nil"/>
              <w:right w:val="nil"/>
            </w:tcBorders>
            <w:noWrap w:val="0"/>
            <w:vAlign w:val="top"/>
          </w:tcPr>
          <w:p>
            <w:pPr>
              <w:autoSpaceDE w:val="0"/>
              <w:autoSpaceDN w:val="0"/>
              <w:adjustRightInd w:val="0"/>
              <w:spacing w:line="360" w:lineRule="auto"/>
              <w:jc w:val="left"/>
              <w:rPr>
                <w:rFonts w:hint="default" w:ascii="方正行楷简体" w:eastAsia="方正行楷简体"/>
                <w:sz w:val="24"/>
                <w:szCs w:val="22"/>
                <w:vertAlign w:val="baseline"/>
                <w:lang w:val="en-US" w:eastAsia="zh-CN"/>
              </w:rPr>
            </w:pPr>
            <w:r>
              <w:rPr>
                <w:rFonts w:hint="eastAsia" w:ascii="方正行楷简体" w:eastAsia="方正行楷简体"/>
                <w:sz w:val="24"/>
                <w:szCs w:val="22"/>
                <w:vertAlign w:val="baseline"/>
                <w:lang w:val="en-US" w:eastAsia="zh-CN"/>
              </w:rPr>
              <w:t>120</w:t>
            </w:r>
          </w:p>
          <w:p>
            <w:pPr>
              <w:autoSpaceDE w:val="0"/>
              <w:autoSpaceDN w:val="0"/>
              <w:adjustRightInd w:val="0"/>
              <w:spacing w:line="360" w:lineRule="auto"/>
              <w:jc w:val="left"/>
              <w:rPr>
                <w:rFonts w:hint="default" w:ascii="方正行楷简体" w:eastAsia="方正行楷简体"/>
                <w:sz w:val="24"/>
                <w:szCs w:val="22"/>
                <w:vertAlign w:val="baseline"/>
                <w:lang w:val="en-US" w:eastAsia="zh-CN"/>
              </w:rPr>
            </w:pPr>
            <w:r>
              <w:rPr>
                <w:rFonts w:hint="eastAsia" w:ascii="方正行楷简体" w:eastAsia="方正行楷简体"/>
                <w:sz w:val="24"/>
                <w:szCs w:val="22"/>
                <w:vertAlign w:val="baseline"/>
                <w:lang w:val="en-US" w:eastAsia="zh-CN"/>
              </w:rPr>
              <w:t>58</w:t>
            </w:r>
          </w:p>
          <w:p>
            <w:pPr>
              <w:autoSpaceDE w:val="0"/>
              <w:autoSpaceDN w:val="0"/>
              <w:adjustRightInd w:val="0"/>
              <w:spacing w:line="360" w:lineRule="auto"/>
              <w:jc w:val="left"/>
              <w:rPr>
                <w:rFonts w:hint="default" w:ascii="方正行楷简体" w:eastAsia="方正行楷简体"/>
                <w:sz w:val="24"/>
                <w:szCs w:val="22"/>
                <w:vertAlign w:val="baseline"/>
                <w:lang w:val="en-US" w:eastAsia="zh-CN"/>
              </w:rPr>
            </w:pPr>
            <w:r>
              <w:rPr>
                <w:rFonts w:hint="eastAsia" w:ascii="方正行楷简体" w:eastAsia="方正行楷简体"/>
                <w:sz w:val="24"/>
                <w:szCs w:val="22"/>
                <w:vertAlign w:val="baseline"/>
                <w:lang w:val="en-US" w:eastAsia="zh-CN"/>
              </w:rPr>
              <w:t>48%</w:t>
            </w:r>
          </w:p>
        </w:tc>
        <w:tc>
          <w:tcPr>
            <w:tcW w:w="1770" w:type="dxa"/>
            <w:tcBorders>
              <w:top w:val="single" w:color="auto" w:sz="12" w:space="0"/>
              <w:left w:val="nil"/>
              <w:bottom w:val="nil"/>
              <w:right w:val="nil"/>
            </w:tcBorders>
            <w:noWrap w:val="0"/>
            <w:vAlign w:val="top"/>
          </w:tcPr>
          <w:p>
            <w:pPr>
              <w:autoSpaceDE w:val="0"/>
              <w:autoSpaceDN w:val="0"/>
              <w:adjustRightInd w:val="0"/>
              <w:spacing w:line="360" w:lineRule="auto"/>
              <w:jc w:val="left"/>
              <w:rPr>
                <w:rFonts w:hint="default" w:ascii="方正行楷简体" w:eastAsia="方正行楷简体"/>
                <w:sz w:val="24"/>
                <w:szCs w:val="22"/>
                <w:vertAlign w:val="baseline"/>
                <w:lang w:val="en-US" w:eastAsia="zh-CN"/>
              </w:rPr>
            </w:pPr>
            <w:r>
              <w:rPr>
                <w:rFonts w:hint="eastAsia" w:ascii="方正行楷简体" w:eastAsia="方正行楷简体"/>
                <w:sz w:val="24"/>
                <w:szCs w:val="22"/>
                <w:vertAlign w:val="baseline"/>
                <w:lang w:val="en-US" w:eastAsia="zh-CN"/>
              </w:rPr>
              <w:t>120</w:t>
            </w:r>
          </w:p>
          <w:p>
            <w:pPr>
              <w:autoSpaceDE w:val="0"/>
              <w:autoSpaceDN w:val="0"/>
              <w:adjustRightInd w:val="0"/>
              <w:spacing w:line="360" w:lineRule="auto"/>
              <w:jc w:val="left"/>
              <w:rPr>
                <w:rFonts w:hint="default" w:ascii="方正行楷简体" w:eastAsia="方正行楷简体"/>
                <w:sz w:val="24"/>
                <w:szCs w:val="22"/>
                <w:vertAlign w:val="baseline"/>
                <w:lang w:val="en-US" w:eastAsia="zh-CN"/>
              </w:rPr>
            </w:pPr>
            <w:r>
              <w:rPr>
                <w:rFonts w:hint="eastAsia" w:ascii="方正行楷简体" w:eastAsia="方正行楷简体"/>
                <w:sz w:val="24"/>
                <w:szCs w:val="22"/>
                <w:vertAlign w:val="baseline"/>
                <w:lang w:val="en-US" w:eastAsia="zh-CN"/>
              </w:rPr>
              <w:t>38</w:t>
            </w:r>
          </w:p>
          <w:p>
            <w:pPr>
              <w:autoSpaceDE w:val="0"/>
              <w:autoSpaceDN w:val="0"/>
              <w:adjustRightInd w:val="0"/>
              <w:spacing w:line="360" w:lineRule="auto"/>
              <w:jc w:val="left"/>
              <w:rPr>
                <w:rFonts w:hint="default" w:ascii="方正行楷简体" w:eastAsia="方正行楷简体"/>
                <w:sz w:val="24"/>
                <w:szCs w:val="22"/>
                <w:vertAlign w:val="baseline"/>
                <w:lang w:val="en-US" w:eastAsia="zh-CN"/>
              </w:rPr>
            </w:pPr>
            <w:r>
              <w:rPr>
                <w:rFonts w:hint="eastAsia" w:ascii="方正行楷简体" w:eastAsia="方正行楷简体"/>
                <w:sz w:val="24"/>
                <w:szCs w:val="22"/>
                <w:vertAlign w:val="baseline"/>
                <w:lang w:val="en-US" w:eastAsia="zh-CN"/>
              </w:rPr>
              <w:t>30.4%</w:t>
            </w:r>
          </w:p>
        </w:tc>
        <w:tc>
          <w:tcPr>
            <w:tcW w:w="2991" w:type="dxa"/>
            <w:tcBorders>
              <w:top w:val="single" w:color="auto" w:sz="12" w:space="0"/>
              <w:left w:val="nil"/>
              <w:bottom w:val="nil"/>
              <w:right w:val="nil"/>
            </w:tcBorders>
            <w:noWrap w:val="0"/>
            <w:vAlign w:val="top"/>
          </w:tcPr>
          <w:p>
            <w:pPr>
              <w:autoSpaceDE w:val="0"/>
              <w:autoSpaceDN w:val="0"/>
              <w:adjustRightInd w:val="0"/>
              <w:spacing w:line="360" w:lineRule="auto"/>
              <w:jc w:val="left"/>
              <w:rPr>
                <w:rFonts w:hint="eastAsia" w:ascii="方正行楷简体" w:eastAsia="方正行楷简体"/>
                <w:sz w:val="24"/>
                <w:szCs w:val="22"/>
                <w:vertAlign w:val="baseline"/>
                <w:lang w:val="en-US" w:eastAsia="zh-CN"/>
              </w:rPr>
            </w:pPr>
            <w:r>
              <w:rPr>
                <w:rFonts w:hint="eastAsia" w:ascii="方正行楷简体" w:eastAsia="方正行楷简体"/>
                <w:sz w:val="24"/>
                <w:szCs w:val="22"/>
                <w:vertAlign w:val="baseline"/>
                <w:lang w:val="en-US" w:eastAsia="zh-CN"/>
              </w:rPr>
              <w:t>120</w:t>
            </w:r>
          </w:p>
          <w:p>
            <w:pPr>
              <w:autoSpaceDE w:val="0"/>
              <w:autoSpaceDN w:val="0"/>
              <w:adjustRightInd w:val="0"/>
              <w:spacing w:line="360" w:lineRule="auto"/>
              <w:jc w:val="left"/>
              <w:rPr>
                <w:rFonts w:hint="eastAsia" w:ascii="方正行楷简体" w:eastAsia="方正行楷简体"/>
                <w:sz w:val="24"/>
                <w:szCs w:val="22"/>
                <w:vertAlign w:val="baseline"/>
                <w:lang w:val="en-US" w:eastAsia="zh-CN"/>
              </w:rPr>
            </w:pPr>
            <w:r>
              <w:rPr>
                <w:rFonts w:hint="eastAsia" w:ascii="方正行楷简体" w:eastAsia="方正行楷简体"/>
                <w:sz w:val="24"/>
                <w:szCs w:val="22"/>
                <w:vertAlign w:val="baseline"/>
                <w:lang w:val="en-US" w:eastAsia="zh-CN"/>
              </w:rPr>
              <w:t>8</w:t>
            </w:r>
          </w:p>
          <w:p>
            <w:pPr>
              <w:autoSpaceDE w:val="0"/>
              <w:autoSpaceDN w:val="0"/>
              <w:adjustRightInd w:val="0"/>
              <w:spacing w:line="360" w:lineRule="auto"/>
              <w:jc w:val="left"/>
              <w:rPr>
                <w:rFonts w:hint="default" w:ascii="方正行楷简体" w:eastAsia="方正行楷简体"/>
                <w:sz w:val="24"/>
                <w:szCs w:val="22"/>
                <w:vertAlign w:val="baseline"/>
                <w:lang w:val="en-US" w:eastAsia="zh-CN"/>
              </w:rPr>
            </w:pPr>
            <w:r>
              <w:rPr>
                <w:rFonts w:hint="eastAsia" w:ascii="方正行楷简体" w:eastAsia="方正行楷简体"/>
                <w:sz w:val="24"/>
                <w:szCs w:val="22"/>
                <w:vertAlign w:val="baseline"/>
                <w:lang w:val="en-US" w:eastAsia="zh-CN"/>
              </w:rPr>
              <w:t>0.6%</w:t>
            </w:r>
          </w:p>
        </w:tc>
      </w:tr>
    </w:tbl>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根据前期查阅资料和问卷调查综合得出以下数据：该校女生中，有21％的人对足球运动表现出了非凡的兴趣，有 48％的人表现出基本的好感，30.4％的人持中立态度，0.6％的人则表示了排斥。整体来说，除了极少数的人，大部分人对于足球运动都存在着喜欢的倾向，即使有的女生不喜欢足球，但是因为有喜欢的足球明星，例如贝克汉姆、梅西等，也间接的在关注足球运动。而根据对结果的进一步分析，发现足球对于女生的吸引力主要表现在三个方面：一是对帅气球星的仰慕，二是进球的瞬间让她们感到幸福感、兴奋感，三是因为足球比赛结果不可预知，悬念极强，能给她们带来一定刺激度和紧张感，这让她们感到满足与开心。</w:t>
      </w:r>
    </w:p>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二．开展女子足球选项课的必要性分析</w:t>
      </w:r>
    </w:p>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由于我校师范院校的特点，女生比例始终高于男生，而足球课程历来为男生所钟爱。从我校近6年的本科在校学生性别比例来看，女生所占比例逼近70%。在2018年甚至超过70%，达到71.40%。</w:t>
      </w:r>
    </w:p>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在高校开设女子足球选修课迎合了当下我国高校体育改革提出的要求。开设女子足球选修课是强化学生身体素质和增强团队合作的必然要求。尽管近年来我国教育理念和模式在逐步改进，但是整体上还是没能摆脱应试教育的影子。在这种教育背景下，学生的身心健康并不能得到十足保障。首当其冲的就是大学生的体质状况并不乐观，表现最为直观的就是大学生女子800米考试合格率不到45%，肺活量也下降了1O%，跳远和柔韧性测试成绩同样不理想。面临此种困境 ，开设女子足球课程，增强大学生体质锻炼刻不容缓；其次，与瑜伽、武术等个人化的运动不同，足球是一个对团队合作能力有着较高要求的运动，通过足球运动，能够潜移默化地培养和提升学生之间的协助能力和团队意识，这对于提升学生的综合软实力、提高就业竞争率而言，可谓是一笔隐形的财富。</w:t>
      </w:r>
    </w:p>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三．当前体育课程考核评价机制不健全</w:t>
      </w:r>
    </w:p>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在对学生的学习效果的评价上，不但要有体育课的出勤情况、平时上体育的表现、以及运动技能、技巧和身体素质的评判，还要有大学生之间互相评价、以及自我评价，对学生个体的学习进步幅度也要作出科学的评判.关注学生的个体差异.科学有效的评价体系的确立，才能科学地评定每个学生的足球选修课成绩，确保学生的成绩得到肯定，成绩过关，顺利完成足球的选项课的学习任务。</w:t>
      </w:r>
    </w:p>
    <w:p>
      <w:pPr>
        <w:autoSpaceDE w:val="0"/>
        <w:autoSpaceDN w:val="0"/>
        <w:adjustRightInd w:val="0"/>
        <w:spacing w:line="360" w:lineRule="auto"/>
        <w:ind w:firstLine="480" w:firstLineChars="200"/>
        <w:jc w:val="left"/>
      </w:pPr>
      <w:bookmarkStart w:id="0" w:name="_GoBack"/>
      <w:bookmarkEnd w:id="0"/>
      <w:r>
        <w:rPr>
          <w:rFonts w:hint="eastAsia" w:ascii="方正行楷简体" w:eastAsia="方正行楷简体"/>
          <w:sz w:val="24"/>
          <w:szCs w:val="22"/>
          <w:lang w:val="en-US" w:eastAsia="zh-CN"/>
        </w:rPr>
        <w:t>当前体育课程考核评价机制不健全对女子足球选项课影响更大，当下高校体育课程考核评价体系比较单一，体育考核评价主要是教师对学生的考核评价，只重视学生的考核成绩，只重视对足球运动技巧和技能、体能的考核忽视了对学生认知、学习态度与行为、交往与合作精神的考核评价，忽略了对学生学习进程的评价，没有考核学生学习进步的幅度，参与的热爱程度.考核评价的内容单一缺失了考核评价中应该具有的“学习效果和过程的评价”，学生的自评、互评.所以当前的体育考核机制缺陷明显甄别、选拔功能有余而激励功能不足影响了高校足球选修课的健康发展.</w:t>
      </w:r>
    </w:p>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四、开展女子足球选项课的必要性分析</w:t>
      </w:r>
    </w:p>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高校女子足球选项课的开设，不仅是顺应教育发展趋势的必然要求，也能为高校女大学生的体育锻炼创设更为丰富的空间，对于培养女大学生团队意识、协作精神以及个人全面发展、提升高校体育教学的有效性有着重要的作用。开设女子足球选修课符合高校体育改革的政策性要求。在众多课程之中，女子足球运动也会成为一抹亮丽的风景线。</w:t>
      </w:r>
    </w:p>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五．校园女子足球必须致力于四大体系的建设：</w:t>
      </w:r>
    </w:p>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一是教学体系建设。应根据学生年龄特点，根据青少年身心发展的阶段性特点，根据教育规律，科学合理的安排女子足球选项课的教学内容。</w:t>
      </w:r>
    </w:p>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二是训练体系建设。目前体育课还保障不了国家规定的课时，课余训练更少，除了体育必须课以外，也理应根据女生占比较大的现实情况开设女子足球选项课、并适时开展课余训练。</w:t>
      </w:r>
    </w:p>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三是竞赛体系建设。只有让绝大多数女大学生参与到足球竞赛中去，才有可能把在校园足球竞赛中表现优异的女生选拔出来，对她们进行更系统、更个性化的训练，为优秀足球人才成长提供良好通道，这是竞赛体系的建设。</w:t>
      </w:r>
    </w:p>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r>
        <w:rPr>
          <w:rFonts w:hint="eastAsia" w:ascii="方正行楷简体" w:eastAsia="方正行楷简体"/>
          <w:sz w:val="24"/>
          <w:szCs w:val="22"/>
          <w:lang w:val="en-US" w:eastAsia="zh-CN"/>
        </w:rPr>
        <w:t>最后，必须要做的就是保障体系建设，包括师资队伍，场地建设，学生的安全风险防控、奖励激励机制。包括学校相关部门与学院如何凝心聚力，科学推进学校体育、共同推动校园女子足球项目发展。</w:t>
      </w:r>
    </w:p>
    <w:p>
      <w:pPr>
        <w:autoSpaceDE w:val="0"/>
        <w:autoSpaceDN w:val="0"/>
        <w:adjustRightInd w:val="0"/>
        <w:spacing w:line="360" w:lineRule="auto"/>
        <w:ind w:firstLine="480" w:firstLineChars="200"/>
        <w:jc w:val="left"/>
        <w:rPr>
          <w:rFonts w:hint="eastAsia" w:ascii="方正行楷简体" w:eastAsia="方正行楷简体"/>
          <w:sz w:val="24"/>
          <w:szCs w:val="22"/>
          <w:lang w:val="en-US" w:eastAsia="zh-CN"/>
        </w:rPr>
      </w:pPr>
    </w:p>
    <w:p>
      <w:pPr>
        <w:autoSpaceDE w:val="0"/>
        <w:autoSpaceDN w:val="0"/>
        <w:adjustRightInd w:val="0"/>
        <w:spacing w:line="360" w:lineRule="auto"/>
        <w:jc w:val="left"/>
        <w:rPr>
          <w:rFonts w:hint="eastAsia" w:ascii="宋体" w:hAnsi="宋体" w:eastAsia="宋体" w:cs="宋体"/>
          <w:b/>
          <w:bCs/>
          <w:sz w:val="20"/>
          <w:szCs w:val="20"/>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行楷简体">
    <w:altName w:val="宋体"/>
    <w:panose1 w:val="02010601030101010101"/>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方正行楷简体">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7EB6AF"/>
    <w:multiLevelType w:val="singleLevel"/>
    <w:tmpl w:val="637EB6AF"/>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E2329C"/>
    <w:rsid w:val="47EB6AE1"/>
    <w:rsid w:val="613B72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2020-02-17T07:41:16Z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