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Lines="50" w:afterLines="50"/>
        <w:ind w:firstLine="723" w:firstLineChars="200"/>
        <w:jc w:val="center"/>
        <w:rPr>
          <w:rStyle w:val="20"/>
          <w:rFonts w:ascii="黑体" w:hAnsi="黑体" w:eastAsia="黑体" w:cstheme="minorBid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Style w:val="20"/>
          <w:rFonts w:hint="eastAsia" w:ascii="黑体" w:hAnsi="黑体" w:eastAsia="黑体" w:cstheme="minorBidi"/>
          <w:b/>
          <w:bCs/>
          <w:sz w:val="36"/>
          <w:szCs w:val="36"/>
        </w:rPr>
        <w:t xml:space="preserve"> </w:t>
      </w:r>
      <w:r>
        <w:rPr>
          <w:rStyle w:val="20"/>
          <w:rFonts w:hint="eastAsia" w:ascii="黑体" w:hAnsi="黑体" w:eastAsia="黑体" w:cstheme="minorBid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光伏发电</w:t>
      </w:r>
      <w:r>
        <w:rPr>
          <w:rStyle w:val="20"/>
          <w:rFonts w:hint="eastAsia" w:ascii="黑体" w:hAnsi="黑体" w:eastAsia="黑体" w:cstheme="minorBidi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数据监控系统的设计与实现</w:t>
      </w:r>
    </w:p>
    <w:p>
      <w:pPr>
        <w:pStyle w:val="3"/>
        <w:spacing w:beforeLines="50" w:afterLines="50"/>
        <w:ind w:firstLine="643" w:firstLineChars="200"/>
        <w:jc w:val="center"/>
      </w:pPr>
      <w:r>
        <w:rPr>
          <w:rFonts w:hint="eastAsia"/>
        </w:rPr>
        <w:t>第一作者：邹芷君</w:t>
      </w:r>
    </w:p>
    <w:p>
      <w:pPr>
        <w:spacing w:beforeLines="50" w:afterLines="50"/>
        <w:ind w:firstLine="420" w:firstLineChars="200"/>
        <w:jc w:val="center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</w:rPr>
        <w:t>作者单位：湖北文理学院   单位所在城市：湖北省襄阳市  邮编：441000</w:t>
      </w:r>
      <w:r>
        <w:rPr>
          <w:rFonts w:hint="eastAsia"/>
        </w:rPr>
        <w:t>）</w:t>
      </w:r>
    </w:p>
    <w:p>
      <w:pPr>
        <w:spacing w:beforeLines="50" w:afterLines="50"/>
        <w:ind w:firstLine="420" w:firstLineChars="200"/>
        <w:jc w:val="center"/>
        <w:rPr>
          <w:rFonts w:hint="eastAsia"/>
        </w:rPr>
      </w:pPr>
    </w:p>
    <w:p>
      <w:pPr>
        <w:spacing w:beforeLines="50" w:afterLines="50" w:line="360" w:lineRule="auto"/>
        <w:ind w:left="420" w:leftChars="0" w:firstLine="420" w:firstLineChars="0"/>
        <w:rPr>
          <w:rFonts w:hint="default" w:ascii="黑体" w:hAnsi="黑体" w:eastAsiaTheme="minorEastAsia" w:cstheme="majorBidi"/>
          <w:b/>
          <w:bCs/>
          <w:sz w:val="18"/>
          <w:szCs w:val="18"/>
          <w:lang w:val="en-US" w:eastAsia="zh-CN"/>
        </w:rPr>
      </w:pPr>
      <w:r>
        <w:rPr>
          <w:rStyle w:val="20"/>
          <w:rFonts w:hint="eastAsia" w:ascii="黑体" w:hAnsi="黑体" w:eastAsia="黑体"/>
          <w:sz w:val="18"/>
          <w:szCs w:val="18"/>
        </w:rPr>
        <w:t>摘要：</w:t>
      </w:r>
      <w:r>
        <w:rPr>
          <w:rFonts w:hint="eastAsia" w:asciiTheme="minorEastAsia" w:hAnsiTheme="minorEastAsia"/>
          <w:sz w:val="18"/>
          <w:szCs w:val="18"/>
        </w:rPr>
        <w:t>全球化经济社会的快速发展,加快了传统能源的消耗,导致能源日益短缺,与此同时还带来了严重的环境污染。因此,利用没有环境污染的太阳能进行光伏发电获得了社会的普遍关注。本文根据光伏电站行业的发展背景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以及</w:t>
      </w:r>
      <w:r>
        <w:rPr>
          <w:rFonts w:hint="eastAsia" w:asciiTheme="minorEastAsia" w:hAnsiTheme="minorEastAsia"/>
          <w:sz w:val="18"/>
          <w:szCs w:val="18"/>
        </w:rPr>
        <w:t>技术设备现状,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对整个光伏发电研究项目作出了详细的说明。</w:t>
      </w:r>
    </w:p>
    <w:p>
      <w:pPr>
        <w:spacing w:beforeLines="50" w:afterLines="50" w:line="360" w:lineRule="auto"/>
        <w:ind w:left="420" w:leftChars="0" w:firstLine="420" w:firstLineChars="0"/>
        <w:jc w:val="left"/>
        <w:rPr>
          <w:rFonts w:hint="default" w:asciiTheme="minorEastAsia" w:hAnsiTheme="minorEastAsia" w:eastAsiaTheme="minorEastAsia"/>
          <w:sz w:val="18"/>
          <w:szCs w:val="18"/>
          <w:lang w:val="en-US" w:eastAsia="zh-CN"/>
        </w:rPr>
      </w:pPr>
      <w:r>
        <w:rPr>
          <w:rStyle w:val="20"/>
          <w:rFonts w:hint="eastAsia" w:ascii="黑体" w:hAnsi="黑体" w:eastAsia="黑体"/>
          <w:sz w:val="18"/>
          <w:szCs w:val="18"/>
        </w:rPr>
        <w:t>关键字：</w:t>
      </w:r>
      <w:r>
        <w:rPr>
          <w:rFonts w:hint="eastAsia" w:asciiTheme="minorEastAsia" w:hAnsiTheme="minorEastAsia"/>
          <w:sz w:val="18"/>
          <w:szCs w:val="18"/>
        </w:rPr>
        <w:t>光伏发电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，数据监控</w:t>
      </w:r>
    </w:p>
    <w:p>
      <w:pPr>
        <w:spacing w:beforeLines="50" w:afterLines="50" w:line="360" w:lineRule="auto"/>
        <w:ind w:left="840" w:leftChars="0" w:firstLine="420" w:firstLineChars="0"/>
        <w:jc w:val="left"/>
        <w:rPr>
          <w:rFonts w:ascii="Tahoma" w:hAnsi="Tahoma" w:cs="Tahom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Tahoma" w:hAnsi="Tahoma" w:cs="Tahom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Design and implementation of data monitoring </w:t>
      </w:r>
      <w:r>
        <w:rPr>
          <w:rFonts w:hint="eastAsia" w:ascii="Tahoma" w:hAnsi="Tahoma" w:cs="Tahom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ahoma" w:hAnsi="Tahoma" w:cs="Tahom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ahoma" w:hAnsi="Tahoma" w:cs="Tahom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ahoma" w:hAnsi="Tahoma" w:cs="Tahom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system for photovoltaic power generation</w:t>
      </w:r>
      <w:r>
        <w:rPr>
          <w:rFonts w:ascii="Tahoma" w:hAnsi="Tahoma" w:cs="Tahom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5"/>
        <w:numPr>
          <w:ilvl w:val="0"/>
          <w:numId w:val="1"/>
        </w:numPr>
        <w:shd w:val="clear" w:color="auto" w:fill="F7F8FA"/>
        <w:spacing w:before="0" w:beforeAutospacing="0" w:after="0" w:afterAutospacing="0" w:line="154" w:lineRule="atLeast"/>
        <w:ind w:left="420" w:leftChars="0"/>
        <w:jc w:val="center"/>
        <w:rPr>
          <w:rFonts w:ascii="Tahoma" w:hAnsi="Tahoma" w:cs="Tahom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Tahoma" w:hAnsi="Tahoma" w:cs="Tahoma"/>
          <w:color w:val="000000" w:themeColor="text1"/>
          <w14:textFill>
            <w14:solidFill>
              <w14:schemeClr w14:val="tx1"/>
            </w14:solidFill>
          </w14:textFill>
        </w:rPr>
        <w:t>The first author: ZOU Zhijun</w:t>
      </w:r>
    </w:p>
    <w:p>
      <w:pPr>
        <w:spacing w:beforeLines="50" w:afterLines="50" w:line="360" w:lineRule="auto"/>
        <w:ind w:firstLine="775" w:firstLineChars="431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(</w:t>
      </w:r>
      <w:r>
        <w:rPr>
          <w:rFonts w:ascii="Tahoma" w:hAnsi="Tahoma" w:cs="Tahoma"/>
          <w:i/>
          <w:sz w:val="18"/>
          <w:szCs w:val="18"/>
        </w:rPr>
        <w:t xml:space="preserve">the author’unit: </w:t>
      </w:r>
      <w:bookmarkStart w:id="0" w:name="OLE_LINK1"/>
      <w:r>
        <w:rPr>
          <w:rFonts w:ascii="Tahoma" w:hAnsi="Tahoma" w:cs="Tahoma"/>
          <w:i/>
          <w:sz w:val="18"/>
          <w:szCs w:val="18"/>
        </w:rPr>
        <w:t xml:space="preserve">Hubei university of arts and science </w:t>
      </w:r>
      <w:bookmarkEnd w:id="0"/>
      <w:r>
        <w:rPr>
          <w:rFonts w:ascii="Tahoma" w:hAnsi="Tahoma" w:cs="Tahoma"/>
          <w:i/>
          <w:sz w:val="18"/>
          <w:szCs w:val="18"/>
        </w:rPr>
        <w:t xml:space="preserve">    City Code number:</w:t>
      </w:r>
      <w:r>
        <w:rPr>
          <w:rFonts w:ascii="Tahoma" w:hAnsi="Tahoma" w:cs="Tahoma"/>
          <w:sz w:val="18"/>
          <w:szCs w:val="18"/>
        </w:rPr>
        <w:t xml:space="preserve">441000 </w:t>
      </w:r>
      <w:r>
        <w:rPr>
          <w:rFonts w:ascii="Tahoma" w:hAnsi="Tahoma" w:cs="Tahoma"/>
          <w:i/>
          <w:sz w:val="18"/>
          <w:szCs w:val="18"/>
        </w:rPr>
        <w:t xml:space="preserve">   country: Xiangyang Hubei province</w:t>
      </w:r>
      <w:r>
        <w:rPr>
          <w:rFonts w:ascii="Tahoma" w:hAnsi="Tahoma" w:cs="Tahoma"/>
          <w:sz w:val="18"/>
          <w:szCs w:val="18"/>
        </w:rPr>
        <w:t>)</w:t>
      </w:r>
    </w:p>
    <w:p>
      <w:pPr>
        <w:spacing w:beforeLines="50" w:afterLines="50" w:line="360" w:lineRule="auto"/>
        <w:ind w:left="420" w:leftChars="0" w:firstLine="420" w:firstLineChars="0"/>
        <w:jc w:val="left"/>
        <w:rPr>
          <w:rFonts w:hint="eastAsia" w:hAnsi="Arial" w:eastAsia="宋体" w:cs="Arial" w:asciiTheme="minorAscii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</w:pPr>
      <w:r>
        <w:rPr>
          <w:rStyle w:val="20"/>
          <w:sz w:val="21"/>
          <w:szCs w:val="21"/>
        </w:rPr>
        <w:t>Abstract:</w:t>
      </w:r>
      <w:r>
        <w:rPr>
          <w:rStyle w:val="20"/>
          <w:rFonts w:hint="eastAsia" w:eastAsiaTheme="majorEastAsia"/>
          <w:sz w:val="21"/>
          <w:szCs w:val="21"/>
          <w:lang w:val="en-US" w:eastAsia="zh-CN"/>
        </w:rPr>
        <w:t xml:space="preserve"> </w:t>
      </w:r>
      <w:r>
        <w:rPr>
          <w:rFonts w:hint="eastAsia" w:hAnsi="Arial" w:eastAsia="宋体" w:cs="Arial" w:asciiTheme="minorAscii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The rapid development of the global economy and society has accelerated the consumption of traditional energy, resulting in an increasing shortage of energy and serious environmental pollution.</w:t>
      </w:r>
      <w:r>
        <w:rPr>
          <w:rFonts w:hint="eastAsia" w:hAnsi="Arial" w:eastAsia="宋体" w:cs="Arial" w:asciiTheme="minorAscii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hAnsi="Arial" w:eastAsia="宋体" w:cs="Arial" w:asciiTheme="minorAscii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Therefore, the use of solar energy without environmental pollution for photovoltaic power generation has gained widespread social attention.</w:t>
      </w:r>
      <w:r>
        <w:rPr>
          <w:rFonts w:hint="eastAsia" w:hAnsi="Arial" w:eastAsia="宋体" w:cs="Arial" w:asciiTheme="minorAscii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hAnsi="Arial" w:eastAsia="宋体" w:cs="Arial" w:asciiTheme="minorAscii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According to the development background of photovoltaic power station industry and the status quo of technical equipment, this paper gives a detailed description of the whole research project of photovoltaic power generation.</w:t>
      </w:r>
    </w:p>
    <w:p>
      <w:pPr>
        <w:pStyle w:val="3"/>
        <w:spacing w:beforeLines="50" w:afterLines="50" w:line="360" w:lineRule="auto"/>
        <w:ind w:firstLine="643" w:firstLineChars="200"/>
        <w:rPr>
          <w:rFonts w:hint="eastAsia" w:ascii="Arial" w:hAnsi="Arial" w:cs="Arial"/>
          <w:color w:val="2E3033"/>
          <w:sz w:val="18"/>
          <w:szCs w:val="18"/>
          <w:shd w:val="clear" w:color="auto" w:fill="FFFFFF"/>
          <w:lang w:val="en-US" w:eastAsia="zh-CN"/>
        </w:rPr>
      </w:pPr>
      <w:r>
        <w:tab/>
      </w:r>
      <w:r>
        <w:rPr>
          <w:rFonts w:ascii="Times New Roman" w:hAnsi="Times New Roman" w:cs="Times New Roman"/>
          <w:sz w:val="21"/>
          <w:szCs w:val="21"/>
        </w:rPr>
        <w:t>Keywords: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 xml:space="preserve"> photovoltaic power generation</w:t>
      </w:r>
      <w:r>
        <w:rPr>
          <w:rFonts w:hint="eastAsia" w:ascii="Arial" w:hAnsi="Arial" w:cs="Arial"/>
          <w:color w:val="2E3033"/>
          <w:sz w:val="18"/>
          <w:szCs w:val="18"/>
          <w:shd w:val="clear" w:color="auto" w:fill="FFFFFF"/>
          <w:lang w:val="en-US" w:eastAsia="zh-CN"/>
        </w:rPr>
        <w:t>，</w:t>
      </w:r>
      <w:r>
        <w:rPr>
          <w:rFonts w:hint="eastAsia" w:ascii="Arial" w:hAnsi="Arial" w:cs="Arial"/>
          <w:color w:val="2E3033"/>
          <w:sz w:val="18"/>
          <w:szCs w:val="18"/>
          <w:shd w:val="clear" w:color="auto" w:fill="FFFFFF"/>
        </w:rPr>
        <w:t>data monitoring</w:t>
      </w:r>
    </w:p>
    <w:p>
      <w:pPr>
        <w:pStyle w:val="3"/>
        <w:spacing w:beforeLines="50" w:afterLines="50" w:line="360" w:lineRule="auto"/>
        <w:ind w:firstLine="482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1.研究背景与意义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leftChars="0" w:firstLine="420"/>
        <w:jc w:val="left"/>
        <w:textAlignment w:val="auto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能源已经成为决定当今社会发展的关键因素, 太阳能是最为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常见</w:t>
      </w:r>
      <w:r>
        <w:rPr>
          <w:rFonts w:hint="eastAsia" w:asciiTheme="minorEastAsia" w:hAnsiTheme="minorEastAsia"/>
          <w:sz w:val="18"/>
          <w:szCs w:val="18"/>
        </w:rPr>
        <w:t>的可再生能源,其优点有：清洁、无污染、易获得。因此,太阳能等能源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的使用</w:t>
      </w:r>
      <w:r>
        <w:rPr>
          <w:rFonts w:hint="eastAsia" w:asciiTheme="minorEastAsia" w:hAnsiTheme="minorEastAsia"/>
          <w:sz w:val="18"/>
          <w:szCs w:val="18"/>
        </w:rPr>
        <w:t>,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已经逐步成为</w:t>
      </w:r>
      <w:r>
        <w:rPr>
          <w:rFonts w:hint="eastAsia" w:asciiTheme="minorEastAsia" w:hAnsiTheme="minorEastAsia"/>
          <w:sz w:val="18"/>
          <w:szCs w:val="18"/>
        </w:rPr>
        <w:t>能源领域发展的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一种</w:t>
      </w:r>
      <w:r>
        <w:rPr>
          <w:rFonts w:hint="eastAsia" w:asciiTheme="minorEastAsia" w:hAnsiTheme="minorEastAsia"/>
          <w:sz w:val="18"/>
          <w:szCs w:val="18"/>
        </w:rPr>
        <w:t>趋势。针对光伏电站行业进行数据采集、数据可视化及数据分析，有利于为光伏设备安装商、运营商及民用商用光伏用户提供线上工具支持;为光伏电站投资人提供数据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参考</w:t>
      </w:r>
      <w:r>
        <w:rPr>
          <w:rFonts w:hint="eastAsia" w:asciiTheme="minorEastAsia" w:hAnsiTheme="minorEastAsia"/>
          <w:sz w:val="18"/>
          <w:szCs w:val="18"/>
        </w:rPr>
        <w:t>，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降低</w:t>
      </w:r>
      <w:r>
        <w:rPr>
          <w:rFonts w:hint="eastAsia" w:asciiTheme="minorEastAsia" w:hAnsiTheme="minorEastAsia"/>
          <w:sz w:val="18"/>
          <w:szCs w:val="18"/>
        </w:rPr>
        <w:t>投资风险。同时也</w:t>
      </w:r>
      <w:r>
        <w:rPr>
          <w:rFonts w:asciiTheme="minorEastAsia" w:hAnsiTheme="minorEastAsia"/>
          <w:sz w:val="18"/>
          <w:szCs w:val="18"/>
        </w:rPr>
        <w:t>不需要安排人员到现场对每台设备进行检查，大量节约人力成本。</w:t>
      </w:r>
    </w:p>
    <w:p>
      <w:pPr>
        <w:pStyle w:val="11"/>
        <w:spacing w:beforeLines="50" w:afterLines="50" w:line="360" w:lineRule="auto"/>
        <w:ind w:firstLine="420"/>
        <w:jc w:val="lef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2.</w:t>
      </w:r>
      <w:r>
        <w:rPr>
          <w:rFonts w:hint="eastAsia" w:ascii="黑体" w:hAnsi="黑体" w:eastAsia="黑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功能描述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0"/>
        <w:jc w:val="left"/>
        <w:textAlignment w:val="auto"/>
        <w:rPr>
          <w:rFonts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2.1系统实现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firstLine="420" w:firstLineChars="0"/>
        <w:jc w:val="left"/>
        <w:textAlignment w:val="auto"/>
        <w:rPr>
          <w:rFonts w:hint="eastAsia"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2.1-1 数据采集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lang w:val="en-US" w:eastAsia="zh-CN"/>
        </w:rPr>
        <w:t>数据采集模块如图2.2-1所示,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数据采集系统由数据采集器、气象传感器、光伏阵列传感器、通信终端设备组成。实时采集电站发电情况、当地环境参数，电站硬件通讯层通过 RS485/422 协议采集电站运行数据，包括逆变器数据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lang w:val="en-US" w:eastAsia="zh-CN"/>
        </w:rPr>
        <w:t>,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气象站数据等。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="Calibri"/>
          <w:sz w:val="28"/>
          <w:szCs w:val="28"/>
        </w:rPr>
        <w:pict>
          <v:shape id="_x0000_s1030" o:spid="_x0000_s1030" o:spt="75" type="#_x0000_t75" style="position:absolute;left:0pt;margin-left:45pt;margin-top:9.55pt;height:128.55pt;width:278.4pt;mso-wrap-distance-left:9pt;mso-wrap-distance-right:9pt;z-index:-251638784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5" o:title=""/>
            <o:lock v:ext="edit" aspectratio="f"/>
            <w10:wrap type="tight"/>
          </v:shape>
          <o:OLEObject Type="Embed" ProgID="Visio.Drawing.15" ShapeID="_x0000_s1030" DrawAspect="Content" ObjectID="_1468075725" r:id="rId4">
            <o:LockedField>false</o:LockedField>
          </o:OLEObject>
        </w:pic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2520" w:leftChars="0" w:firstLine="420" w:firstLineChars="0"/>
        <w:textAlignment w:val="auto"/>
        <w:rPr>
          <w:rFonts w:hint="default" w:asciiTheme="minorEastAsia" w:hAnsiTheme="minorEastAsia" w:eastAsia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lang w:val="en-US" w:eastAsia="zh-CN"/>
        </w:rPr>
        <w:t>图2.2-1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数据采集模块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的功能实现：数据采集模块的功能主要是通过该模块平台收发消息，进行数据传输等。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使用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的是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市场上现有的光伏设备生产厂商的产品，例如英臻、华为、阳光、品联、畅洋、淘科等。这些厂商的采集器模块主要是由传感器、控制器等单元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构成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，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采用的是远程数据采集的方式。数据采集模块需要的材料是通信芯片、存储芯片,实现原理则是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将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各个芯片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集成在一块电路板上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。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firstLine="420" w:firstLineChars="0"/>
        <w:jc w:val="left"/>
        <w:textAlignment w:val="auto"/>
        <w:rPr>
          <w:rFonts w:hint="eastAsia"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2.1-2 数据处理</w:t>
      </w: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  <w:r>
        <w:rPr>
          <w:rFonts w:hint="eastAsia" w:ascii="Calibri" w:hAnsi="Calibri" w:cs="Calibri"/>
          <w:color w:val="000000"/>
          <w:sz w:val="18"/>
          <w:szCs w:val="18"/>
          <w:lang w:val="en-US" w:eastAsia="zh-CN"/>
        </w:rPr>
        <w:t>数据通信模块如图2.1-2(1)所示，数据处理系统是指</w:t>
      </w:r>
      <w:r>
        <w:rPr>
          <w:rFonts w:ascii="Calibri" w:hAnsi="Calibri" w:cs="Calibri"/>
          <w:color w:val="000000"/>
          <w:sz w:val="18"/>
          <w:szCs w:val="18"/>
        </w:rPr>
        <w:t>对接收到的数据帧进行校验、解析和转换，存入数据库。</w:t>
      </w: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  <w:r>
        <w:rPr>
          <w:rFonts w:hint="eastAsia" w:ascii="Calibri"/>
          <w:sz w:val="28"/>
          <w:szCs w:val="28"/>
        </w:rPr>
        <w:pict>
          <v:shape id="_x0000_s1027" o:spid="_x0000_s1027" o:spt="75" type="#_x0000_t75" style="position:absolute;left:0pt;margin-left:42pt;margin-top:3.2pt;height:168.7pt;width:268pt;mso-wrap-distance-left:9pt;mso-wrap-distance-right:9pt;z-index:-251652096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7" o:title=""/>
            <o:lock v:ext="edit" aspectratio="f"/>
            <w10:wrap type="tight"/>
          </v:shape>
          <o:OLEObject Type="Embed" ProgID="Visio.Drawing.15" ShapeID="_x0000_s1027" DrawAspect="Content" ObjectID="_1468075726" r:id="rId6">
            <o:LockedField>false</o:LockedField>
          </o:OLEObject>
        </w:pict>
      </w: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color w:val="000000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2520" w:leftChars="0" w:firstLine="420" w:firstLineChars="0"/>
        <w:textAlignment w:val="auto"/>
        <w:rPr>
          <w:rFonts w:hint="default" w:ascii="Calibri" w:hAnsi="Calibri" w:eastAsia="宋体" w:cs="Calibri"/>
          <w:color w:val="000000"/>
          <w:sz w:val="18"/>
          <w:szCs w:val="18"/>
          <w:lang w:val="en-US" w:eastAsia="zh-CN"/>
        </w:rPr>
      </w:pPr>
      <w:r>
        <w:rPr>
          <w:rFonts w:hint="eastAsia" w:ascii="Calibri" w:hAnsi="Calibri" w:cs="Calibri"/>
          <w:color w:val="000000"/>
          <w:sz w:val="18"/>
          <w:szCs w:val="18"/>
          <w:lang w:val="en-US" w:eastAsia="zh-CN"/>
        </w:rPr>
        <w:t>图2.1-2(1)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数据通信模块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的功能实现：它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是采集器与数据预处理平台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之间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的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通信信道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，主要是将设备数据使用无线网络终端发送到目标端口。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采用的是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TCP/UDP协议，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利用面向连接的TCP协议来实现IP环境下的数据可靠传输。同时又采用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端到端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发送数据包的方式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，将采集器获取的数据通过开辟出的连接通道进行传输，在数据预处理平台相应端口下进行数据接收。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数据预处理模块如图2.1-2(2)所示：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ascii="Calibri"/>
          <w:b/>
          <w:bCs/>
        </w:rPr>
        <w:pict>
          <v:shape id="_x0000_s1032" o:spid="_x0000_s1032" o:spt="75" type="#_x0000_t75" style="position:absolute;left:0pt;margin-left:44pt;margin-top:3.5pt;height:162.85pt;width:338.25pt;mso-wrap-distance-left:9pt;mso-wrap-distance-right:9pt;z-index:-251652096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9" o:title=""/>
            <o:lock v:ext="edit" aspectratio="f"/>
            <w10:wrap type="tight"/>
          </v:shape>
          <o:OLEObject Type="Embed" ProgID="Visio.Drawing.15" ShapeID="_x0000_s1032" DrawAspect="Content" ObjectID="_1468075727" r:id="rId8">
            <o:LockedField>false</o:LockedField>
          </o:OLEObject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firstLine="420" w:firstLineChars="0"/>
        <w:textAlignment w:val="auto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2940" w:leftChars="0" w:firstLine="420" w:firstLineChars="0"/>
        <w:textAlignment w:val="auto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图2.1-2(2)</w:t>
      </w: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数据预处理模块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功能实现</w:t>
      </w:r>
      <w:r>
        <w:rPr>
          <w:rFonts w:hint="eastAsia" w:asciiTheme="minorEastAsia" w:hAnsiTheme="minorEastAsia" w:cstheme="minorEastAsia"/>
          <w:sz w:val="18"/>
          <w:szCs w:val="18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首先根据逆变器、电表、气象站等不同种数据帧格式协议，制定相应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多种解析器，获取帧中包含的电站数据信息；其次需要获取传输到相应数据端口的帧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,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并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将其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放入正确的解析器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中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完成转义。采用标志点匹配算法，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对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系统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中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使用到的各项帧格式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进行分析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，提取数据帧头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数据帧尾的数据格式与长度，整帧数据长度等</w:t>
      </w:r>
      <w:r>
        <w:rPr>
          <w:rFonts w:hint="eastAsia" w:asciiTheme="minorEastAsia" w:hAnsiTheme="minorEastAsia" w:cstheme="minorEastAsia"/>
          <w:sz w:val="18"/>
          <w:szCs w:val="18"/>
          <w:lang w:eastAsia="zh-CN"/>
        </w:rPr>
        <w:t>，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并将其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作为标志点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对标志点进行自动识别与匹配，将原始帧区分后交由相应解析器实现解析。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firstLine="420" w:firstLineChars="0"/>
        <w:jc w:val="left"/>
        <w:textAlignment w:val="auto"/>
        <w:rPr>
          <w:rFonts w:hint="eastAsia"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2.1-3 数据展示</w:t>
      </w: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kern w:val="2"/>
          <w:sz w:val="18"/>
          <w:szCs w:val="18"/>
        </w:rPr>
      </w:pPr>
      <w:r>
        <w:rPr>
          <w:rFonts w:hint="eastAsia" w:ascii="Calibri" w:hAnsi="Calibri" w:cs="Calibri"/>
          <w:kern w:val="2"/>
          <w:sz w:val="18"/>
          <w:szCs w:val="18"/>
          <w:lang w:val="en-US" w:eastAsia="zh-CN"/>
        </w:rPr>
        <w:t>数据可视化模块如图2.1-3所示，数据展示是指</w:t>
      </w:r>
      <w:r>
        <w:rPr>
          <w:rFonts w:ascii="Calibri" w:hAnsi="Calibri" w:cs="Calibri"/>
          <w:kern w:val="2"/>
          <w:sz w:val="18"/>
          <w:szCs w:val="18"/>
        </w:rPr>
        <w:t>对接收到的电站数据进行数据可视化，</w:t>
      </w:r>
      <w:r>
        <w:rPr>
          <w:rFonts w:hint="eastAsia" w:ascii="Calibri" w:hAnsi="Calibri" w:cs="Calibri"/>
          <w:kern w:val="2"/>
          <w:sz w:val="18"/>
          <w:szCs w:val="18"/>
          <w:lang w:val="en-US" w:eastAsia="zh-CN"/>
        </w:rPr>
        <w:t>展示部分主要</w:t>
      </w:r>
      <w:r>
        <w:rPr>
          <w:rFonts w:ascii="Calibri" w:hAnsi="Calibri" w:cs="Calibri"/>
          <w:kern w:val="2"/>
          <w:sz w:val="18"/>
          <w:szCs w:val="18"/>
        </w:rPr>
        <w:t>分为电站中心，运维中心，展示中心，报表中心。</w:t>
      </w: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kern w:val="2"/>
          <w:sz w:val="18"/>
          <w:szCs w:val="18"/>
        </w:rPr>
      </w:pPr>
      <w:r>
        <w:rPr>
          <w:rFonts w:hint="eastAsia" w:ascii="Calibri"/>
          <w:sz w:val="28"/>
          <w:szCs w:val="28"/>
        </w:rPr>
        <w:pict>
          <v:shape id="_x0000_s1031" o:spid="_x0000_s1031" o:spt="75" type="#_x0000_t75" style="position:absolute;left:0pt;margin-left:44pt;margin-top:9.7pt;height:130.7pt;width:339pt;mso-wrap-distance-left:9pt;mso-wrap-distance-right:9pt;z-index:-251653120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11" o:title=""/>
            <o:lock v:ext="edit" aspectratio="f"/>
            <w10:wrap type="tight"/>
          </v:shape>
          <o:OLEObject Type="Embed" ProgID="Visio.Drawing.15" ShapeID="_x0000_s1031" DrawAspect="Content" ObjectID="_1468075728" r:id="rId10">
            <o:LockedField>false</o:LockedField>
          </o:OLEObject>
        </w:pict>
      </w: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kern w:val="2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840" w:leftChars="0" w:firstLine="420" w:firstLineChars="0"/>
        <w:textAlignment w:val="auto"/>
        <w:rPr>
          <w:rFonts w:ascii="Calibri" w:hAnsi="Calibri" w:cs="Calibri"/>
          <w:kern w:val="2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textAlignment w:val="auto"/>
        <w:rPr>
          <w:rFonts w:ascii="Calibri" w:hAnsi="Calibri" w:cs="Calibri"/>
          <w:kern w:val="2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textAlignment w:val="auto"/>
        <w:rPr>
          <w:rFonts w:ascii="Calibri" w:hAnsi="Calibri" w:cs="Calibri"/>
          <w:kern w:val="2"/>
          <w:sz w:val="18"/>
          <w:szCs w:val="18"/>
        </w:rPr>
      </w:pPr>
    </w:p>
    <w:p>
      <w:pPr>
        <w:pStyle w:val="1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3360" w:leftChars="0" w:firstLine="420" w:firstLineChars="0"/>
        <w:textAlignment w:val="auto"/>
        <w:rPr>
          <w:rFonts w:hint="default" w:ascii="Calibri" w:hAnsi="Calibri" w:eastAsia="宋体" w:cs="Calibri"/>
          <w:kern w:val="2"/>
          <w:sz w:val="18"/>
          <w:szCs w:val="18"/>
          <w:lang w:val="en-US" w:eastAsia="zh-CN"/>
        </w:rPr>
      </w:pPr>
      <w:r>
        <w:rPr>
          <w:rFonts w:hint="eastAsia" w:ascii="Calibri" w:hAnsi="Calibri" w:cs="Calibri"/>
          <w:kern w:val="2"/>
          <w:sz w:val="18"/>
          <w:szCs w:val="18"/>
          <w:lang w:val="en-US" w:eastAsia="zh-CN"/>
        </w:rPr>
        <w:t>图2.1-3</w:t>
      </w:r>
    </w:p>
    <w:p>
      <w:pPr>
        <w:pStyle w:val="9"/>
        <w:ind w:firstLine="420"/>
        <w:jc w:val="left"/>
        <w:rPr>
          <w:rFonts w:hint="eastAsia"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2.</w:t>
      </w:r>
      <w:r>
        <w:rPr>
          <w:rFonts w:hint="eastAsia" w:ascii="黑体" w:hAnsi="黑体" w:eastAsia="黑体"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/>
          <w:sz w:val="21"/>
          <w:szCs w:val="21"/>
        </w:rPr>
        <w:t xml:space="preserve"> 系统界面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1.登录界面</w:t>
      </w:r>
      <w:r>
        <w:rPr>
          <w:rFonts w:hint="eastAsia"/>
          <w:lang w:val="en-US" w:eastAsia="zh-CN"/>
        </w:rPr>
        <w:t>如图2.2-1所示</w:t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560070</wp:posOffset>
            </wp:positionH>
            <wp:positionV relativeFrom="paragraph">
              <wp:posOffset>86360</wp:posOffset>
            </wp:positionV>
            <wp:extent cx="3346450" cy="1656080"/>
            <wp:effectExtent l="0" t="0" r="31750" b="33020"/>
            <wp:wrapSquare wrapText="bothSides"/>
            <wp:docPr id="20" name="图片 22" descr="QQ图片2019041716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QQ图片201904171603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25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图2.2-1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2.电站中心</w:t>
      </w:r>
      <w:r>
        <w:rPr>
          <w:rFonts w:hint="eastAsia"/>
          <w:lang w:val="en-US" w:eastAsia="zh-CN"/>
        </w:rPr>
        <w:t>如图2.2-2所示</w:t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553720</wp:posOffset>
            </wp:positionH>
            <wp:positionV relativeFrom="paragraph">
              <wp:posOffset>158115</wp:posOffset>
            </wp:positionV>
            <wp:extent cx="3345815" cy="1666240"/>
            <wp:effectExtent l="0" t="0" r="19685" b="10160"/>
            <wp:wrapSquare wrapText="bothSides"/>
            <wp:docPr id="21" name="图片 23" descr="电站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 descr="电站中心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25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图2.2-2</w:t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3.运维中心</w:t>
      </w:r>
      <w:r>
        <w:rPr>
          <w:rFonts w:hint="eastAsia"/>
          <w:lang w:val="en-US" w:eastAsia="zh-CN"/>
        </w:rPr>
        <w:t>如图2.2-3所示</w:t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69215</wp:posOffset>
            </wp:positionV>
            <wp:extent cx="3295650" cy="1629410"/>
            <wp:effectExtent l="19050" t="0" r="0" b="0"/>
            <wp:wrapSquare wrapText="bothSides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25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图2.2-3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4.报表中心</w:t>
      </w:r>
      <w:r>
        <w:rPr>
          <w:rFonts w:hint="eastAsia"/>
          <w:lang w:val="en-US" w:eastAsia="zh-CN"/>
        </w:rPr>
        <w:t>如图2.2-4所示</w:t>
      </w:r>
    </w:p>
    <w:p>
      <w:pPr>
        <w:rPr>
          <w:rFonts w:hint="eastAsia"/>
        </w:rPr>
      </w:pPr>
      <w: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527050</wp:posOffset>
            </wp:positionH>
            <wp:positionV relativeFrom="paragraph">
              <wp:posOffset>101600</wp:posOffset>
            </wp:positionV>
            <wp:extent cx="3260090" cy="1603375"/>
            <wp:effectExtent l="19050" t="0" r="0" b="0"/>
            <wp:wrapSquare wrapText="bothSides"/>
            <wp:docPr id="23" name="图片 25" descr="报表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 descr="报表中心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25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图2.2-4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5.展示中心</w:t>
      </w:r>
      <w:r>
        <w:rPr>
          <w:rFonts w:hint="eastAsia"/>
          <w:lang w:val="en-US" w:eastAsia="zh-CN"/>
        </w:rPr>
        <w:t>如图2.2-5所示</w:t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508635</wp:posOffset>
            </wp:positionH>
            <wp:positionV relativeFrom="paragraph">
              <wp:posOffset>79375</wp:posOffset>
            </wp:positionV>
            <wp:extent cx="3286125" cy="1617345"/>
            <wp:effectExtent l="19050" t="0" r="9525" b="0"/>
            <wp:wrapSquare wrapText="bothSides"/>
            <wp:docPr id="24" name="图片 26" descr="QQ图片2019040817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 descr="QQ图片201904081708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25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图2.2-5</w:t>
      </w:r>
    </w:p>
    <w:p/>
    <w:p>
      <w:pPr>
        <w:pStyle w:val="11"/>
        <w:spacing w:beforeLines="50" w:afterLines="50" w:line="360" w:lineRule="auto"/>
        <w:ind w:firstLine="420"/>
        <w:jc w:val="lef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</w:rPr>
        <w:t>3.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总结与体会</w:t>
      </w:r>
    </w:p>
    <w:p>
      <w:pPr>
        <w:widowControl/>
        <w:shd w:val="clear" w:color="auto" w:fill="FFFFFF"/>
        <w:spacing w:line="185" w:lineRule="atLeast"/>
        <w:ind w:left="420" w:leftChars="0" w:firstLine="420" w:firstLineChars="0"/>
        <w:jc w:val="left"/>
        <w:rPr>
          <w:szCs w:val="21"/>
        </w:rPr>
      </w:pPr>
      <w:r>
        <w:rPr>
          <w:rFonts w:hint="eastAsia" w:asciiTheme="minorEastAsia" w:hAnsiTheme="minorEastAsia"/>
          <w:sz w:val="18"/>
          <w:szCs w:val="18"/>
          <w:lang w:val="en-US" w:eastAsia="zh-CN"/>
        </w:rPr>
        <w:t>光伏发电研究有利于充分利用数字信息化技术，解决行业运行、维护和管理困难等问题；</w:t>
      </w:r>
      <w:r>
        <w:rPr>
          <w:rFonts w:hint="eastAsia" w:asciiTheme="minorEastAsia" w:hAnsiTheme="minorEastAsia"/>
          <w:sz w:val="18"/>
          <w:szCs w:val="18"/>
        </w:rPr>
        <w:t>符合以低碳为理念的能源发展战略，</w:t>
      </w:r>
      <w:r>
        <w:rPr>
          <w:rFonts w:hint="eastAsia" w:asciiTheme="minorEastAsia" w:hAnsiTheme="minorEastAsia"/>
          <w:sz w:val="18"/>
          <w:szCs w:val="18"/>
          <w:lang w:val="en-US" w:eastAsia="zh-CN"/>
        </w:rPr>
        <w:t>有利于解决我国当前的能源供应问题；同时也有利于通过利用光伏等清洁能源,实现光伏养老、光伏脱贫。</w:t>
      </w:r>
    </w:p>
    <w:p>
      <w:pPr>
        <w:spacing w:beforeLines="50" w:afterLines="50" w:line="360" w:lineRule="auto"/>
        <w:ind w:firstLine="360" w:firstLineChars="200"/>
        <w:jc w:val="center"/>
        <w:rPr>
          <w:rFonts w:hint="eastAsia" w:ascii="黑体" w:eastAsia="黑体"/>
          <w:sz w:val="18"/>
          <w:szCs w:val="18"/>
        </w:rPr>
      </w:pPr>
    </w:p>
    <w:p>
      <w:pPr>
        <w:spacing w:beforeLines="50" w:afterLines="50" w:line="360" w:lineRule="auto"/>
        <w:ind w:firstLine="360" w:firstLineChars="200"/>
        <w:jc w:val="center"/>
        <w:rPr>
          <w:rFonts w:hint="eastAsia" w:asciiTheme="minorEastAsia" w:hAnsiTheme="minorEastAsia"/>
          <w:sz w:val="18"/>
          <w:szCs w:val="18"/>
        </w:rPr>
      </w:pPr>
      <w:bookmarkStart w:id="1" w:name="_GoBack"/>
      <w:bookmarkEnd w:id="1"/>
      <w:r>
        <w:rPr>
          <w:rFonts w:hint="eastAsia" w:ascii="黑体" w:eastAsia="黑体"/>
          <w:sz w:val="18"/>
          <w:szCs w:val="18"/>
        </w:rPr>
        <w:t xml:space="preserve"> [参  考  文  献]</w:t>
      </w:r>
    </w:p>
    <w:p>
      <w:pPr>
        <w:spacing w:beforeLines="50" w:afterLines="50" w:line="360" w:lineRule="auto"/>
        <w:ind w:firstLine="360" w:firstLineChars="200"/>
        <w:jc w:val="left"/>
        <w:rPr>
          <w:rFonts w:hint="eastAsia"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[1]李春曦,王佳,叶学民,喻桥.我国新能源发展现状及前景[J].电力科学与工程,2012,28(04):1-8.</w:t>
      </w:r>
    </w:p>
    <w:p>
      <w:pPr>
        <w:spacing w:beforeLines="50" w:afterLines="50" w:line="360" w:lineRule="auto"/>
        <w:ind w:firstLine="360" w:firstLineChars="200"/>
        <w:jc w:val="left"/>
        <w:rPr>
          <w:rFonts w:hint="eastAsia"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[2]刘东冉,陈树勇,马敏,王皓怀,侯俊贤,马世英.光伏发电系统模型综述[J].电网技术,2011,35(08):47-52.</w:t>
      </w:r>
    </w:p>
    <w:p>
      <w:pPr>
        <w:spacing w:beforeLines="50" w:afterLines="50" w:line="360" w:lineRule="auto"/>
        <w:ind w:firstLine="360" w:firstLineChars="200"/>
        <w:jc w:val="left"/>
        <w:rPr>
          <w:rFonts w:hint="eastAsia"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[3]孔娟. 太阳能光伏发电系统的研究[D].青岛大学,2006.</w:t>
      </w:r>
    </w:p>
    <w:p>
      <w:pPr>
        <w:spacing w:beforeLines="50" w:afterLines="50" w:line="360" w:lineRule="auto"/>
        <w:ind w:firstLine="360" w:firstLineChars="200"/>
        <w:jc w:val="left"/>
        <w:rPr>
          <w:rFonts w:hint="eastAsia"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[4]赵为. 太阳能光伏并网发电系统的研究[D].合肥工业大学,2003.</w:t>
      </w:r>
    </w:p>
    <w:p>
      <w:pPr>
        <w:spacing w:beforeLines="50" w:afterLines="50" w:line="360" w:lineRule="auto"/>
        <w:ind w:firstLine="360" w:firstLineChars="200"/>
        <w:jc w:val="left"/>
        <w:rPr>
          <w:rFonts w:asciiTheme="minorEastAsia" w:hAnsiTheme="minorEastAsia"/>
          <w:sz w:val="18"/>
          <w:szCs w:val="18"/>
        </w:rPr>
      </w:pPr>
    </w:p>
    <w:p>
      <w:pPr>
        <w:spacing w:beforeLines="50" w:afterLines="50" w:line="360" w:lineRule="auto"/>
        <w:ind w:firstLine="360" w:firstLineChars="20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作者简介</w:t>
      </w:r>
      <w:r>
        <w:rPr>
          <w:rFonts w:hint="eastAsia" w:asciiTheme="minorEastAsia" w:hAnsiTheme="minorEastAsia"/>
          <w:sz w:val="18"/>
          <w:szCs w:val="18"/>
        </w:rPr>
        <w:t>：</w:t>
      </w:r>
      <w:r>
        <w:rPr>
          <w:rFonts w:asciiTheme="minorEastAsia" w:hAnsiTheme="minorEastAsia"/>
          <w:sz w:val="18"/>
          <w:szCs w:val="18"/>
        </w:rPr>
        <w:t>邹芷君</w:t>
      </w:r>
      <w:r>
        <w:rPr>
          <w:rFonts w:hint="eastAsia" w:asciiTheme="minorEastAsia" w:hAnsiTheme="minorEastAsia"/>
          <w:sz w:val="18"/>
          <w:szCs w:val="18"/>
        </w:rPr>
        <w:t>（1998.08.01， 性别：女， 籍贯：湖北黄冈,  单位：湖北文理学院,  职称：在校大四学生,  研究方向：光伏发电。</w:t>
      </w:r>
    </w:p>
    <w:p>
      <w:pPr>
        <w:spacing w:beforeLines="50" w:afterLines="50" w:line="360" w:lineRule="auto"/>
        <w:ind w:firstLine="360" w:firstLineChars="200"/>
        <w:jc w:val="left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详细地址：湖北省襄阳市襄城区隆中街道隆中路296号湖北文理学院新区21栋704</w:t>
      </w:r>
    </w:p>
    <w:p>
      <w:pPr>
        <w:spacing w:beforeLines="50" w:afterLines="50" w:line="360" w:lineRule="auto"/>
        <w:ind w:firstLine="360" w:firstLineChars="200"/>
        <w:jc w:val="left"/>
        <w:rPr>
          <w:rFonts w:hint="eastAsia"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联系电话：18871013582</w:t>
      </w:r>
    </w:p>
    <w:p>
      <w:pPr>
        <w:spacing w:beforeLines="50" w:afterLines="50" w:line="360" w:lineRule="auto"/>
        <w:ind w:firstLine="360" w:firstLineChars="200"/>
        <w:jc w:val="left"/>
        <w:rPr>
          <w:rFonts w:hint="eastAsia" w:asciiTheme="minorEastAsia" w:hAnsiTheme="minorEastAsia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F723BF"/>
    <w:multiLevelType w:val="multilevel"/>
    <w:tmpl w:val="1EF723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1CA"/>
    <w:rsid w:val="00003353"/>
    <w:rsid w:val="000105EA"/>
    <w:rsid w:val="00012AC4"/>
    <w:rsid w:val="00013E20"/>
    <w:rsid w:val="0001748E"/>
    <w:rsid w:val="00020FCF"/>
    <w:rsid w:val="000427DB"/>
    <w:rsid w:val="0006692B"/>
    <w:rsid w:val="000701FB"/>
    <w:rsid w:val="000750DC"/>
    <w:rsid w:val="00075579"/>
    <w:rsid w:val="00077315"/>
    <w:rsid w:val="0009552B"/>
    <w:rsid w:val="000962B1"/>
    <w:rsid w:val="000B3C46"/>
    <w:rsid w:val="000C0270"/>
    <w:rsid w:val="000C04BF"/>
    <w:rsid w:val="000D3531"/>
    <w:rsid w:val="000E795D"/>
    <w:rsid w:val="001046E3"/>
    <w:rsid w:val="00111640"/>
    <w:rsid w:val="0012363F"/>
    <w:rsid w:val="00124FE8"/>
    <w:rsid w:val="00125862"/>
    <w:rsid w:val="00125C6C"/>
    <w:rsid w:val="00135078"/>
    <w:rsid w:val="00135BE1"/>
    <w:rsid w:val="00154159"/>
    <w:rsid w:val="0016388E"/>
    <w:rsid w:val="00166E1B"/>
    <w:rsid w:val="00170EFA"/>
    <w:rsid w:val="001778A4"/>
    <w:rsid w:val="0018141B"/>
    <w:rsid w:val="00183BC0"/>
    <w:rsid w:val="001953F3"/>
    <w:rsid w:val="00196DA2"/>
    <w:rsid w:val="001A0BC2"/>
    <w:rsid w:val="001B0057"/>
    <w:rsid w:val="001B1E4E"/>
    <w:rsid w:val="001C11DE"/>
    <w:rsid w:val="001C2DA8"/>
    <w:rsid w:val="001C7228"/>
    <w:rsid w:val="001E1126"/>
    <w:rsid w:val="001E29AC"/>
    <w:rsid w:val="001E6EB3"/>
    <w:rsid w:val="001E76A4"/>
    <w:rsid w:val="001F4FA9"/>
    <w:rsid w:val="001F5565"/>
    <w:rsid w:val="002027F1"/>
    <w:rsid w:val="0021704F"/>
    <w:rsid w:val="00222528"/>
    <w:rsid w:val="00227D13"/>
    <w:rsid w:val="002372ED"/>
    <w:rsid w:val="002563CE"/>
    <w:rsid w:val="00257DB5"/>
    <w:rsid w:val="00265D9B"/>
    <w:rsid w:val="00274399"/>
    <w:rsid w:val="00280929"/>
    <w:rsid w:val="002823E0"/>
    <w:rsid w:val="00283546"/>
    <w:rsid w:val="002850B1"/>
    <w:rsid w:val="00293F79"/>
    <w:rsid w:val="00294A2A"/>
    <w:rsid w:val="002A0BCB"/>
    <w:rsid w:val="002A2A49"/>
    <w:rsid w:val="002A2E84"/>
    <w:rsid w:val="002B709A"/>
    <w:rsid w:val="002C1EF8"/>
    <w:rsid w:val="002C35B7"/>
    <w:rsid w:val="002C6622"/>
    <w:rsid w:val="002C7B59"/>
    <w:rsid w:val="002D578F"/>
    <w:rsid w:val="002D7555"/>
    <w:rsid w:val="002E1A00"/>
    <w:rsid w:val="002E27E2"/>
    <w:rsid w:val="002F2AAB"/>
    <w:rsid w:val="00306414"/>
    <w:rsid w:val="003076E6"/>
    <w:rsid w:val="00310B50"/>
    <w:rsid w:val="0031141E"/>
    <w:rsid w:val="003123AB"/>
    <w:rsid w:val="00324BCE"/>
    <w:rsid w:val="00324D90"/>
    <w:rsid w:val="00330082"/>
    <w:rsid w:val="00330513"/>
    <w:rsid w:val="00334E27"/>
    <w:rsid w:val="003455C3"/>
    <w:rsid w:val="003527C9"/>
    <w:rsid w:val="0036565B"/>
    <w:rsid w:val="00371115"/>
    <w:rsid w:val="003723E7"/>
    <w:rsid w:val="00380853"/>
    <w:rsid w:val="00387231"/>
    <w:rsid w:val="003B5A7C"/>
    <w:rsid w:val="003B7B14"/>
    <w:rsid w:val="003C46FF"/>
    <w:rsid w:val="003D4B64"/>
    <w:rsid w:val="003F25A8"/>
    <w:rsid w:val="003F4CDC"/>
    <w:rsid w:val="003F7901"/>
    <w:rsid w:val="004171B8"/>
    <w:rsid w:val="00424836"/>
    <w:rsid w:val="004275C2"/>
    <w:rsid w:val="004421CA"/>
    <w:rsid w:val="00460D1B"/>
    <w:rsid w:val="0046287C"/>
    <w:rsid w:val="0046349D"/>
    <w:rsid w:val="00475CB1"/>
    <w:rsid w:val="00480C97"/>
    <w:rsid w:val="0049607D"/>
    <w:rsid w:val="0049666D"/>
    <w:rsid w:val="004A32CF"/>
    <w:rsid w:val="004B2BA8"/>
    <w:rsid w:val="004B3333"/>
    <w:rsid w:val="004B735A"/>
    <w:rsid w:val="004B787A"/>
    <w:rsid w:val="004C169E"/>
    <w:rsid w:val="004C3508"/>
    <w:rsid w:val="004D096D"/>
    <w:rsid w:val="004D4678"/>
    <w:rsid w:val="004E121D"/>
    <w:rsid w:val="004E52E2"/>
    <w:rsid w:val="00505346"/>
    <w:rsid w:val="005102F3"/>
    <w:rsid w:val="00515454"/>
    <w:rsid w:val="00523BAB"/>
    <w:rsid w:val="00526961"/>
    <w:rsid w:val="00530DC3"/>
    <w:rsid w:val="00545064"/>
    <w:rsid w:val="00552652"/>
    <w:rsid w:val="00554188"/>
    <w:rsid w:val="0056128A"/>
    <w:rsid w:val="0056420E"/>
    <w:rsid w:val="00570180"/>
    <w:rsid w:val="00572E7D"/>
    <w:rsid w:val="00580F76"/>
    <w:rsid w:val="00590774"/>
    <w:rsid w:val="00592C43"/>
    <w:rsid w:val="005932F7"/>
    <w:rsid w:val="00593F6D"/>
    <w:rsid w:val="005A31A6"/>
    <w:rsid w:val="005A694F"/>
    <w:rsid w:val="005B7E26"/>
    <w:rsid w:val="005C3B58"/>
    <w:rsid w:val="005E0A16"/>
    <w:rsid w:val="005E2694"/>
    <w:rsid w:val="005E2824"/>
    <w:rsid w:val="005E3A7D"/>
    <w:rsid w:val="005E4905"/>
    <w:rsid w:val="005E5242"/>
    <w:rsid w:val="005F1678"/>
    <w:rsid w:val="006016B7"/>
    <w:rsid w:val="006100D4"/>
    <w:rsid w:val="00613099"/>
    <w:rsid w:val="0063446D"/>
    <w:rsid w:val="00634C4A"/>
    <w:rsid w:val="0063591B"/>
    <w:rsid w:val="006367BE"/>
    <w:rsid w:val="00647BDF"/>
    <w:rsid w:val="00654D55"/>
    <w:rsid w:val="006550AF"/>
    <w:rsid w:val="00660D3B"/>
    <w:rsid w:val="00670160"/>
    <w:rsid w:val="00670BB0"/>
    <w:rsid w:val="00677CD2"/>
    <w:rsid w:val="0069407C"/>
    <w:rsid w:val="006A22C1"/>
    <w:rsid w:val="006A3177"/>
    <w:rsid w:val="006A60BE"/>
    <w:rsid w:val="006B3480"/>
    <w:rsid w:val="006C0104"/>
    <w:rsid w:val="006C3AED"/>
    <w:rsid w:val="006D4512"/>
    <w:rsid w:val="006E232D"/>
    <w:rsid w:val="00702372"/>
    <w:rsid w:val="0070376D"/>
    <w:rsid w:val="00703974"/>
    <w:rsid w:val="00711929"/>
    <w:rsid w:val="00732150"/>
    <w:rsid w:val="00744C03"/>
    <w:rsid w:val="007508ED"/>
    <w:rsid w:val="00751C0C"/>
    <w:rsid w:val="007576E4"/>
    <w:rsid w:val="00773A37"/>
    <w:rsid w:val="00780452"/>
    <w:rsid w:val="007814D4"/>
    <w:rsid w:val="007826AD"/>
    <w:rsid w:val="00792A24"/>
    <w:rsid w:val="007A532F"/>
    <w:rsid w:val="007B350E"/>
    <w:rsid w:val="007C09F0"/>
    <w:rsid w:val="007C4D60"/>
    <w:rsid w:val="007D3C5E"/>
    <w:rsid w:val="007E2085"/>
    <w:rsid w:val="007E26B4"/>
    <w:rsid w:val="0080690D"/>
    <w:rsid w:val="008162DA"/>
    <w:rsid w:val="00816A7D"/>
    <w:rsid w:val="008176B2"/>
    <w:rsid w:val="00820725"/>
    <w:rsid w:val="00831BD9"/>
    <w:rsid w:val="0083325E"/>
    <w:rsid w:val="00835577"/>
    <w:rsid w:val="008373E0"/>
    <w:rsid w:val="00856EA4"/>
    <w:rsid w:val="00861AF5"/>
    <w:rsid w:val="008667F2"/>
    <w:rsid w:val="0086797D"/>
    <w:rsid w:val="008748C7"/>
    <w:rsid w:val="00875813"/>
    <w:rsid w:val="008770F3"/>
    <w:rsid w:val="00883524"/>
    <w:rsid w:val="00887C4C"/>
    <w:rsid w:val="008920E5"/>
    <w:rsid w:val="00892A3E"/>
    <w:rsid w:val="00895BE2"/>
    <w:rsid w:val="008A45C0"/>
    <w:rsid w:val="008C32FD"/>
    <w:rsid w:val="008D1072"/>
    <w:rsid w:val="008D2210"/>
    <w:rsid w:val="008D6C4F"/>
    <w:rsid w:val="008D6F9A"/>
    <w:rsid w:val="008E2F2D"/>
    <w:rsid w:val="008E5773"/>
    <w:rsid w:val="008F030D"/>
    <w:rsid w:val="008F2DFC"/>
    <w:rsid w:val="00904345"/>
    <w:rsid w:val="00916069"/>
    <w:rsid w:val="0092608F"/>
    <w:rsid w:val="00933CC0"/>
    <w:rsid w:val="009407DD"/>
    <w:rsid w:val="00942F32"/>
    <w:rsid w:val="00945895"/>
    <w:rsid w:val="00953589"/>
    <w:rsid w:val="009618F4"/>
    <w:rsid w:val="00975A6B"/>
    <w:rsid w:val="00983540"/>
    <w:rsid w:val="00995D9C"/>
    <w:rsid w:val="0099610E"/>
    <w:rsid w:val="009A2F75"/>
    <w:rsid w:val="009A312E"/>
    <w:rsid w:val="009A3A41"/>
    <w:rsid w:val="009A71FE"/>
    <w:rsid w:val="009B06A3"/>
    <w:rsid w:val="009D265D"/>
    <w:rsid w:val="009E0C52"/>
    <w:rsid w:val="009E1000"/>
    <w:rsid w:val="009F54EA"/>
    <w:rsid w:val="009F75DD"/>
    <w:rsid w:val="00A040E1"/>
    <w:rsid w:val="00A07AEB"/>
    <w:rsid w:val="00A1001E"/>
    <w:rsid w:val="00A163DB"/>
    <w:rsid w:val="00A245EA"/>
    <w:rsid w:val="00A32C60"/>
    <w:rsid w:val="00A33E11"/>
    <w:rsid w:val="00A35987"/>
    <w:rsid w:val="00A42EEA"/>
    <w:rsid w:val="00A4778C"/>
    <w:rsid w:val="00A67FE7"/>
    <w:rsid w:val="00A70F66"/>
    <w:rsid w:val="00A72696"/>
    <w:rsid w:val="00A910C1"/>
    <w:rsid w:val="00AA4FA1"/>
    <w:rsid w:val="00AB1473"/>
    <w:rsid w:val="00AB4B61"/>
    <w:rsid w:val="00AC1E7F"/>
    <w:rsid w:val="00AC20C1"/>
    <w:rsid w:val="00AC427E"/>
    <w:rsid w:val="00AD4D08"/>
    <w:rsid w:val="00AD4D52"/>
    <w:rsid w:val="00AE06BA"/>
    <w:rsid w:val="00AE57B2"/>
    <w:rsid w:val="00AE5DA0"/>
    <w:rsid w:val="00AF2D2B"/>
    <w:rsid w:val="00AF6DB1"/>
    <w:rsid w:val="00B05D80"/>
    <w:rsid w:val="00B07645"/>
    <w:rsid w:val="00B110BA"/>
    <w:rsid w:val="00B147FE"/>
    <w:rsid w:val="00B165A7"/>
    <w:rsid w:val="00B17C93"/>
    <w:rsid w:val="00B22371"/>
    <w:rsid w:val="00B2287E"/>
    <w:rsid w:val="00B243DD"/>
    <w:rsid w:val="00B4484E"/>
    <w:rsid w:val="00B45F54"/>
    <w:rsid w:val="00B50EDF"/>
    <w:rsid w:val="00B61968"/>
    <w:rsid w:val="00B63DB9"/>
    <w:rsid w:val="00B65918"/>
    <w:rsid w:val="00B74981"/>
    <w:rsid w:val="00B7526A"/>
    <w:rsid w:val="00B80440"/>
    <w:rsid w:val="00B81884"/>
    <w:rsid w:val="00B87CDE"/>
    <w:rsid w:val="00BD36D4"/>
    <w:rsid w:val="00BF602E"/>
    <w:rsid w:val="00BF72D4"/>
    <w:rsid w:val="00BF7BD8"/>
    <w:rsid w:val="00C01E64"/>
    <w:rsid w:val="00C330F7"/>
    <w:rsid w:val="00C332E5"/>
    <w:rsid w:val="00C5173B"/>
    <w:rsid w:val="00C76B30"/>
    <w:rsid w:val="00C76E2C"/>
    <w:rsid w:val="00C923DC"/>
    <w:rsid w:val="00C9411F"/>
    <w:rsid w:val="00CA1232"/>
    <w:rsid w:val="00CA19C6"/>
    <w:rsid w:val="00CA5B92"/>
    <w:rsid w:val="00CA5E42"/>
    <w:rsid w:val="00CB0C6B"/>
    <w:rsid w:val="00CB415B"/>
    <w:rsid w:val="00CC12A1"/>
    <w:rsid w:val="00CC5410"/>
    <w:rsid w:val="00CC74A4"/>
    <w:rsid w:val="00CC7FB9"/>
    <w:rsid w:val="00CE33A5"/>
    <w:rsid w:val="00CE506F"/>
    <w:rsid w:val="00D00108"/>
    <w:rsid w:val="00D12568"/>
    <w:rsid w:val="00D20C21"/>
    <w:rsid w:val="00D20F8C"/>
    <w:rsid w:val="00D2297A"/>
    <w:rsid w:val="00D24392"/>
    <w:rsid w:val="00D31B34"/>
    <w:rsid w:val="00D32FDA"/>
    <w:rsid w:val="00D3640C"/>
    <w:rsid w:val="00D51E4E"/>
    <w:rsid w:val="00D55A21"/>
    <w:rsid w:val="00D572E2"/>
    <w:rsid w:val="00D663D7"/>
    <w:rsid w:val="00D70D75"/>
    <w:rsid w:val="00D70DD1"/>
    <w:rsid w:val="00D9611D"/>
    <w:rsid w:val="00D97076"/>
    <w:rsid w:val="00DA0211"/>
    <w:rsid w:val="00DB320C"/>
    <w:rsid w:val="00DB3F6A"/>
    <w:rsid w:val="00DC1D6C"/>
    <w:rsid w:val="00DD5857"/>
    <w:rsid w:val="00DD63B9"/>
    <w:rsid w:val="00DF2060"/>
    <w:rsid w:val="00DF672B"/>
    <w:rsid w:val="00E02F5B"/>
    <w:rsid w:val="00E155B9"/>
    <w:rsid w:val="00E15F9C"/>
    <w:rsid w:val="00E16473"/>
    <w:rsid w:val="00E16BFE"/>
    <w:rsid w:val="00E205ED"/>
    <w:rsid w:val="00E400F0"/>
    <w:rsid w:val="00E42565"/>
    <w:rsid w:val="00E42D21"/>
    <w:rsid w:val="00E5016D"/>
    <w:rsid w:val="00E57AAC"/>
    <w:rsid w:val="00E6259D"/>
    <w:rsid w:val="00E64A59"/>
    <w:rsid w:val="00E6666F"/>
    <w:rsid w:val="00E67D17"/>
    <w:rsid w:val="00E75149"/>
    <w:rsid w:val="00E76C42"/>
    <w:rsid w:val="00E92A58"/>
    <w:rsid w:val="00E94A81"/>
    <w:rsid w:val="00EB0478"/>
    <w:rsid w:val="00EB1E5D"/>
    <w:rsid w:val="00EC6F01"/>
    <w:rsid w:val="00ED5966"/>
    <w:rsid w:val="00EF3419"/>
    <w:rsid w:val="00EF6986"/>
    <w:rsid w:val="00F064A0"/>
    <w:rsid w:val="00F0735E"/>
    <w:rsid w:val="00F2148D"/>
    <w:rsid w:val="00F221DF"/>
    <w:rsid w:val="00F375F0"/>
    <w:rsid w:val="00F4058E"/>
    <w:rsid w:val="00F4714C"/>
    <w:rsid w:val="00F47E39"/>
    <w:rsid w:val="00F5089E"/>
    <w:rsid w:val="00F55387"/>
    <w:rsid w:val="00F55B3B"/>
    <w:rsid w:val="00F56E89"/>
    <w:rsid w:val="00F615DE"/>
    <w:rsid w:val="00F756EC"/>
    <w:rsid w:val="00F80974"/>
    <w:rsid w:val="00F87DEA"/>
    <w:rsid w:val="00F9184E"/>
    <w:rsid w:val="00F948C4"/>
    <w:rsid w:val="00F96546"/>
    <w:rsid w:val="00FB228C"/>
    <w:rsid w:val="00FB2CB6"/>
    <w:rsid w:val="00FB6977"/>
    <w:rsid w:val="00FC5F5A"/>
    <w:rsid w:val="00FC7ED2"/>
    <w:rsid w:val="00FD06B6"/>
    <w:rsid w:val="00FD26DB"/>
    <w:rsid w:val="00FD26FA"/>
    <w:rsid w:val="00FD7A65"/>
    <w:rsid w:val="00FE3E5D"/>
    <w:rsid w:val="00FF02E6"/>
    <w:rsid w:val="00FF27A6"/>
    <w:rsid w:val="03410BC3"/>
    <w:rsid w:val="08DE365C"/>
    <w:rsid w:val="0B8B7DE0"/>
    <w:rsid w:val="0E9533D2"/>
    <w:rsid w:val="1394194F"/>
    <w:rsid w:val="164E51FC"/>
    <w:rsid w:val="19B83B42"/>
    <w:rsid w:val="27110C0D"/>
    <w:rsid w:val="2A7148DA"/>
    <w:rsid w:val="2D504949"/>
    <w:rsid w:val="31452101"/>
    <w:rsid w:val="33181DDB"/>
    <w:rsid w:val="36AA4E9C"/>
    <w:rsid w:val="48EF31A9"/>
    <w:rsid w:val="4A7F3998"/>
    <w:rsid w:val="4E0114E0"/>
    <w:rsid w:val="4E8E4A49"/>
    <w:rsid w:val="574413B0"/>
    <w:rsid w:val="5A5554E5"/>
    <w:rsid w:val="733671FF"/>
    <w:rsid w:val="76194FA4"/>
    <w:rsid w:val="775E4555"/>
    <w:rsid w:val="778136C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qFormat/>
    <w:uiPriority w:val="99"/>
    <w:pPr>
      <w:jc w:val="left"/>
    </w:pPr>
  </w:style>
  <w:style w:type="paragraph" w:styleId="5">
    <w:name w:val="endnote text"/>
    <w:basedOn w:val="1"/>
    <w:link w:val="24"/>
    <w:semiHidden/>
    <w:uiPriority w:val="0"/>
    <w:pPr>
      <w:snapToGrid w:val="0"/>
      <w:jc w:val="left"/>
    </w:pPr>
    <w:rPr>
      <w:rFonts w:ascii="Times New Roman" w:hAnsi="Times New Roman" w:eastAsia="宋体" w:cs="Times New Roman"/>
      <w:szCs w:val="24"/>
    </w:rPr>
  </w:style>
  <w:style w:type="paragraph" w:styleId="6">
    <w:name w:val="Balloon Text"/>
    <w:basedOn w:val="1"/>
    <w:link w:val="26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Subtitle"/>
    <w:basedOn w:val="1"/>
    <w:next w:val="1"/>
    <w:link w:val="22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semiHidden/>
    <w:unhideWhenUsed/>
    <w:qFormat/>
    <w:uiPriority w:val="99"/>
    <w:rPr>
      <w:color w:val="0000FF"/>
      <w:u w:val="single"/>
    </w:rPr>
  </w:style>
  <w:style w:type="character" w:styleId="16">
    <w:name w:val="annotation reference"/>
    <w:basedOn w:val="13"/>
    <w:semiHidden/>
    <w:unhideWhenUsed/>
    <w:qFormat/>
    <w:uiPriority w:val="99"/>
    <w:rPr>
      <w:sz w:val="21"/>
      <w:szCs w:val="21"/>
    </w:rPr>
  </w:style>
  <w:style w:type="character" w:customStyle="1" w:styleId="17">
    <w:name w:val="页眉 Char"/>
    <w:basedOn w:val="13"/>
    <w:link w:val="8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3"/>
    <w:link w:val="7"/>
    <w:semiHidden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Char"/>
    <w:basedOn w:val="13"/>
    <w:link w:val="1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2">
    <w:name w:val="副标题 Char"/>
    <w:basedOn w:val="13"/>
    <w:link w:val="9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23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4">
    <w:name w:val="尾注文本 Char"/>
    <w:basedOn w:val="13"/>
    <w:link w:val="5"/>
    <w:semiHidden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25">
    <w:name w:val="sr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6">
    <w:name w:val="批注框文本 Char"/>
    <w:basedOn w:val="13"/>
    <w:link w:val="6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7"/>
    <customShpInfo spid="_x0000_s1032"/>
    <customShpInfo spid="_x0000_s103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CBF9C8-C5EC-4FA9-9139-32803A9405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451</Words>
  <Characters>2575</Characters>
  <Lines>21</Lines>
  <Paragraphs>6</Paragraphs>
  <TotalTime>37</TotalTime>
  <ScaleCrop>false</ScaleCrop>
  <LinksUpToDate>false</LinksUpToDate>
  <CharactersWithSpaces>3020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2019-04-02T12:59:00Z</dcterms:created>
  <dc:creator>ASUS</dc:creator>
  <cp:lastModifiedBy>飞花絮语</cp:lastModifiedBy>
  <dcterms:modified xsi:type="dcterms:W3CDTF">2020-02-19T05:55:56Z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