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3CC46" w14:textId="77777777" w:rsidR="00BF070D" w:rsidRDefault="003D47A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翻转课堂模式下多种教学方法在基础护理实</w:t>
      </w:r>
      <w:proofErr w:type="gramStart"/>
      <w:r>
        <w:rPr>
          <w:rFonts w:asciiTheme="minorEastAsia" w:eastAsiaTheme="minorEastAsia" w:hAnsiTheme="minorEastAsia" w:hint="eastAsia"/>
          <w:b/>
          <w:sz w:val="28"/>
          <w:szCs w:val="28"/>
        </w:rPr>
        <w:t>训教学</w:t>
      </w:r>
      <w:proofErr w:type="gramEnd"/>
      <w:r>
        <w:rPr>
          <w:rFonts w:asciiTheme="minorEastAsia" w:eastAsiaTheme="minorEastAsia" w:hAnsiTheme="minorEastAsia" w:hint="eastAsia"/>
          <w:b/>
          <w:sz w:val="28"/>
          <w:szCs w:val="28"/>
        </w:rPr>
        <w:t>中的应用研究</w:t>
      </w:r>
    </w:p>
    <w:p w14:paraId="58131F41" w14:textId="735E699F" w:rsidR="001408BD" w:rsidRDefault="001408BD" w:rsidP="001408BD">
      <w:pPr>
        <w:ind w:firstLineChars="150" w:firstLine="36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黄丽群 陕西中医药大学 </w:t>
      </w:r>
      <w:r>
        <w:rPr>
          <w:rFonts w:asciiTheme="minorEastAsia" w:eastAsiaTheme="minorEastAsia" w:hAnsiTheme="minorEastAsia"/>
          <w:sz w:val="24"/>
          <w:szCs w:val="24"/>
        </w:rPr>
        <w:t>712046</w:t>
      </w:r>
    </w:p>
    <w:p w14:paraId="621047CF" w14:textId="2C79CF51"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《基础护理学》是护理学专业课程体系中最基本、最重要的课程，是护生学习临床护理专业课的必备基础课程。《基础护理学》的教学目标是以护</w:t>
      </w:r>
      <w:proofErr w:type="gramStart"/>
      <w:r w:rsidRPr="001408BD">
        <w:rPr>
          <w:rFonts w:asciiTheme="minorEastAsia" w:eastAsiaTheme="minorEastAsia" w:hAnsiTheme="minorEastAsia" w:hint="eastAsia"/>
          <w:sz w:val="24"/>
          <w:szCs w:val="24"/>
        </w:rPr>
        <w:t>生良好</w:t>
      </w:r>
      <w:proofErr w:type="gramEnd"/>
      <w:r w:rsidRPr="001408BD">
        <w:rPr>
          <w:rFonts w:asciiTheme="minorEastAsia" w:eastAsiaTheme="minorEastAsia" w:hAnsiTheme="minorEastAsia" w:hint="eastAsia"/>
          <w:sz w:val="24"/>
          <w:szCs w:val="24"/>
        </w:rPr>
        <w:t>的职业道德和职业情感养成为核心，使护</w:t>
      </w:r>
      <w:proofErr w:type="gramStart"/>
      <w:r w:rsidRPr="001408BD">
        <w:rPr>
          <w:rFonts w:asciiTheme="minorEastAsia" w:eastAsiaTheme="minorEastAsia" w:hAnsiTheme="minorEastAsia" w:hint="eastAsia"/>
          <w:sz w:val="24"/>
          <w:szCs w:val="24"/>
        </w:rPr>
        <w:t>生掌握</w:t>
      </w:r>
      <w:proofErr w:type="gramEnd"/>
      <w:r w:rsidRPr="001408BD">
        <w:rPr>
          <w:rFonts w:asciiTheme="minorEastAsia" w:eastAsiaTheme="minorEastAsia" w:hAnsiTheme="minorEastAsia" w:hint="eastAsia"/>
          <w:sz w:val="24"/>
          <w:szCs w:val="24"/>
        </w:rPr>
        <w:t>护理实践中的基本理论、基础知识、基本技能，并能运用护理程序的工作方法，将所学的理论、知识、技</w:t>
      </w:r>
      <w:bookmarkStart w:id="0" w:name="_GoBack"/>
      <w:bookmarkEnd w:id="0"/>
      <w:r w:rsidRPr="001408BD">
        <w:rPr>
          <w:rFonts w:asciiTheme="minorEastAsia" w:eastAsiaTheme="minorEastAsia" w:hAnsiTheme="minorEastAsia" w:hint="eastAsia"/>
          <w:sz w:val="24"/>
          <w:szCs w:val="24"/>
        </w:rPr>
        <w:t>能灵活运用到临床护理实践中去，并在此过程中培养学生发现问题、分析问题、解决问题的能力及独立思考和评判性思维的能力。由此可见，《基础护理学》</w:t>
      </w:r>
      <w:r w:rsidRPr="001408BD">
        <w:rPr>
          <w:rFonts w:asciiTheme="minorEastAsia" w:eastAsiaTheme="minorEastAsia" w:hAnsiTheme="minorEastAsia"/>
          <w:sz w:val="24"/>
          <w:szCs w:val="24"/>
        </w:rPr>
        <w:t>是一门应用性</w:t>
      </w:r>
      <w:r w:rsidRPr="001408BD">
        <w:rPr>
          <w:rFonts w:asciiTheme="minorEastAsia" w:eastAsiaTheme="minorEastAsia" w:hAnsiTheme="minorEastAsia"/>
          <w:sz w:val="24"/>
          <w:szCs w:val="24"/>
        </w:rPr>
        <w:t>,</w:t>
      </w:r>
      <w:r w:rsidRPr="001408BD">
        <w:rPr>
          <w:rFonts w:asciiTheme="minorEastAsia" w:eastAsiaTheme="minorEastAsia" w:hAnsiTheme="minorEastAsia"/>
          <w:sz w:val="24"/>
          <w:szCs w:val="24"/>
        </w:rPr>
        <w:t>实践性很强的学科</w:t>
      </w:r>
      <w:r w:rsidRPr="001408BD">
        <w:rPr>
          <w:rFonts w:asciiTheme="minorEastAsia" w:eastAsiaTheme="minorEastAsia" w:hAnsiTheme="minorEastAsia" w:hint="eastAsia"/>
          <w:sz w:val="24"/>
          <w:szCs w:val="24"/>
        </w:rPr>
        <w:t>，实</w:t>
      </w:r>
      <w:proofErr w:type="gramStart"/>
      <w:r w:rsidRPr="001408BD">
        <w:rPr>
          <w:rFonts w:asciiTheme="minorEastAsia" w:eastAsiaTheme="minorEastAsia" w:hAnsiTheme="minorEastAsia" w:hint="eastAsia"/>
          <w:sz w:val="24"/>
          <w:szCs w:val="24"/>
        </w:rPr>
        <w:t>训教学</w:t>
      </w:r>
      <w:proofErr w:type="gramEnd"/>
      <w:r w:rsidRPr="001408BD">
        <w:rPr>
          <w:rFonts w:asciiTheme="minorEastAsia" w:eastAsiaTheme="minorEastAsia" w:hAnsiTheme="minorEastAsia" w:hint="eastAsia"/>
          <w:sz w:val="24"/>
          <w:szCs w:val="24"/>
        </w:rPr>
        <w:t>环节在教学中有着举足轻重的地位，是完成教学目标，培养综合性应用型护</w:t>
      </w:r>
      <w:r w:rsidRPr="001408BD">
        <w:rPr>
          <w:rFonts w:asciiTheme="minorEastAsia" w:eastAsiaTheme="minorEastAsia" w:hAnsiTheme="minorEastAsia" w:hint="eastAsia"/>
          <w:sz w:val="24"/>
          <w:szCs w:val="24"/>
        </w:rPr>
        <w:t>理人才的关键教学环节之一。</w:t>
      </w:r>
    </w:p>
    <w:p w14:paraId="259FBAC0" w14:textId="77777777"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在传统的《基础护理学》实</w:t>
      </w:r>
      <w:proofErr w:type="gramStart"/>
      <w:r w:rsidRPr="001408BD">
        <w:rPr>
          <w:rFonts w:asciiTheme="minorEastAsia" w:eastAsiaTheme="minorEastAsia" w:hAnsiTheme="minorEastAsia" w:hint="eastAsia"/>
          <w:sz w:val="24"/>
          <w:szCs w:val="24"/>
        </w:rPr>
        <w:t>训教学</w:t>
      </w:r>
      <w:proofErr w:type="gramEnd"/>
      <w:r w:rsidRPr="001408BD">
        <w:rPr>
          <w:rFonts w:asciiTheme="minorEastAsia" w:eastAsiaTheme="minorEastAsia" w:hAnsiTheme="minorEastAsia" w:hint="eastAsia"/>
          <w:sz w:val="24"/>
          <w:szCs w:val="24"/>
        </w:rPr>
        <w:t>当中，教学模式常以“传递——接受”和“示范——模仿”为主。并由此形成了以看教学片、演示、练习为主要教学方法，以</w:t>
      </w:r>
      <w:proofErr w:type="gramStart"/>
      <w:r w:rsidRPr="001408BD">
        <w:rPr>
          <w:rFonts w:asciiTheme="minorEastAsia" w:eastAsiaTheme="minorEastAsia" w:hAnsiTheme="minorEastAsia" w:hint="eastAsia"/>
          <w:sz w:val="24"/>
          <w:szCs w:val="24"/>
        </w:rPr>
        <w:t>终末性为主</w:t>
      </w:r>
      <w:proofErr w:type="gramEnd"/>
      <w:r w:rsidRPr="001408BD">
        <w:rPr>
          <w:rFonts w:asciiTheme="minorEastAsia" w:eastAsiaTheme="minorEastAsia" w:hAnsiTheme="minorEastAsia" w:hint="eastAsia"/>
          <w:sz w:val="24"/>
          <w:szCs w:val="24"/>
        </w:rPr>
        <w:t>、形成性为辅的教学评价体系。这种传统的教学模式、教学方法、评价体系优点在于可复制性强，便于教师熟练掌握，教学效果也较为稳定和可靠。存在的缺点有以下几个方面，一是每个环节学生均处于相对被动的地位，不利于调动学生学习的积极性和主动性；二是在看教学片过程中，对操作基本程序的记忆和对</w:t>
      </w:r>
      <w:proofErr w:type="gramStart"/>
      <w:r w:rsidRPr="001408BD">
        <w:rPr>
          <w:rFonts w:asciiTheme="minorEastAsia" w:eastAsiaTheme="minorEastAsia" w:hAnsiTheme="minorEastAsia" w:hint="eastAsia"/>
          <w:sz w:val="24"/>
          <w:szCs w:val="24"/>
        </w:rPr>
        <w:t>操作重</w:t>
      </w:r>
      <w:proofErr w:type="gramEnd"/>
      <w:r w:rsidRPr="001408BD">
        <w:rPr>
          <w:rFonts w:asciiTheme="minorEastAsia" w:eastAsiaTheme="minorEastAsia" w:hAnsiTheme="minorEastAsia" w:hint="eastAsia"/>
          <w:sz w:val="24"/>
          <w:szCs w:val="24"/>
        </w:rPr>
        <w:t>难点的关注难以兼顾；在观看教师示教过程中难以在短时间</w:t>
      </w:r>
      <w:r w:rsidRPr="001408BD">
        <w:rPr>
          <w:rFonts w:asciiTheme="minorEastAsia" w:eastAsiaTheme="minorEastAsia" w:hAnsiTheme="minorEastAsia" w:hint="eastAsia"/>
          <w:sz w:val="24"/>
          <w:szCs w:val="24"/>
        </w:rPr>
        <w:t>内完成大量信息的记忆；三是教学中存在理论与实践脱节、</w:t>
      </w:r>
      <w:proofErr w:type="gramStart"/>
      <w:r w:rsidRPr="001408BD">
        <w:rPr>
          <w:rFonts w:asciiTheme="minorEastAsia" w:eastAsiaTheme="minorEastAsia" w:hAnsiTheme="minorEastAsia" w:hint="eastAsia"/>
          <w:sz w:val="24"/>
          <w:szCs w:val="24"/>
        </w:rPr>
        <w:t>实训与临床</w:t>
      </w:r>
      <w:proofErr w:type="gramEnd"/>
      <w:r w:rsidRPr="001408BD">
        <w:rPr>
          <w:rFonts w:asciiTheme="minorEastAsia" w:eastAsiaTheme="minorEastAsia" w:hAnsiTheme="minorEastAsia" w:hint="eastAsia"/>
          <w:sz w:val="24"/>
          <w:szCs w:val="24"/>
        </w:rPr>
        <w:t>脱节、教学与社会需求脱节的问题；四是由于更重视终末评价，导致许多学生存在考前突击，学习不能脚踏实地，知识掌握不牢固的现象。本研究拟将翻转课堂教学模式与传统教学模式相结合，充分发挥传统教学模式的优点的基础上，调动学生学习积极性和主动性，克服传统教学模式的各种缺点，提高教学效果。</w:t>
      </w:r>
    </w:p>
    <w:p w14:paraId="7BCC1676" w14:textId="77777777" w:rsidR="00BF070D" w:rsidRPr="001408BD" w:rsidRDefault="003D47A1">
      <w:pPr>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 xml:space="preserve">1 </w:t>
      </w:r>
      <w:r w:rsidRPr="001408BD">
        <w:rPr>
          <w:rFonts w:asciiTheme="minorEastAsia" w:eastAsiaTheme="minorEastAsia" w:hAnsiTheme="minorEastAsia" w:hint="eastAsia"/>
          <w:sz w:val="24"/>
          <w:szCs w:val="24"/>
        </w:rPr>
        <w:t>研究对象</w:t>
      </w:r>
    </w:p>
    <w:p w14:paraId="5F86AE57" w14:textId="77777777"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研究对象为我校</w:t>
      </w:r>
      <w:r w:rsidRPr="001408BD">
        <w:rPr>
          <w:rFonts w:asciiTheme="minorEastAsia" w:eastAsiaTheme="minorEastAsia" w:hAnsiTheme="minorEastAsia" w:hint="eastAsia"/>
          <w:sz w:val="24"/>
          <w:szCs w:val="24"/>
        </w:rPr>
        <w:t>2015</w:t>
      </w:r>
      <w:r w:rsidRPr="001408BD">
        <w:rPr>
          <w:rFonts w:asciiTheme="minorEastAsia" w:eastAsiaTheme="minorEastAsia" w:hAnsiTheme="minorEastAsia" w:hint="eastAsia"/>
          <w:sz w:val="24"/>
          <w:szCs w:val="24"/>
        </w:rPr>
        <w:t>级护理本科</w:t>
      </w:r>
      <w:r w:rsidRPr="001408BD">
        <w:rPr>
          <w:rFonts w:asciiTheme="minorEastAsia" w:eastAsiaTheme="minorEastAsia" w:hAnsiTheme="minorEastAsia" w:hint="eastAsia"/>
          <w:sz w:val="24"/>
          <w:szCs w:val="24"/>
        </w:rPr>
        <w:t>1</w:t>
      </w:r>
      <w:r w:rsidRPr="001408BD">
        <w:rPr>
          <w:rFonts w:asciiTheme="minorEastAsia" w:eastAsiaTheme="minorEastAsia" w:hAnsiTheme="minorEastAsia" w:hint="eastAsia"/>
          <w:sz w:val="24"/>
          <w:szCs w:val="24"/>
        </w:rPr>
        <w:t>班和</w:t>
      </w:r>
      <w:r w:rsidRPr="001408BD">
        <w:rPr>
          <w:rFonts w:asciiTheme="minorEastAsia" w:eastAsiaTheme="minorEastAsia" w:hAnsiTheme="minorEastAsia" w:hint="eastAsia"/>
          <w:sz w:val="24"/>
          <w:szCs w:val="24"/>
        </w:rPr>
        <w:t>2</w:t>
      </w:r>
      <w:r w:rsidRPr="001408BD">
        <w:rPr>
          <w:rFonts w:asciiTheme="minorEastAsia" w:eastAsiaTheme="minorEastAsia" w:hAnsiTheme="minorEastAsia" w:hint="eastAsia"/>
          <w:sz w:val="24"/>
          <w:szCs w:val="24"/>
        </w:rPr>
        <w:t>班。因受课程安排限制，无法将两个班学生完全随机分组，故将</w:t>
      </w:r>
      <w:r w:rsidRPr="001408BD">
        <w:rPr>
          <w:rFonts w:asciiTheme="minorEastAsia" w:eastAsiaTheme="minorEastAsia" w:hAnsiTheme="minorEastAsia" w:hint="eastAsia"/>
          <w:sz w:val="24"/>
          <w:szCs w:val="24"/>
        </w:rPr>
        <w:t>1</w:t>
      </w:r>
      <w:r w:rsidRPr="001408BD">
        <w:rPr>
          <w:rFonts w:asciiTheme="minorEastAsia" w:eastAsiaTheme="minorEastAsia" w:hAnsiTheme="minorEastAsia" w:hint="eastAsia"/>
          <w:sz w:val="24"/>
          <w:szCs w:val="24"/>
        </w:rPr>
        <w:t>班设为干预组，采用翻转课堂教学模式，</w:t>
      </w:r>
      <w:r w:rsidRPr="001408BD">
        <w:rPr>
          <w:rFonts w:asciiTheme="minorEastAsia" w:eastAsiaTheme="minorEastAsia" w:hAnsiTheme="minorEastAsia" w:hint="eastAsia"/>
          <w:sz w:val="24"/>
          <w:szCs w:val="24"/>
        </w:rPr>
        <w:t>2</w:t>
      </w:r>
      <w:r w:rsidRPr="001408BD">
        <w:rPr>
          <w:rFonts w:asciiTheme="minorEastAsia" w:eastAsiaTheme="minorEastAsia" w:hAnsiTheme="minorEastAsia" w:hint="eastAsia"/>
          <w:sz w:val="24"/>
          <w:szCs w:val="24"/>
        </w:rPr>
        <w:t>设为对照组，采用传统教</w:t>
      </w:r>
      <w:r w:rsidRPr="001408BD">
        <w:rPr>
          <w:rFonts w:asciiTheme="minorEastAsia" w:eastAsiaTheme="minorEastAsia" w:hAnsiTheme="minorEastAsia" w:hint="eastAsia"/>
          <w:sz w:val="24"/>
          <w:szCs w:val="24"/>
        </w:rPr>
        <w:t>学模式。其中</w:t>
      </w:r>
      <w:r w:rsidRPr="001408BD">
        <w:rPr>
          <w:rFonts w:asciiTheme="minorEastAsia" w:eastAsiaTheme="minorEastAsia" w:hAnsiTheme="minorEastAsia" w:hint="eastAsia"/>
          <w:sz w:val="24"/>
          <w:szCs w:val="24"/>
        </w:rPr>
        <w:t>1</w:t>
      </w:r>
      <w:r w:rsidRPr="001408BD">
        <w:rPr>
          <w:rFonts w:asciiTheme="minorEastAsia" w:eastAsiaTheme="minorEastAsia" w:hAnsiTheme="minorEastAsia" w:hint="eastAsia"/>
          <w:sz w:val="24"/>
          <w:szCs w:val="24"/>
        </w:rPr>
        <w:t>班</w:t>
      </w:r>
      <w:r w:rsidRPr="001408BD">
        <w:rPr>
          <w:rFonts w:asciiTheme="minorEastAsia" w:eastAsiaTheme="minorEastAsia" w:hAnsiTheme="minorEastAsia" w:hint="eastAsia"/>
          <w:sz w:val="24"/>
          <w:szCs w:val="24"/>
        </w:rPr>
        <w:t>48</w:t>
      </w:r>
      <w:r w:rsidRPr="001408BD">
        <w:rPr>
          <w:rFonts w:asciiTheme="minorEastAsia" w:eastAsiaTheme="minorEastAsia" w:hAnsiTheme="minorEastAsia" w:hint="eastAsia"/>
          <w:sz w:val="24"/>
          <w:szCs w:val="24"/>
        </w:rPr>
        <w:t>人（女生</w:t>
      </w:r>
      <w:r w:rsidRPr="001408BD">
        <w:rPr>
          <w:rFonts w:asciiTheme="minorEastAsia" w:eastAsiaTheme="minorEastAsia" w:hAnsiTheme="minorEastAsia" w:hint="eastAsia"/>
          <w:sz w:val="24"/>
          <w:szCs w:val="24"/>
        </w:rPr>
        <w:t>45</w:t>
      </w:r>
      <w:r w:rsidRPr="001408BD">
        <w:rPr>
          <w:rFonts w:asciiTheme="minorEastAsia" w:eastAsiaTheme="minorEastAsia" w:hAnsiTheme="minorEastAsia" w:hint="eastAsia"/>
          <w:sz w:val="24"/>
          <w:szCs w:val="24"/>
        </w:rPr>
        <w:t>人，男生</w:t>
      </w:r>
      <w:r w:rsidRPr="001408BD">
        <w:rPr>
          <w:rFonts w:asciiTheme="minorEastAsia" w:eastAsiaTheme="minorEastAsia" w:hAnsiTheme="minorEastAsia" w:hint="eastAsia"/>
          <w:sz w:val="24"/>
          <w:szCs w:val="24"/>
        </w:rPr>
        <w:t>3</w:t>
      </w:r>
      <w:r w:rsidRPr="001408BD">
        <w:rPr>
          <w:rFonts w:asciiTheme="minorEastAsia" w:eastAsiaTheme="minorEastAsia" w:hAnsiTheme="minorEastAsia" w:hint="eastAsia"/>
          <w:sz w:val="24"/>
          <w:szCs w:val="24"/>
        </w:rPr>
        <w:t>人，年龄为</w:t>
      </w:r>
      <w:r w:rsidRPr="001408BD">
        <w:rPr>
          <w:rFonts w:asciiTheme="minorEastAsia" w:eastAsiaTheme="minorEastAsia" w:hAnsiTheme="minorEastAsia" w:hint="eastAsia"/>
          <w:sz w:val="24"/>
          <w:szCs w:val="24"/>
        </w:rPr>
        <w:t>18.0</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2.2</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2</w:t>
      </w:r>
      <w:r w:rsidRPr="001408BD">
        <w:rPr>
          <w:rFonts w:asciiTheme="minorEastAsia" w:eastAsiaTheme="minorEastAsia" w:hAnsiTheme="minorEastAsia" w:hint="eastAsia"/>
          <w:sz w:val="24"/>
          <w:szCs w:val="24"/>
        </w:rPr>
        <w:t>班</w:t>
      </w:r>
      <w:r w:rsidRPr="001408BD">
        <w:rPr>
          <w:rFonts w:asciiTheme="minorEastAsia" w:eastAsiaTheme="minorEastAsia" w:hAnsiTheme="minorEastAsia" w:hint="eastAsia"/>
          <w:sz w:val="24"/>
          <w:szCs w:val="24"/>
        </w:rPr>
        <w:t>49</w:t>
      </w:r>
      <w:r w:rsidRPr="001408BD">
        <w:rPr>
          <w:rFonts w:asciiTheme="minorEastAsia" w:eastAsiaTheme="minorEastAsia" w:hAnsiTheme="minorEastAsia" w:hint="eastAsia"/>
          <w:sz w:val="24"/>
          <w:szCs w:val="24"/>
        </w:rPr>
        <w:t>人（女生</w:t>
      </w:r>
      <w:r w:rsidRPr="001408BD">
        <w:rPr>
          <w:rFonts w:asciiTheme="minorEastAsia" w:eastAsiaTheme="minorEastAsia" w:hAnsiTheme="minorEastAsia" w:hint="eastAsia"/>
          <w:sz w:val="24"/>
          <w:szCs w:val="24"/>
        </w:rPr>
        <w:t>45</w:t>
      </w:r>
      <w:r w:rsidRPr="001408BD">
        <w:rPr>
          <w:rFonts w:asciiTheme="minorEastAsia" w:eastAsiaTheme="minorEastAsia" w:hAnsiTheme="minorEastAsia" w:hint="eastAsia"/>
          <w:sz w:val="24"/>
          <w:szCs w:val="24"/>
        </w:rPr>
        <w:t>人，男生</w:t>
      </w:r>
      <w:r w:rsidRPr="001408BD">
        <w:rPr>
          <w:rFonts w:asciiTheme="minorEastAsia" w:eastAsiaTheme="minorEastAsia" w:hAnsiTheme="minorEastAsia" w:hint="eastAsia"/>
          <w:sz w:val="24"/>
          <w:szCs w:val="24"/>
        </w:rPr>
        <w:t>4</w:t>
      </w:r>
      <w:r w:rsidRPr="001408BD">
        <w:rPr>
          <w:rFonts w:asciiTheme="minorEastAsia" w:eastAsiaTheme="minorEastAsia" w:hAnsiTheme="minorEastAsia" w:hint="eastAsia"/>
          <w:sz w:val="24"/>
          <w:szCs w:val="24"/>
        </w:rPr>
        <w:t>人，年龄为</w:t>
      </w:r>
      <w:r w:rsidRPr="001408BD">
        <w:rPr>
          <w:rFonts w:asciiTheme="minorEastAsia" w:eastAsiaTheme="minorEastAsia" w:hAnsiTheme="minorEastAsia" w:hint="eastAsia"/>
          <w:sz w:val="24"/>
          <w:szCs w:val="24"/>
        </w:rPr>
        <w:t>18.0</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2.3</w:t>
      </w:r>
      <w:r w:rsidRPr="001408BD">
        <w:rPr>
          <w:rFonts w:asciiTheme="minorEastAsia" w:eastAsiaTheme="minorEastAsia" w:hAnsiTheme="minorEastAsia" w:hint="eastAsia"/>
          <w:sz w:val="24"/>
          <w:szCs w:val="24"/>
        </w:rPr>
        <w:t>），性别、年龄差别无统计学意义。课前对两班学生的人文关怀能力（各个维度</w:t>
      </w:r>
      <w:r w:rsidRPr="001408BD">
        <w:rPr>
          <w:rFonts w:asciiTheme="minorEastAsia" w:eastAsiaTheme="minorEastAsia" w:hAnsiTheme="minorEastAsia" w:hint="eastAsia"/>
          <w:sz w:val="24"/>
          <w:szCs w:val="24"/>
        </w:rPr>
        <w:t>p</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0.05</w:t>
      </w:r>
      <w:r w:rsidRPr="001408BD">
        <w:rPr>
          <w:rFonts w:asciiTheme="minorEastAsia" w:eastAsiaTheme="minorEastAsia" w:hAnsiTheme="minorEastAsia" w:hint="eastAsia"/>
          <w:sz w:val="24"/>
          <w:szCs w:val="24"/>
        </w:rPr>
        <w:t>）和自主学习能力（各个维度</w:t>
      </w:r>
      <w:r w:rsidRPr="001408BD">
        <w:rPr>
          <w:rFonts w:asciiTheme="minorEastAsia" w:eastAsiaTheme="minorEastAsia" w:hAnsiTheme="minorEastAsia" w:hint="eastAsia"/>
          <w:sz w:val="24"/>
          <w:szCs w:val="24"/>
        </w:rPr>
        <w:t>p</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0.05</w:t>
      </w:r>
      <w:r w:rsidRPr="001408BD">
        <w:rPr>
          <w:rFonts w:asciiTheme="minorEastAsia" w:eastAsiaTheme="minorEastAsia" w:hAnsiTheme="minorEastAsia" w:hint="eastAsia"/>
          <w:sz w:val="24"/>
          <w:szCs w:val="24"/>
        </w:rPr>
        <w:t>）进行</w:t>
      </w:r>
      <w:proofErr w:type="gramStart"/>
      <w:r w:rsidRPr="001408BD">
        <w:rPr>
          <w:rFonts w:asciiTheme="minorEastAsia" w:eastAsiaTheme="minorEastAsia" w:hAnsiTheme="minorEastAsia" w:hint="eastAsia"/>
          <w:sz w:val="24"/>
          <w:szCs w:val="24"/>
        </w:rPr>
        <w:t>测评均</w:t>
      </w:r>
      <w:proofErr w:type="gramEnd"/>
      <w:r w:rsidRPr="001408BD">
        <w:rPr>
          <w:rFonts w:asciiTheme="minorEastAsia" w:eastAsiaTheme="minorEastAsia" w:hAnsiTheme="minorEastAsia" w:hint="eastAsia"/>
          <w:sz w:val="24"/>
          <w:szCs w:val="24"/>
        </w:rPr>
        <w:t>显示差别无统计学意义。</w:t>
      </w:r>
    </w:p>
    <w:p w14:paraId="4CDB3B03" w14:textId="77777777" w:rsidR="00BF070D" w:rsidRPr="001408BD" w:rsidRDefault="003D47A1">
      <w:pPr>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 xml:space="preserve">2 </w:t>
      </w:r>
      <w:r w:rsidRPr="001408BD">
        <w:rPr>
          <w:rFonts w:asciiTheme="minorEastAsia" w:eastAsiaTheme="minorEastAsia" w:hAnsiTheme="minorEastAsia" w:hint="eastAsia"/>
          <w:sz w:val="24"/>
          <w:szCs w:val="24"/>
        </w:rPr>
        <w:t>研究方法</w:t>
      </w:r>
    </w:p>
    <w:p w14:paraId="1173C227" w14:textId="77777777"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对照组采用传统实训课教学模式，即“看教学片——示教——练习——考核”，整个环节均在课堂完成。教学片以</w:t>
      </w:r>
      <w:r w:rsidRPr="001408BD">
        <w:rPr>
          <w:rFonts w:asciiTheme="minorEastAsia" w:eastAsiaTheme="minorEastAsia" w:hAnsiTheme="minorEastAsia" w:hint="eastAsia"/>
          <w:sz w:val="24"/>
          <w:szCs w:val="24"/>
        </w:rPr>
        <w:t>人民卫生出版社出版发行的《基础护理学操作》</w:t>
      </w:r>
      <w:r w:rsidRPr="001408BD">
        <w:rPr>
          <w:rFonts w:asciiTheme="minorEastAsia" w:eastAsiaTheme="minorEastAsia" w:hAnsiTheme="minorEastAsia" w:hint="eastAsia"/>
          <w:sz w:val="24"/>
          <w:szCs w:val="24"/>
        </w:rPr>
        <w:t>为内容；示教环节由教师一次性完成基本程序和操作重点、难点示教；学生分组开</w:t>
      </w:r>
      <w:r w:rsidRPr="001408BD">
        <w:rPr>
          <w:rFonts w:asciiTheme="minorEastAsia" w:eastAsiaTheme="minorEastAsia" w:hAnsiTheme="minorEastAsia" w:hint="eastAsia"/>
          <w:sz w:val="24"/>
          <w:szCs w:val="24"/>
        </w:rPr>
        <w:t>展模型或者相互的练习，不涉及病案；考核以期末考核为主，以学生随机抽考方式进行，主要考核基本操作程序和操作方法。</w:t>
      </w:r>
    </w:p>
    <w:p w14:paraId="20EC0067" w14:textId="77777777" w:rsidR="00BF070D" w:rsidRPr="001408BD" w:rsidRDefault="003D47A1">
      <w:pPr>
        <w:ind w:firstLineChars="150" w:firstLine="360"/>
        <w:rPr>
          <w:rFonts w:asciiTheme="minorEastAsia" w:eastAsiaTheme="minorEastAsia" w:hAnsiTheme="minorEastAsia"/>
          <w:sz w:val="24"/>
          <w:szCs w:val="24"/>
        </w:rPr>
      </w:pPr>
      <w:proofErr w:type="gramStart"/>
      <w:r w:rsidRPr="001408BD">
        <w:rPr>
          <w:rFonts w:asciiTheme="minorEastAsia" w:eastAsiaTheme="minorEastAsia" w:hAnsiTheme="minorEastAsia" w:hint="eastAsia"/>
          <w:sz w:val="24"/>
          <w:szCs w:val="24"/>
        </w:rPr>
        <w:lastRenderedPageBreak/>
        <w:t>干预组</w:t>
      </w:r>
      <w:proofErr w:type="gramEnd"/>
      <w:r w:rsidRPr="001408BD">
        <w:rPr>
          <w:rFonts w:asciiTheme="minorEastAsia" w:eastAsiaTheme="minorEastAsia" w:hAnsiTheme="minorEastAsia" w:hint="eastAsia"/>
          <w:sz w:val="24"/>
          <w:szCs w:val="24"/>
        </w:rPr>
        <w:t>将《基础护理学》实</w:t>
      </w:r>
      <w:proofErr w:type="gramStart"/>
      <w:r w:rsidRPr="001408BD">
        <w:rPr>
          <w:rFonts w:asciiTheme="minorEastAsia" w:eastAsiaTheme="minorEastAsia" w:hAnsiTheme="minorEastAsia" w:hint="eastAsia"/>
          <w:sz w:val="24"/>
          <w:szCs w:val="24"/>
        </w:rPr>
        <w:t>训项目</w:t>
      </w:r>
      <w:proofErr w:type="gramEnd"/>
      <w:r w:rsidRPr="001408BD">
        <w:rPr>
          <w:rFonts w:asciiTheme="minorEastAsia" w:eastAsiaTheme="minorEastAsia" w:hAnsiTheme="minorEastAsia" w:hint="eastAsia"/>
          <w:sz w:val="24"/>
          <w:szCs w:val="24"/>
        </w:rPr>
        <w:t>中的铺床法、无菌操作、隔离技术、搬运法、口腔护理、床上擦浴、头发护理、生命体征的测量八项实训操作作为教学改革的内容。</w:t>
      </w:r>
      <w:r w:rsidRPr="001408BD">
        <w:rPr>
          <w:rFonts w:asciiTheme="minorEastAsia" w:eastAsiaTheme="minorEastAsia" w:hAnsiTheme="minorEastAsia" w:hint="eastAsia"/>
          <w:sz w:val="24"/>
          <w:szCs w:val="24"/>
        </w:rPr>
        <w:t>分为以下几个阶段：</w:t>
      </w:r>
    </w:p>
    <w:p w14:paraId="18D825AB" w14:textId="77777777" w:rsidR="00BF070D" w:rsidRPr="001408BD" w:rsidRDefault="003D47A1">
      <w:pPr>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2.1</w:t>
      </w:r>
      <w:r w:rsidRPr="001408BD">
        <w:rPr>
          <w:rFonts w:asciiTheme="minorEastAsia" w:eastAsiaTheme="minorEastAsia" w:hAnsiTheme="minorEastAsia" w:hint="eastAsia"/>
          <w:sz w:val="24"/>
          <w:szCs w:val="24"/>
        </w:rPr>
        <w:t>课前预习阶段</w:t>
      </w:r>
    </w:p>
    <w:p w14:paraId="3729D814" w14:textId="77777777" w:rsidR="00BF070D" w:rsidRPr="001408BD" w:rsidRDefault="003D47A1">
      <w:pPr>
        <w:tabs>
          <w:tab w:val="left" w:pos="996"/>
        </w:tabs>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该阶段的教学目的是让学生通过视频和练习题得学习熟悉该项操作的基本程序。以四川大学护理学院录制，人民卫生出版社出版发行的《基础护理学操作》为蓝本，由主讲教师提前一周进行视频剪辑。按照操作内容或程序将一项操作剪辑成</w:t>
      </w:r>
      <w:r w:rsidRPr="001408BD">
        <w:rPr>
          <w:rFonts w:asciiTheme="minorEastAsia" w:eastAsiaTheme="minorEastAsia" w:hAnsiTheme="minorEastAsia" w:hint="eastAsia"/>
          <w:sz w:val="24"/>
          <w:szCs w:val="24"/>
        </w:rPr>
        <w:t>3-</w:t>
      </w:r>
      <w:r w:rsidRPr="001408BD">
        <w:rPr>
          <w:rFonts w:asciiTheme="minorEastAsia" w:eastAsiaTheme="minorEastAsia" w:hAnsiTheme="minorEastAsia" w:hint="eastAsia"/>
          <w:sz w:val="24"/>
          <w:szCs w:val="24"/>
        </w:rPr>
        <w:t>5</w:t>
      </w:r>
      <w:r w:rsidRPr="001408BD">
        <w:rPr>
          <w:rFonts w:asciiTheme="minorEastAsia" w:eastAsiaTheme="minorEastAsia" w:hAnsiTheme="minorEastAsia" w:hint="eastAsia"/>
          <w:sz w:val="24"/>
          <w:szCs w:val="24"/>
        </w:rPr>
        <w:t>段视频，每段视频</w:t>
      </w:r>
      <w:r w:rsidRPr="001408BD">
        <w:rPr>
          <w:rFonts w:asciiTheme="minorEastAsia" w:eastAsiaTheme="minorEastAsia" w:hAnsiTheme="minorEastAsia" w:hint="eastAsia"/>
          <w:sz w:val="24"/>
          <w:szCs w:val="24"/>
        </w:rPr>
        <w:t>5-8</w:t>
      </w:r>
      <w:r w:rsidRPr="001408BD">
        <w:rPr>
          <w:rFonts w:asciiTheme="minorEastAsia" w:eastAsiaTheme="minorEastAsia" w:hAnsiTheme="minorEastAsia" w:hint="eastAsia"/>
          <w:sz w:val="24"/>
          <w:szCs w:val="24"/>
        </w:rPr>
        <w:t>分钟，便于学生利用碎片时间分段学习，同时便于学生梳理和记忆操作基本流程。</w:t>
      </w:r>
      <w:r w:rsidRPr="001408BD">
        <w:rPr>
          <w:rFonts w:asciiTheme="minorEastAsia" w:eastAsiaTheme="minorEastAsia" w:hAnsiTheme="minorEastAsia" w:hint="eastAsia"/>
          <w:sz w:val="24"/>
          <w:szCs w:val="24"/>
        </w:rPr>
        <w:t>主讲教师针对该项操作提出</w:t>
      </w:r>
      <w:r w:rsidRPr="001408BD">
        <w:rPr>
          <w:rFonts w:asciiTheme="minorEastAsia" w:eastAsiaTheme="minorEastAsia" w:hAnsiTheme="minorEastAsia" w:hint="eastAsia"/>
          <w:sz w:val="24"/>
          <w:szCs w:val="24"/>
        </w:rPr>
        <w:t>10</w:t>
      </w:r>
      <w:r w:rsidRPr="001408BD">
        <w:rPr>
          <w:rFonts w:asciiTheme="minorEastAsia" w:eastAsiaTheme="minorEastAsia" w:hAnsiTheme="minorEastAsia" w:hint="eastAsia"/>
          <w:sz w:val="24"/>
          <w:szCs w:val="24"/>
        </w:rPr>
        <w:t>个课前问题作为课前作业</w:t>
      </w:r>
      <w:r w:rsidRPr="001408BD">
        <w:rPr>
          <w:rFonts w:asciiTheme="minorEastAsia" w:eastAsiaTheme="minorEastAsia" w:hAnsiTheme="minorEastAsia" w:hint="eastAsia"/>
          <w:sz w:val="24"/>
          <w:szCs w:val="24"/>
        </w:rPr>
        <w:t>，便于学生回顾和记忆学看视频的内容，达到更好的预习效果。课前作业需提前</w:t>
      </w:r>
      <w:r w:rsidRPr="001408BD">
        <w:rPr>
          <w:rFonts w:asciiTheme="minorEastAsia" w:eastAsiaTheme="minorEastAsia" w:hAnsiTheme="minorEastAsia" w:hint="eastAsia"/>
          <w:sz w:val="24"/>
          <w:szCs w:val="24"/>
        </w:rPr>
        <w:t>2</w:t>
      </w:r>
      <w:r w:rsidRPr="001408BD">
        <w:rPr>
          <w:rFonts w:asciiTheme="minorEastAsia" w:eastAsiaTheme="minorEastAsia" w:hAnsiTheme="minorEastAsia" w:hint="eastAsia"/>
          <w:sz w:val="24"/>
          <w:szCs w:val="24"/>
        </w:rPr>
        <w:t>天完成并上交，便于老师批阅。该项作业作为平时成绩一部分。</w:t>
      </w:r>
    </w:p>
    <w:p w14:paraId="5B5351A1"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 xml:space="preserve">2.2 </w:t>
      </w:r>
      <w:r w:rsidRPr="001408BD">
        <w:rPr>
          <w:rFonts w:asciiTheme="minorEastAsia" w:eastAsiaTheme="minorEastAsia" w:hAnsiTheme="minorEastAsia" w:hint="eastAsia"/>
          <w:sz w:val="24"/>
          <w:szCs w:val="24"/>
        </w:rPr>
        <w:t>课堂教学阶段</w:t>
      </w:r>
    </w:p>
    <w:p w14:paraId="266F6994"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2.2.1</w:t>
      </w:r>
      <w:r w:rsidRPr="001408BD">
        <w:rPr>
          <w:rFonts w:asciiTheme="minorEastAsia" w:eastAsiaTheme="minorEastAsia" w:hAnsiTheme="minorEastAsia" w:hint="eastAsia"/>
          <w:sz w:val="24"/>
          <w:szCs w:val="24"/>
        </w:rPr>
        <w:t>回顾操作程序，检验预习效果</w:t>
      </w:r>
      <w:r w:rsidRPr="001408BD">
        <w:rPr>
          <w:rFonts w:asciiTheme="minorEastAsia" w:eastAsiaTheme="minorEastAsia" w:hAnsiTheme="minorEastAsia" w:hint="eastAsia"/>
          <w:sz w:val="24"/>
          <w:szCs w:val="24"/>
        </w:rPr>
        <w:t xml:space="preserve">  </w:t>
      </w:r>
      <w:r w:rsidRPr="001408BD">
        <w:rPr>
          <w:rFonts w:asciiTheme="minorEastAsia" w:eastAsiaTheme="minorEastAsia" w:hAnsiTheme="minorEastAsia" w:hint="eastAsia"/>
          <w:sz w:val="24"/>
          <w:szCs w:val="24"/>
        </w:rPr>
        <w:t>采用口述接龙</w:t>
      </w:r>
      <w:r w:rsidRPr="001408BD">
        <w:rPr>
          <w:rFonts w:asciiTheme="minorEastAsia" w:eastAsiaTheme="minorEastAsia" w:hAnsiTheme="minorEastAsia" w:hint="eastAsia"/>
          <w:sz w:val="24"/>
          <w:szCs w:val="24"/>
        </w:rPr>
        <w:t>（老师或同学说出第一个步骤，下一个同学说出第二个步骤，以此类推）的方法检验学生对操作程序的掌握情况。该方法寓教于乐，在教学中颇受学生喜欢。学生在接龙中的表现作为平</w:t>
      </w:r>
      <w:r w:rsidRPr="001408BD">
        <w:rPr>
          <w:rFonts w:asciiTheme="minorEastAsia" w:eastAsiaTheme="minorEastAsia" w:hAnsiTheme="minorEastAsia" w:hint="eastAsia"/>
          <w:sz w:val="24"/>
          <w:szCs w:val="24"/>
        </w:rPr>
        <w:t>时成绩之一。</w:t>
      </w:r>
    </w:p>
    <w:p w14:paraId="1B320F4F"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2.2.2</w:t>
      </w:r>
      <w:r w:rsidRPr="001408BD">
        <w:rPr>
          <w:rFonts w:asciiTheme="minorEastAsia" w:eastAsiaTheme="minorEastAsia" w:hAnsiTheme="minorEastAsia" w:hint="eastAsia"/>
          <w:sz w:val="24"/>
          <w:szCs w:val="24"/>
        </w:rPr>
        <w:t>提出</w:t>
      </w:r>
      <w:proofErr w:type="gramStart"/>
      <w:r w:rsidRPr="001408BD">
        <w:rPr>
          <w:rFonts w:asciiTheme="minorEastAsia" w:eastAsiaTheme="minorEastAsia" w:hAnsiTheme="minorEastAsia" w:hint="eastAsia"/>
          <w:sz w:val="24"/>
          <w:szCs w:val="24"/>
        </w:rPr>
        <w:t>操作重</w:t>
      </w:r>
      <w:proofErr w:type="gramEnd"/>
      <w:r w:rsidRPr="001408BD">
        <w:rPr>
          <w:rFonts w:asciiTheme="minorEastAsia" w:eastAsiaTheme="minorEastAsia" w:hAnsiTheme="minorEastAsia" w:hint="eastAsia"/>
          <w:sz w:val="24"/>
          <w:szCs w:val="24"/>
        </w:rPr>
        <w:t>难点，有针对性地再看视频</w:t>
      </w:r>
      <w:r w:rsidRPr="001408BD">
        <w:rPr>
          <w:rFonts w:asciiTheme="minorEastAsia" w:eastAsiaTheme="minorEastAsia" w:hAnsiTheme="minorEastAsia" w:hint="eastAsia"/>
          <w:sz w:val="24"/>
          <w:szCs w:val="24"/>
        </w:rPr>
        <w:t xml:space="preserve">  </w:t>
      </w:r>
      <w:r w:rsidRPr="001408BD">
        <w:rPr>
          <w:rFonts w:asciiTheme="minorEastAsia" w:eastAsiaTheme="minorEastAsia" w:hAnsiTheme="minorEastAsia" w:hint="eastAsia"/>
          <w:sz w:val="24"/>
          <w:szCs w:val="24"/>
        </w:rPr>
        <w:t>此阶段，主讲教师根据以往教学经验，指出操作的重难点，引导学生有针对性地再看一遍视频。在看的过程中学生遇到疑惑可以随时停下来，跟老师一起探讨，以便于对每一个</w:t>
      </w:r>
      <w:proofErr w:type="gramStart"/>
      <w:r w:rsidRPr="001408BD">
        <w:rPr>
          <w:rFonts w:asciiTheme="minorEastAsia" w:eastAsiaTheme="minorEastAsia" w:hAnsiTheme="minorEastAsia" w:hint="eastAsia"/>
          <w:sz w:val="24"/>
          <w:szCs w:val="24"/>
        </w:rPr>
        <w:t>操作重</w:t>
      </w:r>
      <w:proofErr w:type="gramEnd"/>
      <w:r w:rsidRPr="001408BD">
        <w:rPr>
          <w:rFonts w:asciiTheme="minorEastAsia" w:eastAsiaTheme="minorEastAsia" w:hAnsiTheme="minorEastAsia" w:hint="eastAsia"/>
          <w:sz w:val="24"/>
          <w:szCs w:val="24"/>
        </w:rPr>
        <w:t>难点细节有深入把握。</w:t>
      </w:r>
    </w:p>
    <w:p w14:paraId="6A821A8B"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2.2.3</w:t>
      </w:r>
      <w:r w:rsidRPr="001408BD">
        <w:rPr>
          <w:rFonts w:asciiTheme="minorEastAsia" w:eastAsiaTheme="minorEastAsia" w:hAnsiTheme="minorEastAsia" w:hint="eastAsia"/>
          <w:sz w:val="24"/>
          <w:szCs w:val="24"/>
        </w:rPr>
        <w:t>开展示教，巩固操作流程及重难点</w:t>
      </w:r>
      <w:r w:rsidRPr="001408BD">
        <w:rPr>
          <w:rFonts w:asciiTheme="minorEastAsia" w:eastAsiaTheme="minorEastAsia" w:hAnsiTheme="minorEastAsia" w:hint="eastAsia"/>
          <w:sz w:val="24"/>
          <w:szCs w:val="24"/>
        </w:rPr>
        <w:t xml:space="preserve"> </w:t>
      </w:r>
      <w:r w:rsidRPr="001408BD">
        <w:rPr>
          <w:rFonts w:asciiTheme="minorEastAsia" w:eastAsiaTheme="minorEastAsia" w:hAnsiTheme="minorEastAsia" w:hint="eastAsia"/>
          <w:sz w:val="24"/>
          <w:szCs w:val="24"/>
        </w:rPr>
        <w:t>因为每个教学单位所使用的操作物品与教学片均会有所差别，故示教环节仍然必不可少。由于学生对操作基本流程和重难点已经有所掌握，传统教学相比，示教环节可以适当加快速度以节省时间。</w:t>
      </w:r>
    </w:p>
    <w:p w14:paraId="1C414654"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2.3</w:t>
      </w:r>
      <w:r w:rsidRPr="001408BD">
        <w:rPr>
          <w:rFonts w:asciiTheme="minorEastAsia" w:eastAsiaTheme="minorEastAsia" w:hAnsiTheme="minorEastAsia" w:hint="eastAsia"/>
          <w:sz w:val="24"/>
          <w:szCs w:val="24"/>
        </w:rPr>
        <w:t>练习阶段</w:t>
      </w:r>
    </w:p>
    <w:p w14:paraId="0F33B359" w14:textId="77777777" w:rsidR="00BF070D" w:rsidRPr="001408BD" w:rsidRDefault="003D47A1">
      <w:pPr>
        <w:tabs>
          <w:tab w:val="left" w:pos="996"/>
        </w:tabs>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传统的操作练习主要以学生练习，教师辅</w:t>
      </w:r>
      <w:r w:rsidRPr="001408BD">
        <w:rPr>
          <w:rFonts w:asciiTheme="minorEastAsia" w:eastAsiaTheme="minorEastAsia" w:hAnsiTheme="minorEastAsia" w:hint="eastAsia"/>
          <w:sz w:val="24"/>
          <w:szCs w:val="24"/>
        </w:rPr>
        <w:t>导，发现问题及时予以纠正为主要方式。此方式下，学生能较好地掌握操作的流程和方法，但是学生与患者的沟通交流能力、不同临床情境下的应急处理能力、理论与实践联系的能力等相对不足。对此，</w:t>
      </w:r>
      <w:r w:rsidRPr="001408BD">
        <w:rPr>
          <w:rFonts w:asciiTheme="minorEastAsia" w:eastAsiaTheme="minorEastAsia" w:hAnsiTheme="minorEastAsia" w:hint="eastAsia"/>
          <w:sz w:val="24"/>
          <w:szCs w:val="24"/>
        </w:rPr>
        <w:t>针对每一项操作编制出</w:t>
      </w:r>
      <w:r w:rsidRPr="001408BD">
        <w:rPr>
          <w:rFonts w:asciiTheme="minorEastAsia" w:eastAsiaTheme="minorEastAsia" w:hAnsiTheme="minorEastAsia" w:hint="eastAsia"/>
          <w:sz w:val="24"/>
          <w:szCs w:val="24"/>
        </w:rPr>
        <w:t>5-8</w:t>
      </w:r>
      <w:r w:rsidRPr="001408BD">
        <w:rPr>
          <w:rFonts w:asciiTheme="minorEastAsia" w:eastAsiaTheme="minorEastAsia" w:hAnsiTheme="minorEastAsia" w:hint="eastAsia"/>
          <w:sz w:val="24"/>
          <w:szCs w:val="24"/>
        </w:rPr>
        <w:t>个临床案例</w:t>
      </w:r>
      <w:r w:rsidRPr="001408BD">
        <w:rPr>
          <w:rFonts w:asciiTheme="minorEastAsia" w:eastAsiaTheme="minorEastAsia" w:hAnsiTheme="minorEastAsia" w:hint="eastAsia"/>
          <w:sz w:val="24"/>
          <w:szCs w:val="24"/>
        </w:rPr>
        <w:t>，要求学生根据实际案例开展病案分析、病情沟通、问题处理等。教师在指导过程中随机抽考学生，内容包括病案分析、操作项目、理论知识等，并将学生表现纳入平时成绩之一。</w:t>
      </w:r>
    </w:p>
    <w:p w14:paraId="4D7424F7"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2.4</w:t>
      </w:r>
      <w:r w:rsidRPr="001408BD">
        <w:rPr>
          <w:rFonts w:asciiTheme="minorEastAsia" w:eastAsiaTheme="minorEastAsia" w:hAnsiTheme="minorEastAsia" w:hint="eastAsia"/>
          <w:sz w:val="24"/>
          <w:szCs w:val="24"/>
        </w:rPr>
        <w:t>考核阶段</w:t>
      </w:r>
    </w:p>
    <w:p w14:paraId="7BBAE414" w14:textId="77777777" w:rsidR="00BF070D" w:rsidRPr="001408BD" w:rsidRDefault="003D47A1">
      <w:pPr>
        <w:tabs>
          <w:tab w:val="left" w:pos="996"/>
        </w:tabs>
        <w:ind w:firstLineChars="100" w:firstLine="24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重视形成性评价在学生考核中的重要作用，杜绝考前突击现象。形成性评价包括以下几个方面：课堂纪律（</w:t>
      </w:r>
      <w:r w:rsidRPr="001408BD">
        <w:rPr>
          <w:rFonts w:asciiTheme="minorEastAsia" w:eastAsiaTheme="minorEastAsia" w:hAnsiTheme="minorEastAsia" w:hint="eastAsia"/>
          <w:sz w:val="24"/>
          <w:szCs w:val="24"/>
        </w:rPr>
        <w:t>10%</w:t>
      </w:r>
      <w:r w:rsidRPr="001408BD">
        <w:rPr>
          <w:rFonts w:asciiTheme="minorEastAsia" w:eastAsiaTheme="minorEastAsia" w:hAnsiTheme="minorEastAsia" w:hint="eastAsia"/>
          <w:sz w:val="24"/>
          <w:szCs w:val="24"/>
        </w:rPr>
        <w:t>）、预习阶段作业完成情</w:t>
      </w:r>
      <w:r w:rsidRPr="001408BD">
        <w:rPr>
          <w:rFonts w:asciiTheme="minorEastAsia" w:eastAsiaTheme="minorEastAsia" w:hAnsiTheme="minorEastAsia" w:hint="eastAsia"/>
          <w:sz w:val="24"/>
          <w:szCs w:val="24"/>
        </w:rPr>
        <w:t>况（</w:t>
      </w:r>
      <w:r w:rsidRPr="001408BD">
        <w:rPr>
          <w:rFonts w:asciiTheme="minorEastAsia" w:eastAsiaTheme="minorEastAsia" w:hAnsiTheme="minorEastAsia" w:hint="eastAsia"/>
          <w:sz w:val="24"/>
          <w:szCs w:val="24"/>
        </w:rPr>
        <w:t>10%</w:t>
      </w:r>
      <w:r w:rsidRPr="001408BD">
        <w:rPr>
          <w:rFonts w:asciiTheme="minorEastAsia" w:eastAsiaTheme="minorEastAsia" w:hAnsiTheme="minorEastAsia" w:hint="eastAsia"/>
          <w:sz w:val="24"/>
          <w:szCs w:val="24"/>
        </w:rPr>
        <w:t>）、课堂口述接龙（</w:t>
      </w:r>
      <w:r w:rsidRPr="001408BD">
        <w:rPr>
          <w:rFonts w:asciiTheme="minorEastAsia" w:eastAsiaTheme="minorEastAsia" w:hAnsiTheme="minorEastAsia" w:hint="eastAsia"/>
          <w:sz w:val="24"/>
          <w:szCs w:val="24"/>
        </w:rPr>
        <w:t>10%</w:t>
      </w:r>
      <w:r w:rsidRPr="001408BD">
        <w:rPr>
          <w:rFonts w:asciiTheme="minorEastAsia" w:eastAsiaTheme="minorEastAsia" w:hAnsiTheme="minorEastAsia" w:hint="eastAsia"/>
          <w:sz w:val="24"/>
          <w:szCs w:val="24"/>
        </w:rPr>
        <w:t>）、随堂抽考（</w:t>
      </w:r>
      <w:r w:rsidRPr="001408BD">
        <w:rPr>
          <w:rFonts w:asciiTheme="minorEastAsia" w:eastAsiaTheme="minorEastAsia" w:hAnsiTheme="minorEastAsia" w:hint="eastAsia"/>
          <w:sz w:val="24"/>
          <w:szCs w:val="24"/>
        </w:rPr>
        <w:t>20%</w:t>
      </w:r>
      <w:r w:rsidRPr="001408BD">
        <w:rPr>
          <w:rFonts w:asciiTheme="minorEastAsia" w:eastAsiaTheme="minorEastAsia" w:hAnsiTheme="minorEastAsia" w:hint="eastAsia"/>
          <w:sz w:val="24"/>
          <w:szCs w:val="24"/>
        </w:rPr>
        <w:t>）、期末操作考核（</w:t>
      </w:r>
      <w:r w:rsidRPr="001408BD">
        <w:rPr>
          <w:rFonts w:asciiTheme="minorEastAsia" w:eastAsiaTheme="minorEastAsia" w:hAnsiTheme="minorEastAsia" w:hint="eastAsia"/>
          <w:sz w:val="24"/>
          <w:szCs w:val="24"/>
        </w:rPr>
        <w:t>50%</w:t>
      </w:r>
      <w:r w:rsidRPr="001408BD">
        <w:rPr>
          <w:rFonts w:asciiTheme="minorEastAsia" w:eastAsiaTheme="minorEastAsia" w:hAnsiTheme="minorEastAsia" w:hint="eastAsia"/>
          <w:sz w:val="24"/>
          <w:szCs w:val="24"/>
        </w:rPr>
        <w:t>）。其中期末操作考核仍然以病案的形式开展，内容包括本学期所有操作项目。学生首先随机抽取</w:t>
      </w:r>
      <w:r w:rsidRPr="001408BD">
        <w:rPr>
          <w:rFonts w:asciiTheme="minorEastAsia" w:eastAsiaTheme="minorEastAsia" w:hAnsiTheme="minorEastAsia" w:hint="eastAsia"/>
          <w:sz w:val="24"/>
          <w:szCs w:val="24"/>
        </w:rPr>
        <w:lastRenderedPageBreak/>
        <w:t>一份病例资料，短时间内完成患者的评估、操作项目的准备、实施、评价，并回答老师的提问。考核采用统一评分标准，保证考试的公平公正。</w:t>
      </w:r>
    </w:p>
    <w:p w14:paraId="4BCCD6FD"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 xml:space="preserve">3 </w:t>
      </w:r>
      <w:r w:rsidRPr="001408BD">
        <w:rPr>
          <w:rFonts w:asciiTheme="minorEastAsia" w:eastAsiaTheme="minorEastAsia" w:hAnsiTheme="minorEastAsia" w:hint="eastAsia"/>
          <w:sz w:val="24"/>
          <w:szCs w:val="24"/>
        </w:rPr>
        <w:t>教学效果评价</w:t>
      </w:r>
    </w:p>
    <w:p w14:paraId="0C608E57" w14:textId="77777777"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采用</w:t>
      </w:r>
      <w:r w:rsidRPr="001408BD">
        <w:rPr>
          <w:rFonts w:asciiTheme="minorEastAsia" w:eastAsiaTheme="minorEastAsia" w:hAnsiTheme="minorEastAsia" w:hint="eastAsia"/>
          <w:sz w:val="24"/>
          <w:szCs w:val="24"/>
        </w:rPr>
        <w:t>SPSS20.0</w:t>
      </w:r>
      <w:r w:rsidRPr="001408BD">
        <w:rPr>
          <w:rFonts w:asciiTheme="minorEastAsia" w:eastAsiaTheme="minorEastAsia" w:hAnsiTheme="minorEastAsia" w:hint="eastAsia"/>
          <w:sz w:val="24"/>
          <w:szCs w:val="24"/>
        </w:rPr>
        <w:t>统计软件建立数据库</w:t>
      </w:r>
      <w:r w:rsidRPr="001408BD">
        <w:rPr>
          <w:rFonts w:asciiTheme="minorEastAsia" w:eastAsiaTheme="minorEastAsia" w:hAnsiTheme="minorEastAsia" w:hint="eastAsia"/>
          <w:szCs w:val="21"/>
        </w:rPr>
        <w:t>，</w:t>
      </w:r>
      <w:r w:rsidRPr="001408BD">
        <w:rPr>
          <w:rFonts w:asciiTheme="minorEastAsia" w:eastAsiaTheme="minorEastAsia" w:hAnsiTheme="minorEastAsia" w:hint="eastAsia"/>
          <w:sz w:val="24"/>
          <w:szCs w:val="24"/>
        </w:rPr>
        <w:t>进行数据输入、整理、统计分析。两样本之间采用</w:t>
      </w:r>
      <w:r w:rsidRPr="001408BD">
        <w:rPr>
          <w:rFonts w:asciiTheme="minorEastAsia" w:eastAsiaTheme="minorEastAsia" w:hAnsiTheme="minorEastAsia" w:hint="eastAsia"/>
          <w:sz w:val="24"/>
          <w:szCs w:val="24"/>
        </w:rPr>
        <w:t>t</w:t>
      </w:r>
      <w:r w:rsidRPr="001408BD">
        <w:rPr>
          <w:rFonts w:asciiTheme="minorEastAsia" w:eastAsiaTheme="minorEastAsia" w:hAnsiTheme="minorEastAsia" w:hint="eastAsia"/>
          <w:sz w:val="24"/>
          <w:szCs w:val="24"/>
        </w:rPr>
        <w:t>检验进行比较。</w:t>
      </w:r>
    </w:p>
    <w:p w14:paraId="6F415EB1" w14:textId="77777777" w:rsidR="00BF070D" w:rsidRPr="001408BD" w:rsidRDefault="003D47A1">
      <w:pPr>
        <w:ind w:firstLineChars="150" w:firstLine="360"/>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在教学工作开展前、中、后分别对</w:t>
      </w:r>
      <w:proofErr w:type="gramStart"/>
      <w:r w:rsidRPr="001408BD">
        <w:rPr>
          <w:rFonts w:asciiTheme="minorEastAsia" w:eastAsiaTheme="minorEastAsia" w:hAnsiTheme="minorEastAsia" w:hint="eastAsia"/>
          <w:sz w:val="24"/>
          <w:szCs w:val="24"/>
        </w:rPr>
        <w:t>干预组</w:t>
      </w:r>
      <w:proofErr w:type="gramEnd"/>
      <w:r w:rsidRPr="001408BD">
        <w:rPr>
          <w:rFonts w:asciiTheme="minorEastAsia" w:eastAsiaTheme="minorEastAsia" w:hAnsiTheme="minorEastAsia" w:hint="eastAsia"/>
          <w:sz w:val="24"/>
          <w:szCs w:val="24"/>
        </w:rPr>
        <w:t>和对照组学生的人文关怀能力、自主学习能力开展问卷调查，检验翻转课堂和传统教学模式对学生人文关怀能力和自主学习能力的影响。</w:t>
      </w:r>
    </w:p>
    <w:p w14:paraId="14C2667E"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4</w:t>
      </w:r>
      <w:r w:rsidRPr="001408BD">
        <w:rPr>
          <w:rFonts w:asciiTheme="minorEastAsia" w:eastAsiaTheme="minorEastAsia" w:hAnsiTheme="minorEastAsia" w:hint="eastAsia"/>
          <w:sz w:val="24"/>
          <w:szCs w:val="24"/>
        </w:rPr>
        <w:t>结果</w:t>
      </w:r>
    </w:p>
    <w:p w14:paraId="00E2B250" w14:textId="77777777" w:rsidR="00BF070D" w:rsidRPr="001408BD" w:rsidRDefault="003D47A1">
      <w:pPr>
        <w:tabs>
          <w:tab w:val="left" w:pos="996"/>
        </w:tabs>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 xml:space="preserve">4.1 </w:t>
      </w:r>
      <w:r w:rsidRPr="001408BD">
        <w:rPr>
          <w:rFonts w:asciiTheme="minorEastAsia" w:eastAsiaTheme="minorEastAsia" w:hAnsiTheme="minorEastAsia" w:hint="eastAsia"/>
          <w:sz w:val="21"/>
          <w:szCs w:val="21"/>
        </w:rPr>
        <w:t>对照组和</w:t>
      </w:r>
      <w:proofErr w:type="gramStart"/>
      <w:r w:rsidRPr="001408BD">
        <w:rPr>
          <w:rFonts w:asciiTheme="minorEastAsia" w:eastAsiaTheme="minorEastAsia" w:hAnsiTheme="minorEastAsia" w:hint="eastAsia"/>
          <w:sz w:val="21"/>
          <w:szCs w:val="21"/>
        </w:rPr>
        <w:t>干预组</w:t>
      </w:r>
      <w:proofErr w:type="gramEnd"/>
      <w:r w:rsidRPr="001408BD">
        <w:rPr>
          <w:rFonts w:asciiTheme="minorEastAsia" w:eastAsiaTheme="minorEastAsia" w:hAnsiTheme="minorEastAsia" w:hint="eastAsia"/>
          <w:sz w:val="21"/>
          <w:szCs w:val="21"/>
        </w:rPr>
        <w:t>学生人文关怀能力比较（分，</w:t>
      </w:r>
      <w:r w:rsidRPr="001408BD">
        <w:rPr>
          <w:rFonts w:asciiTheme="minorEastAsia" w:eastAsiaTheme="minorEastAsia" w:hAnsiTheme="minorEastAsia" w:hint="eastAsia"/>
          <w:sz w:val="21"/>
          <w:szCs w:val="21"/>
        </w:rPr>
        <w:t xml:space="preserve"> x </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 xml:space="preserve">s </w:t>
      </w:r>
      <w:r w:rsidRPr="001408BD">
        <w:rPr>
          <w:rFonts w:asciiTheme="minorEastAsia" w:eastAsiaTheme="minorEastAsia" w:hAnsiTheme="minorEastAsia" w:hint="eastAsia"/>
          <w:sz w:val="21"/>
          <w:szCs w:val="21"/>
        </w:rPr>
        <w:t>）</w:t>
      </w:r>
    </w:p>
    <w:tbl>
      <w:tblPr>
        <w:tblStyle w:val="a7"/>
        <w:tblW w:w="8522" w:type="dxa"/>
        <w:tblLayout w:type="fixed"/>
        <w:tblLook w:val="04A0" w:firstRow="1" w:lastRow="0" w:firstColumn="1" w:lastColumn="0" w:noHBand="0" w:noVBand="1"/>
      </w:tblPr>
      <w:tblGrid>
        <w:gridCol w:w="2093"/>
        <w:gridCol w:w="2268"/>
        <w:gridCol w:w="1984"/>
        <w:gridCol w:w="1134"/>
        <w:gridCol w:w="1043"/>
      </w:tblGrid>
      <w:tr w:rsidR="001408BD" w:rsidRPr="001408BD" w14:paraId="39CF8E81" w14:textId="77777777">
        <w:tc>
          <w:tcPr>
            <w:tcW w:w="2093" w:type="dxa"/>
          </w:tcPr>
          <w:p w14:paraId="13DF65EE"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维度</w:t>
            </w:r>
          </w:p>
        </w:tc>
        <w:tc>
          <w:tcPr>
            <w:tcW w:w="2268" w:type="dxa"/>
          </w:tcPr>
          <w:p w14:paraId="7C561E25"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对照组（</w:t>
            </w:r>
            <w:r w:rsidRPr="001408BD">
              <w:rPr>
                <w:rFonts w:asciiTheme="minorEastAsia" w:eastAsiaTheme="minorEastAsia" w:hAnsiTheme="minorEastAsia" w:hint="eastAsia"/>
                <w:sz w:val="21"/>
                <w:szCs w:val="21"/>
              </w:rPr>
              <w:t>n=47</w:t>
            </w:r>
            <w:r w:rsidRPr="001408BD">
              <w:rPr>
                <w:rFonts w:asciiTheme="minorEastAsia" w:eastAsiaTheme="minorEastAsia" w:hAnsiTheme="minorEastAsia" w:hint="eastAsia"/>
                <w:sz w:val="21"/>
                <w:szCs w:val="21"/>
              </w:rPr>
              <w:t>）</w:t>
            </w:r>
          </w:p>
        </w:tc>
        <w:tc>
          <w:tcPr>
            <w:tcW w:w="1984" w:type="dxa"/>
          </w:tcPr>
          <w:p w14:paraId="0ECF701C"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干预组（</w:t>
            </w:r>
            <w:r w:rsidRPr="001408BD">
              <w:rPr>
                <w:rFonts w:asciiTheme="minorEastAsia" w:eastAsiaTheme="minorEastAsia" w:hAnsiTheme="minorEastAsia" w:hint="eastAsia"/>
                <w:sz w:val="21"/>
                <w:szCs w:val="21"/>
              </w:rPr>
              <w:t>n=45</w:t>
            </w:r>
            <w:r w:rsidRPr="001408BD">
              <w:rPr>
                <w:rFonts w:asciiTheme="minorEastAsia" w:eastAsiaTheme="minorEastAsia" w:hAnsiTheme="minorEastAsia" w:hint="eastAsia"/>
                <w:sz w:val="21"/>
                <w:szCs w:val="21"/>
              </w:rPr>
              <w:t>）</w:t>
            </w:r>
          </w:p>
        </w:tc>
        <w:tc>
          <w:tcPr>
            <w:tcW w:w="1134" w:type="dxa"/>
          </w:tcPr>
          <w:p w14:paraId="470CAB60"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i/>
                <w:sz w:val="21"/>
                <w:szCs w:val="21"/>
              </w:rPr>
              <w:t>t</w:t>
            </w:r>
            <w:r w:rsidRPr="001408BD">
              <w:rPr>
                <w:rFonts w:asciiTheme="minorEastAsia" w:eastAsiaTheme="minorEastAsia" w:hAnsiTheme="minorEastAsia" w:hint="eastAsia"/>
                <w:sz w:val="21"/>
                <w:szCs w:val="21"/>
              </w:rPr>
              <w:t>值</w:t>
            </w:r>
          </w:p>
        </w:tc>
        <w:tc>
          <w:tcPr>
            <w:tcW w:w="1043" w:type="dxa"/>
          </w:tcPr>
          <w:p w14:paraId="4C176D79"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i/>
                <w:sz w:val="21"/>
                <w:szCs w:val="21"/>
              </w:rPr>
              <w:t>P</w:t>
            </w:r>
            <w:r w:rsidRPr="001408BD">
              <w:rPr>
                <w:rFonts w:asciiTheme="minorEastAsia" w:eastAsiaTheme="minorEastAsia" w:hAnsiTheme="minorEastAsia" w:hint="eastAsia"/>
                <w:sz w:val="21"/>
                <w:szCs w:val="21"/>
              </w:rPr>
              <w:t>值</w:t>
            </w:r>
          </w:p>
        </w:tc>
      </w:tr>
      <w:tr w:rsidR="001408BD" w:rsidRPr="001408BD" w14:paraId="752B4331" w14:textId="77777777">
        <w:tc>
          <w:tcPr>
            <w:tcW w:w="2093" w:type="dxa"/>
          </w:tcPr>
          <w:p w14:paraId="6A9AB2A4"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灌输信念和希望</w:t>
            </w:r>
          </w:p>
        </w:tc>
        <w:tc>
          <w:tcPr>
            <w:tcW w:w="2268" w:type="dxa"/>
          </w:tcPr>
          <w:p w14:paraId="4BC43E3B"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1.80</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0.37</w:t>
            </w:r>
          </w:p>
        </w:tc>
        <w:tc>
          <w:tcPr>
            <w:tcW w:w="1984" w:type="dxa"/>
          </w:tcPr>
          <w:p w14:paraId="4294328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1.97</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0.43</w:t>
            </w:r>
          </w:p>
        </w:tc>
        <w:tc>
          <w:tcPr>
            <w:tcW w:w="1134" w:type="dxa"/>
          </w:tcPr>
          <w:p w14:paraId="4A643240"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-2.00</w:t>
            </w:r>
          </w:p>
        </w:tc>
        <w:tc>
          <w:tcPr>
            <w:tcW w:w="1043" w:type="dxa"/>
          </w:tcPr>
          <w:p w14:paraId="00E891BA"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0.049</w:t>
            </w:r>
          </w:p>
        </w:tc>
      </w:tr>
      <w:tr w:rsidR="001408BD" w:rsidRPr="001408BD" w14:paraId="457B1EBB" w14:textId="77777777">
        <w:tc>
          <w:tcPr>
            <w:tcW w:w="2093" w:type="dxa"/>
          </w:tcPr>
          <w:p w14:paraId="17BD989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健康教育</w:t>
            </w:r>
          </w:p>
        </w:tc>
        <w:tc>
          <w:tcPr>
            <w:tcW w:w="2268" w:type="dxa"/>
          </w:tcPr>
          <w:p w14:paraId="5F941D3E"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2.19</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0.26</w:t>
            </w:r>
          </w:p>
        </w:tc>
        <w:tc>
          <w:tcPr>
            <w:tcW w:w="1984" w:type="dxa"/>
          </w:tcPr>
          <w:p w14:paraId="5032B06F"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2.13</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0.31</w:t>
            </w:r>
          </w:p>
        </w:tc>
        <w:tc>
          <w:tcPr>
            <w:tcW w:w="1134" w:type="dxa"/>
          </w:tcPr>
          <w:p w14:paraId="43A77528"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0.87</w:t>
            </w:r>
          </w:p>
        </w:tc>
        <w:tc>
          <w:tcPr>
            <w:tcW w:w="1043" w:type="dxa"/>
          </w:tcPr>
          <w:p w14:paraId="0A46496A"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0.386</w:t>
            </w:r>
          </w:p>
        </w:tc>
      </w:tr>
      <w:tr w:rsidR="001408BD" w:rsidRPr="001408BD" w14:paraId="59BEF294" w14:textId="77777777">
        <w:tc>
          <w:tcPr>
            <w:tcW w:w="2093" w:type="dxa"/>
          </w:tcPr>
          <w:p w14:paraId="1F56C0C1"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人道利他价值观</w:t>
            </w:r>
          </w:p>
        </w:tc>
        <w:tc>
          <w:tcPr>
            <w:tcW w:w="2268" w:type="dxa"/>
          </w:tcPr>
          <w:p w14:paraId="5E2D7744"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1.88</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0.39</w:t>
            </w:r>
          </w:p>
        </w:tc>
        <w:tc>
          <w:tcPr>
            <w:tcW w:w="1984" w:type="dxa"/>
          </w:tcPr>
          <w:p w14:paraId="11454CA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1.97</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0.44</w:t>
            </w:r>
          </w:p>
        </w:tc>
        <w:tc>
          <w:tcPr>
            <w:tcW w:w="1134" w:type="dxa"/>
          </w:tcPr>
          <w:p w14:paraId="2A9ACAE2"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sz w:val="18"/>
                <w:szCs w:val="18"/>
              </w:rPr>
              <w:t>-1.06</w:t>
            </w:r>
          </w:p>
        </w:tc>
        <w:tc>
          <w:tcPr>
            <w:tcW w:w="1043" w:type="dxa"/>
          </w:tcPr>
          <w:p w14:paraId="0F6611A0"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0</w:t>
            </w:r>
            <w:r w:rsidRPr="001408BD">
              <w:rPr>
                <w:rFonts w:ascii="MingLiU" w:eastAsia="MingLiU" w:hAnsi="Times New Roman" w:cs="MingLiU"/>
                <w:sz w:val="18"/>
                <w:szCs w:val="18"/>
              </w:rPr>
              <w:t>.291</w:t>
            </w:r>
          </w:p>
        </w:tc>
      </w:tr>
      <w:tr w:rsidR="001408BD" w:rsidRPr="001408BD" w14:paraId="2505B2B6" w14:textId="77777777">
        <w:tc>
          <w:tcPr>
            <w:tcW w:w="2093" w:type="dxa"/>
          </w:tcPr>
          <w:p w14:paraId="0D6CEE3C"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科学解决健康问题</w:t>
            </w:r>
          </w:p>
        </w:tc>
        <w:tc>
          <w:tcPr>
            <w:tcW w:w="2268" w:type="dxa"/>
          </w:tcPr>
          <w:p w14:paraId="26FC3EC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2.50</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0.29</w:t>
            </w:r>
          </w:p>
        </w:tc>
        <w:tc>
          <w:tcPr>
            <w:tcW w:w="1984" w:type="dxa"/>
          </w:tcPr>
          <w:p w14:paraId="3602117E"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2.66</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0.30</w:t>
            </w:r>
          </w:p>
        </w:tc>
        <w:tc>
          <w:tcPr>
            <w:tcW w:w="1134" w:type="dxa"/>
          </w:tcPr>
          <w:p w14:paraId="0865F282"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sz w:val="18"/>
                <w:szCs w:val="18"/>
              </w:rPr>
              <w:t>-2.5</w:t>
            </w:r>
            <w:r w:rsidRPr="001408BD">
              <w:rPr>
                <w:rFonts w:ascii="MingLiU" w:eastAsiaTheme="minorEastAsia" w:hAnsi="Times New Roman" w:cs="MingLiU" w:hint="eastAsia"/>
                <w:sz w:val="18"/>
                <w:szCs w:val="18"/>
              </w:rPr>
              <w:t>4</w:t>
            </w:r>
          </w:p>
        </w:tc>
        <w:tc>
          <w:tcPr>
            <w:tcW w:w="1043" w:type="dxa"/>
          </w:tcPr>
          <w:p w14:paraId="4A150FA3"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.013</w:t>
            </w:r>
          </w:p>
        </w:tc>
      </w:tr>
      <w:tr w:rsidR="001408BD" w:rsidRPr="001408BD" w14:paraId="2599D0B1" w14:textId="77777777">
        <w:tc>
          <w:tcPr>
            <w:tcW w:w="2093" w:type="dxa"/>
          </w:tcPr>
          <w:p w14:paraId="66A5C96E"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协助满足基本需要</w:t>
            </w:r>
          </w:p>
        </w:tc>
        <w:tc>
          <w:tcPr>
            <w:tcW w:w="2268" w:type="dxa"/>
          </w:tcPr>
          <w:p w14:paraId="012D6E96"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2.07</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0.47</w:t>
            </w:r>
          </w:p>
        </w:tc>
        <w:tc>
          <w:tcPr>
            <w:tcW w:w="1984" w:type="dxa"/>
          </w:tcPr>
          <w:p w14:paraId="46F81A01"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2.04</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0.47</w:t>
            </w:r>
          </w:p>
        </w:tc>
        <w:tc>
          <w:tcPr>
            <w:tcW w:w="1134" w:type="dxa"/>
          </w:tcPr>
          <w:p w14:paraId="370A63F8"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.3</w:t>
            </w:r>
            <w:r w:rsidRPr="001408BD">
              <w:rPr>
                <w:rFonts w:ascii="MingLiU" w:eastAsiaTheme="minorEastAsia" w:hAnsi="Times New Roman" w:cs="MingLiU" w:hint="eastAsia"/>
                <w:sz w:val="18"/>
                <w:szCs w:val="18"/>
              </w:rPr>
              <w:t>1</w:t>
            </w:r>
          </w:p>
        </w:tc>
        <w:tc>
          <w:tcPr>
            <w:tcW w:w="1043" w:type="dxa"/>
          </w:tcPr>
          <w:p w14:paraId="24A9EA9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.760</w:t>
            </w:r>
          </w:p>
        </w:tc>
      </w:tr>
      <w:tr w:rsidR="001408BD" w:rsidRPr="001408BD" w14:paraId="237842C7" w14:textId="77777777">
        <w:tc>
          <w:tcPr>
            <w:tcW w:w="2093" w:type="dxa"/>
          </w:tcPr>
          <w:p w14:paraId="18E7D95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提供良好环境</w:t>
            </w:r>
          </w:p>
        </w:tc>
        <w:tc>
          <w:tcPr>
            <w:tcW w:w="2268" w:type="dxa"/>
          </w:tcPr>
          <w:p w14:paraId="118A8E11"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3.03</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0.41</w:t>
            </w:r>
          </w:p>
        </w:tc>
        <w:tc>
          <w:tcPr>
            <w:tcW w:w="1984" w:type="dxa"/>
          </w:tcPr>
          <w:p w14:paraId="0B78EE62"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3.21</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0.32</w:t>
            </w:r>
          </w:p>
        </w:tc>
        <w:tc>
          <w:tcPr>
            <w:tcW w:w="1134" w:type="dxa"/>
          </w:tcPr>
          <w:p w14:paraId="395DCEA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sz w:val="18"/>
                <w:szCs w:val="18"/>
              </w:rPr>
              <w:t>-2.2</w:t>
            </w:r>
            <w:r w:rsidRPr="001408BD">
              <w:rPr>
                <w:rFonts w:ascii="MingLiU" w:eastAsiaTheme="minorEastAsia" w:hAnsi="Times New Roman" w:cs="MingLiU" w:hint="eastAsia"/>
                <w:sz w:val="18"/>
                <w:szCs w:val="18"/>
              </w:rPr>
              <w:t>5</w:t>
            </w:r>
          </w:p>
        </w:tc>
        <w:tc>
          <w:tcPr>
            <w:tcW w:w="1043" w:type="dxa"/>
          </w:tcPr>
          <w:p w14:paraId="5ECE17E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.027</w:t>
            </w:r>
          </w:p>
        </w:tc>
      </w:tr>
      <w:tr w:rsidR="001408BD" w:rsidRPr="001408BD" w14:paraId="5ABC641A" w14:textId="77777777">
        <w:tc>
          <w:tcPr>
            <w:tcW w:w="2093" w:type="dxa"/>
          </w:tcPr>
          <w:p w14:paraId="57A68CCE"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hint="eastAsia"/>
                <w:sz w:val="18"/>
                <w:szCs w:val="18"/>
              </w:rPr>
              <w:t>促进情感交流</w:t>
            </w:r>
          </w:p>
        </w:tc>
        <w:tc>
          <w:tcPr>
            <w:tcW w:w="2268" w:type="dxa"/>
          </w:tcPr>
          <w:p w14:paraId="2B74A3B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1.91</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0.41</w:t>
            </w:r>
          </w:p>
        </w:tc>
        <w:tc>
          <w:tcPr>
            <w:tcW w:w="1984" w:type="dxa"/>
          </w:tcPr>
          <w:p w14:paraId="34BA4887"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1.99</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0.48</w:t>
            </w:r>
          </w:p>
        </w:tc>
        <w:tc>
          <w:tcPr>
            <w:tcW w:w="1134" w:type="dxa"/>
          </w:tcPr>
          <w:p w14:paraId="697D25B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MingLiU" w:hAnsi="Times New Roman" w:cs="MingLiU"/>
                <w:sz w:val="18"/>
                <w:szCs w:val="18"/>
              </w:rPr>
              <w:t>-</w:t>
            </w: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.860</w:t>
            </w:r>
          </w:p>
        </w:tc>
        <w:tc>
          <w:tcPr>
            <w:tcW w:w="1043" w:type="dxa"/>
          </w:tcPr>
          <w:p w14:paraId="011D43B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.39</w:t>
            </w:r>
            <w:r w:rsidRPr="001408BD">
              <w:rPr>
                <w:rFonts w:ascii="MingLiU" w:eastAsiaTheme="minorEastAsia" w:hAnsi="Times New Roman" w:cs="MingLiU" w:hint="eastAsia"/>
                <w:sz w:val="18"/>
                <w:szCs w:val="18"/>
              </w:rPr>
              <w:t>2</w:t>
            </w:r>
          </w:p>
        </w:tc>
      </w:tr>
      <w:tr w:rsidR="001408BD" w:rsidRPr="001408BD" w14:paraId="07BE167D" w14:textId="77777777">
        <w:tc>
          <w:tcPr>
            <w:tcW w:w="2093" w:type="dxa"/>
          </w:tcPr>
          <w:p w14:paraId="08592D5D"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hint="eastAsia"/>
                <w:sz w:val="18"/>
                <w:szCs w:val="18"/>
              </w:rPr>
              <w:t>帮助解除困难</w:t>
            </w:r>
          </w:p>
        </w:tc>
        <w:tc>
          <w:tcPr>
            <w:tcW w:w="2268" w:type="dxa"/>
          </w:tcPr>
          <w:p w14:paraId="602E07A6"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2.85</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0.39</w:t>
            </w:r>
          </w:p>
        </w:tc>
        <w:tc>
          <w:tcPr>
            <w:tcW w:w="1984" w:type="dxa"/>
          </w:tcPr>
          <w:p w14:paraId="60E8545A"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2.82</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0.30</w:t>
            </w:r>
          </w:p>
        </w:tc>
        <w:tc>
          <w:tcPr>
            <w:tcW w:w="1134" w:type="dxa"/>
          </w:tcPr>
          <w:p w14:paraId="4BF8F3DC"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.3</w:t>
            </w:r>
            <w:r w:rsidRPr="001408BD">
              <w:rPr>
                <w:rFonts w:ascii="MingLiU" w:eastAsiaTheme="minorEastAsia" w:hAnsi="Times New Roman" w:cs="MingLiU" w:hint="eastAsia"/>
                <w:sz w:val="18"/>
                <w:szCs w:val="18"/>
              </w:rPr>
              <w:t>4</w:t>
            </w:r>
          </w:p>
        </w:tc>
        <w:tc>
          <w:tcPr>
            <w:tcW w:w="1043" w:type="dxa"/>
          </w:tcPr>
          <w:p w14:paraId="28B01FBB"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.735</w:t>
            </w:r>
          </w:p>
        </w:tc>
      </w:tr>
      <w:tr w:rsidR="00BF070D" w:rsidRPr="001408BD" w14:paraId="69383466" w14:textId="77777777">
        <w:tc>
          <w:tcPr>
            <w:tcW w:w="2093" w:type="dxa"/>
          </w:tcPr>
          <w:p w14:paraId="22716CD0" w14:textId="77777777" w:rsidR="00BF070D" w:rsidRPr="001408BD" w:rsidRDefault="00BF070D">
            <w:pPr>
              <w:tabs>
                <w:tab w:val="left" w:pos="996"/>
              </w:tabs>
              <w:spacing w:after="0"/>
              <w:rPr>
                <w:rFonts w:ascii="MingLiU" w:eastAsia="MingLiU" w:hAnsi="Times New Roman" w:cs="MingLiU"/>
                <w:sz w:val="18"/>
                <w:szCs w:val="18"/>
              </w:rPr>
            </w:pPr>
          </w:p>
        </w:tc>
        <w:tc>
          <w:tcPr>
            <w:tcW w:w="2268" w:type="dxa"/>
          </w:tcPr>
          <w:p w14:paraId="74683243" w14:textId="77777777" w:rsidR="00BF070D" w:rsidRPr="001408BD" w:rsidRDefault="00BF070D">
            <w:pPr>
              <w:tabs>
                <w:tab w:val="left" w:pos="996"/>
              </w:tabs>
              <w:spacing w:after="0"/>
              <w:rPr>
                <w:rFonts w:asciiTheme="minorEastAsia" w:eastAsiaTheme="minorEastAsia" w:hAnsiTheme="minorEastAsia"/>
                <w:sz w:val="21"/>
                <w:szCs w:val="21"/>
              </w:rPr>
            </w:pPr>
          </w:p>
        </w:tc>
        <w:tc>
          <w:tcPr>
            <w:tcW w:w="1984" w:type="dxa"/>
          </w:tcPr>
          <w:p w14:paraId="5C5D3836" w14:textId="77777777" w:rsidR="00BF070D" w:rsidRPr="001408BD" w:rsidRDefault="00BF070D">
            <w:pPr>
              <w:tabs>
                <w:tab w:val="left" w:pos="996"/>
              </w:tabs>
              <w:spacing w:after="0"/>
              <w:rPr>
                <w:rFonts w:asciiTheme="minorEastAsia" w:eastAsiaTheme="minorEastAsia" w:hAnsiTheme="minorEastAsia"/>
                <w:sz w:val="21"/>
                <w:szCs w:val="21"/>
              </w:rPr>
            </w:pPr>
          </w:p>
        </w:tc>
        <w:tc>
          <w:tcPr>
            <w:tcW w:w="1134" w:type="dxa"/>
          </w:tcPr>
          <w:p w14:paraId="7F4263D4" w14:textId="77777777" w:rsidR="00BF070D" w:rsidRPr="001408BD" w:rsidRDefault="00BF070D">
            <w:pPr>
              <w:tabs>
                <w:tab w:val="left" w:pos="996"/>
              </w:tabs>
              <w:spacing w:after="0"/>
              <w:rPr>
                <w:rFonts w:ascii="MingLiU" w:eastAsiaTheme="minorEastAsia" w:hAnsi="Times New Roman" w:cs="MingLiU"/>
                <w:sz w:val="18"/>
                <w:szCs w:val="18"/>
              </w:rPr>
            </w:pPr>
          </w:p>
        </w:tc>
        <w:tc>
          <w:tcPr>
            <w:tcW w:w="1043" w:type="dxa"/>
          </w:tcPr>
          <w:p w14:paraId="30FCB1A8" w14:textId="77777777" w:rsidR="00BF070D" w:rsidRPr="001408BD" w:rsidRDefault="00BF070D">
            <w:pPr>
              <w:tabs>
                <w:tab w:val="left" w:pos="996"/>
              </w:tabs>
              <w:spacing w:after="0"/>
              <w:rPr>
                <w:rFonts w:ascii="MingLiU" w:eastAsiaTheme="minorEastAsia" w:hAnsi="Times New Roman" w:cs="MingLiU"/>
                <w:sz w:val="18"/>
                <w:szCs w:val="18"/>
              </w:rPr>
            </w:pPr>
          </w:p>
        </w:tc>
      </w:tr>
    </w:tbl>
    <w:p w14:paraId="2C3F1A01" w14:textId="77777777" w:rsidR="00BF070D" w:rsidRPr="001408BD" w:rsidRDefault="00BF070D">
      <w:pPr>
        <w:tabs>
          <w:tab w:val="left" w:pos="996"/>
        </w:tabs>
        <w:rPr>
          <w:rFonts w:asciiTheme="minorEastAsia" w:eastAsiaTheme="minorEastAsia" w:hAnsiTheme="minorEastAsia"/>
          <w:sz w:val="21"/>
          <w:szCs w:val="21"/>
        </w:rPr>
      </w:pPr>
    </w:p>
    <w:p w14:paraId="0BD54FE3" w14:textId="77777777" w:rsidR="00BF070D" w:rsidRPr="001408BD" w:rsidRDefault="003D47A1">
      <w:pPr>
        <w:tabs>
          <w:tab w:val="left" w:pos="996"/>
        </w:tabs>
        <w:rPr>
          <w:rFonts w:asciiTheme="minorEastAsia" w:eastAsiaTheme="minorEastAsia" w:hAnsiTheme="minorEastAsia"/>
          <w:sz w:val="21"/>
          <w:szCs w:val="21"/>
        </w:rPr>
      </w:pPr>
      <w:r w:rsidRPr="001408BD">
        <w:rPr>
          <w:rFonts w:asciiTheme="minorEastAsia" w:eastAsiaTheme="minorEastAsia" w:hAnsiTheme="minorEastAsia" w:hint="eastAsia"/>
          <w:sz w:val="24"/>
          <w:szCs w:val="24"/>
        </w:rPr>
        <w:t>4.2</w:t>
      </w:r>
      <w:r w:rsidRPr="001408BD">
        <w:rPr>
          <w:rFonts w:asciiTheme="minorEastAsia" w:eastAsiaTheme="minorEastAsia" w:hAnsiTheme="minorEastAsia" w:hint="eastAsia"/>
          <w:sz w:val="21"/>
          <w:szCs w:val="21"/>
        </w:rPr>
        <w:t>对照组和</w:t>
      </w:r>
      <w:proofErr w:type="gramStart"/>
      <w:r w:rsidRPr="001408BD">
        <w:rPr>
          <w:rFonts w:asciiTheme="minorEastAsia" w:eastAsiaTheme="minorEastAsia" w:hAnsiTheme="minorEastAsia" w:hint="eastAsia"/>
          <w:sz w:val="21"/>
          <w:szCs w:val="21"/>
        </w:rPr>
        <w:t>干预组</w:t>
      </w:r>
      <w:proofErr w:type="gramEnd"/>
      <w:r w:rsidRPr="001408BD">
        <w:rPr>
          <w:rFonts w:asciiTheme="minorEastAsia" w:eastAsiaTheme="minorEastAsia" w:hAnsiTheme="minorEastAsia" w:hint="eastAsia"/>
          <w:sz w:val="21"/>
          <w:szCs w:val="21"/>
        </w:rPr>
        <w:t>学生自主学习能力比较（分，</w:t>
      </w:r>
      <w:r w:rsidRPr="001408BD">
        <w:rPr>
          <w:rFonts w:asciiTheme="minorEastAsia" w:eastAsiaTheme="minorEastAsia" w:hAnsiTheme="minorEastAsia" w:hint="eastAsia"/>
          <w:sz w:val="21"/>
          <w:szCs w:val="21"/>
        </w:rPr>
        <w:t xml:space="preserve"> x </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 xml:space="preserve">s </w:t>
      </w:r>
      <w:r w:rsidRPr="001408BD">
        <w:rPr>
          <w:rFonts w:asciiTheme="minorEastAsia" w:eastAsiaTheme="minorEastAsia" w:hAnsiTheme="minorEastAsia" w:hint="eastAsia"/>
          <w:sz w:val="21"/>
          <w:szCs w:val="21"/>
        </w:rPr>
        <w:t>）</w:t>
      </w:r>
    </w:p>
    <w:tbl>
      <w:tblPr>
        <w:tblStyle w:val="a7"/>
        <w:tblW w:w="8522" w:type="dxa"/>
        <w:tblLayout w:type="fixed"/>
        <w:tblLook w:val="04A0" w:firstRow="1" w:lastRow="0" w:firstColumn="1" w:lastColumn="0" w:noHBand="0" w:noVBand="1"/>
      </w:tblPr>
      <w:tblGrid>
        <w:gridCol w:w="2093"/>
        <w:gridCol w:w="2268"/>
        <w:gridCol w:w="1984"/>
        <w:gridCol w:w="1134"/>
        <w:gridCol w:w="1043"/>
      </w:tblGrid>
      <w:tr w:rsidR="001408BD" w:rsidRPr="001408BD" w14:paraId="525C8874" w14:textId="77777777">
        <w:tc>
          <w:tcPr>
            <w:tcW w:w="2093" w:type="dxa"/>
          </w:tcPr>
          <w:p w14:paraId="116681CC"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维度</w:t>
            </w:r>
          </w:p>
        </w:tc>
        <w:tc>
          <w:tcPr>
            <w:tcW w:w="2268" w:type="dxa"/>
          </w:tcPr>
          <w:p w14:paraId="248E29C8"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对照组（</w:t>
            </w:r>
            <w:r w:rsidRPr="001408BD">
              <w:rPr>
                <w:rFonts w:asciiTheme="minorEastAsia" w:eastAsiaTheme="minorEastAsia" w:hAnsiTheme="minorEastAsia" w:hint="eastAsia"/>
                <w:sz w:val="21"/>
                <w:szCs w:val="21"/>
              </w:rPr>
              <w:t>n=47</w:t>
            </w:r>
            <w:r w:rsidRPr="001408BD">
              <w:rPr>
                <w:rFonts w:asciiTheme="minorEastAsia" w:eastAsiaTheme="minorEastAsia" w:hAnsiTheme="minorEastAsia" w:hint="eastAsia"/>
                <w:sz w:val="21"/>
                <w:szCs w:val="21"/>
              </w:rPr>
              <w:t>）</w:t>
            </w:r>
          </w:p>
        </w:tc>
        <w:tc>
          <w:tcPr>
            <w:tcW w:w="1984" w:type="dxa"/>
          </w:tcPr>
          <w:p w14:paraId="7CE599BF"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干预组（</w:t>
            </w:r>
            <w:r w:rsidRPr="001408BD">
              <w:rPr>
                <w:rFonts w:asciiTheme="minorEastAsia" w:eastAsiaTheme="minorEastAsia" w:hAnsiTheme="minorEastAsia" w:hint="eastAsia"/>
                <w:sz w:val="21"/>
                <w:szCs w:val="21"/>
              </w:rPr>
              <w:t>n=45</w:t>
            </w:r>
            <w:r w:rsidRPr="001408BD">
              <w:rPr>
                <w:rFonts w:asciiTheme="minorEastAsia" w:eastAsiaTheme="minorEastAsia" w:hAnsiTheme="minorEastAsia" w:hint="eastAsia"/>
                <w:sz w:val="21"/>
                <w:szCs w:val="21"/>
              </w:rPr>
              <w:t>）</w:t>
            </w:r>
          </w:p>
        </w:tc>
        <w:tc>
          <w:tcPr>
            <w:tcW w:w="1134" w:type="dxa"/>
          </w:tcPr>
          <w:p w14:paraId="0F482827"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i/>
                <w:sz w:val="21"/>
                <w:szCs w:val="21"/>
              </w:rPr>
              <w:t>t</w:t>
            </w:r>
            <w:r w:rsidRPr="001408BD">
              <w:rPr>
                <w:rFonts w:asciiTheme="minorEastAsia" w:eastAsiaTheme="minorEastAsia" w:hAnsiTheme="minorEastAsia" w:hint="eastAsia"/>
                <w:sz w:val="21"/>
                <w:szCs w:val="21"/>
              </w:rPr>
              <w:t>值</w:t>
            </w:r>
          </w:p>
        </w:tc>
        <w:tc>
          <w:tcPr>
            <w:tcW w:w="1043" w:type="dxa"/>
          </w:tcPr>
          <w:p w14:paraId="5E392C12"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i/>
                <w:sz w:val="21"/>
                <w:szCs w:val="21"/>
              </w:rPr>
              <w:t>P</w:t>
            </w:r>
            <w:r w:rsidRPr="001408BD">
              <w:rPr>
                <w:rFonts w:asciiTheme="minorEastAsia" w:eastAsiaTheme="minorEastAsia" w:hAnsiTheme="minorEastAsia" w:hint="eastAsia"/>
                <w:sz w:val="21"/>
                <w:szCs w:val="21"/>
              </w:rPr>
              <w:t>值</w:t>
            </w:r>
          </w:p>
        </w:tc>
      </w:tr>
      <w:tr w:rsidR="001408BD" w:rsidRPr="001408BD" w14:paraId="0724E9F4" w14:textId="77777777">
        <w:tc>
          <w:tcPr>
            <w:tcW w:w="2093" w:type="dxa"/>
          </w:tcPr>
          <w:p w14:paraId="42EBA2C8"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学习动机</w:t>
            </w:r>
          </w:p>
        </w:tc>
        <w:tc>
          <w:tcPr>
            <w:tcW w:w="2268" w:type="dxa"/>
          </w:tcPr>
          <w:p w14:paraId="64D0A7EC"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2.10</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0.36</w:t>
            </w:r>
          </w:p>
        </w:tc>
        <w:tc>
          <w:tcPr>
            <w:tcW w:w="1984" w:type="dxa"/>
          </w:tcPr>
          <w:p w14:paraId="33C6FDB3"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2.21</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0.48</w:t>
            </w:r>
          </w:p>
        </w:tc>
        <w:tc>
          <w:tcPr>
            <w:tcW w:w="1134" w:type="dxa"/>
          </w:tcPr>
          <w:p w14:paraId="73FF8441"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sz w:val="18"/>
                <w:szCs w:val="18"/>
              </w:rPr>
              <w:t>-1.314</w:t>
            </w:r>
          </w:p>
        </w:tc>
        <w:tc>
          <w:tcPr>
            <w:tcW w:w="1043" w:type="dxa"/>
          </w:tcPr>
          <w:p w14:paraId="2C81B5B7"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Theme="minorEastAsia" w:hAnsi="Times New Roman" w:cs="MingLiU" w:hint="eastAsia"/>
                <w:sz w:val="18"/>
                <w:szCs w:val="18"/>
              </w:rPr>
              <w:t>0</w:t>
            </w:r>
            <w:r w:rsidRPr="001408BD">
              <w:rPr>
                <w:rFonts w:ascii="MingLiU" w:eastAsia="MingLiU" w:hAnsi="Times New Roman" w:cs="MingLiU"/>
                <w:sz w:val="18"/>
                <w:szCs w:val="18"/>
              </w:rPr>
              <w:t>.193</w:t>
            </w:r>
          </w:p>
        </w:tc>
      </w:tr>
      <w:tr w:rsidR="001408BD" w:rsidRPr="001408BD" w14:paraId="223722DC" w14:textId="77777777">
        <w:tc>
          <w:tcPr>
            <w:tcW w:w="2093" w:type="dxa"/>
          </w:tcPr>
          <w:p w14:paraId="2E2FD928"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自我管理能力</w:t>
            </w:r>
          </w:p>
        </w:tc>
        <w:tc>
          <w:tcPr>
            <w:tcW w:w="2268" w:type="dxa"/>
          </w:tcPr>
          <w:p w14:paraId="7CAAB11D"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2.13</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0.38</w:t>
            </w:r>
          </w:p>
        </w:tc>
        <w:tc>
          <w:tcPr>
            <w:tcW w:w="1984" w:type="dxa"/>
          </w:tcPr>
          <w:p w14:paraId="3B59A0B8"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2.32</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0.46</w:t>
            </w:r>
          </w:p>
        </w:tc>
        <w:tc>
          <w:tcPr>
            <w:tcW w:w="1134" w:type="dxa"/>
          </w:tcPr>
          <w:p w14:paraId="78777DFE"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sz w:val="18"/>
                <w:szCs w:val="18"/>
              </w:rPr>
              <w:t>-2.132</w:t>
            </w:r>
          </w:p>
        </w:tc>
        <w:tc>
          <w:tcPr>
            <w:tcW w:w="1043" w:type="dxa"/>
          </w:tcPr>
          <w:p w14:paraId="1B298099"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宋体" w:hAnsi="Times New Roman" w:cs="MingLiU" w:hint="eastAsia"/>
                <w:sz w:val="18"/>
                <w:szCs w:val="18"/>
              </w:rPr>
              <w:t>0</w:t>
            </w:r>
            <w:r w:rsidRPr="001408BD">
              <w:rPr>
                <w:rFonts w:ascii="MingLiU" w:eastAsia="MingLiU" w:hAnsi="Times New Roman" w:cs="MingLiU"/>
                <w:sz w:val="18"/>
                <w:szCs w:val="18"/>
              </w:rPr>
              <w:t>.036</w:t>
            </w:r>
          </w:p>
        </w:tc>
      </w:tr>
      <w:tr w:rsidR="001408BD" w:rsidRPr="001408BD" w14:paraId="78CE7690" w14:textId="77777777">
        <w:tc>
          <w:tcPr>
            <w:tcW w:w="2093" w:type="dxa"/>
          </w:tcPr>
          <w:p w14:paraId="38410B05"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学习合作能力</w:t>
            </w:r>
          </w:p>
        </w:tc>
        <w:tc>
          <w:tcPr>
            <w:tcW w:w="2268" w:type="dxa"/>
          </w:tcPr>
          <w:p w14:paraId="32508207"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2.70</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0.60</w:t>
            </w:r>
          </w:p>
        </w:tc>
        <w:tc>
          <w:tcPr>
            <w:tcW w:w="1984" w:type="dxa"/>
          </w:tcPr>
          <w:p w14:paraId="55991DC2"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3.00</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0.36</w:t>
            </w:r>
          </w:p>
        </w:tc>
        <w:tc>
          <w:tcPr>
            <w:tcW w:w="1134" w:type="dxa"/>
          </w:tcPr>
          <w:p w14:paraId="6E1785CC"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MingLiU" w:hAnsi="Times New Roman" w:cs="MingLiU"/>
                <w:sz w:val="18"/>
                <w:szCs w:val="18"/>
              </w:rPr>
              <w:t>-2.853</w:t>
            </w:r>
          </w:p>
        </w:tc>
        <w:tc>
          <w:tcPr>
            <w:tcW w:w="1043" w:type="dxa"/>
          </w:tcPr>
          <w:p w14:paraId="1774D9A6" w14:textId="77777777" w:rsidR="00BF070D" w:rsidRPr="001408BD" w:rsidRDefault="003D47A1">
            <w:pPr>
              <w:tabs>
                <w:tab w:val="left" w:pos="996"/>
              </w:tabs>
              <w:spacing w:after="0"/>
              <w:rPr>
                <w:rFonts w:ascii="MingLiU" w:eastAsia="MingLiU" w:hAnsi="Times New Roman" w:cs="MingLiU"/>
                <w:sz w:val="18"/>
                <w:szCs w:val="18"/>
              </w:rPr>
            </w:pPr>
            <w:r w:rsidRPr="001408BD">
              <w:rPr>
                <w:rFonts w:ascii="MingLiU" w:eastAsia="宋体" w:hAnsi="Times New Roman" w:cs="MingLiU" w:hint="eastAsia"/>
                <w:sz w:val="18"/>
                <w:szCs w:val="18"/>
              </w:rPr>
              <w:t>0</w:t>
            </w:r>
            <w:r w:rsidRPr="001408BD">
              <w:rPr>
                <w:rFonts w:ascii="MingLiU" w:eastAsia="MingLiU" w:hAnsi="Times New Roman" w:cs="MingLiU"/>
                <w:sz w:val="18"/>
                <w:szCs w:val="18"/>
              </w:rPr>
              <w:t>.006</w:t>
            </w:r>
          </w:p>
        </w:tc>
      </w:tr>
      <w:tr w:rsidR="001408BD" w:rsidRPr="001408BD" w14:paraId="5DBE62B7" w14:textId="77777777">
        <w:tc>
          <w:tcPr>
            <w:tcW w:w="2093" w:type="dxa"/>
          </w:tcPr>
          <w:p w14:paraId="23A77A89"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信息素质</w:t>
            </w:r>
          </w:p>
        </w:tc>
        <w:tc>
          <w:tcPr>
            <w:tcW w:w="2268" w:type="dxa"/>
          </w:tcPr>
          <w:p w14:paraId="6B1495EF"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2.39</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0.44</w:t>
            </w:r>
          </w:p>
        </w:tc>
        <w:tc>
          <w:tcPr>
            <w:tcW w:w="1984" w:type="dxa"/>
          </w:tcPr>
          <w:p w14:paraId="0FC8EC8F"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Theme="minorEastAsia" w:eastAsiaTheme="minorEastAsia" w:hAnsiTheme="minorEastAsia" w:hint="eastAsia"/>
                <w:sz w:val="21"/>
                <w:szCs w:val="21"/>
              </w:rPr>
              <w:t>2.76</w:t>
            </w:r>
            <w:r w:rsidRPr="001408BD">
              <w:rPr>
                <w:rFonts w:asciiTheme="minorEastAsia" w:eastAsiaTheme="minorEastAsia" w:hAnsiTheme="minorEastAsia" w:hint="eastAsia"/>
                <w:sz w:val="21"/>
                <w:szCs w:val="21"/>
              </w:rPr>
              <w:t>±</w:t>
            </w:r>
            <w:r w:rsidRPr="001408BD">
              <w:rPr>
                <w:rFonts w:asciiTheme="minorEastAsia" w:eastAsiaTheme="minorEastAsia" w:hAnsiTheme="minorEastAsia" w:hint="eastAsia"/>
                <w:sz w:val="21"/>
                <w:szCs w:val="21"/>
              </w:rPr>
              <w:t>0.43</w:t>
            </w:r>
          </w:p>
        </w:tc>
        <w:tc>
          <w:tcPr>
            <w:tcW w:w="1134" w:type="dxa"/>
          </w:tcPr>
          <w:p w14:paraId="2A27F1CF"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Theme="minorEastAsia" w:hAnsi="Times New Roman" w:cs="MingLiU" w:hint="eastAsia"/>
                <w:sz w:val="18"/>
                <w:szCs w:val="18"/>
              </w:rPr>
              <w:t>-4.053</w:t>
            </w:r>
          </w:p>
        </w:tc>
        <w:tc>
          <w:tcPr>
            <w:tcW w:w="1043" w:type="dxa"/>
          </w:tcPr>
          <w:p w14:paraId="59744D17" w14:textId="77777777" w:rsidR="00BF070D" w:rsidRPr="001408BD" w:rsidRDefault="003D47A1">
            <w:pPr>
              <w:tabs>
                <w:tab w:val="left" w:pos="996"/>
              </w:tabs>
              <w:spacing w:after="0"/>
              <w:rPr>
                <w:rFonts w:asciiTheme="minorEastAsia" w:eastAsiaTheme="minorEastAsia" w:hAnsiTheme="minorEastAsia"/>
                <w:sz w:val="21"/>
                <w:szCs w:val="21"/>
              </w:rPr>
            </w:pPr>
            <w:r w:rsidRPr="001408BD">
              <w:rPr>
                <w:rFonts w:ascii="MingLiU" w:eastAsia="宋体" w:hAnsi="Times New Roman" w:cs="MingLiU" w:hint="eastAsia"/>
                <w:sz w:val="18"/>
                <w:szCs w:val="18"/>
              </w:rPr>
              <w:t>0</w:t>
            </w:r>
            <w:r w:rsidRPr="001408BD">
              <w:rPr>
                <w:rFonts w:ascii="MingLiU" w:eastAsia="MingLiU" w:hAnsi="Times New Roman" w:cs="MingLiU"/>
                <w:sz w:val="18"/>
                <w:szCs w:val="18"/>
              </w:rPr>
              <w:t>.000</w:t>
            </w:r>
          </w:p>
        </w:tc>
      </w:tr>
      <w:tr w:rsidR="001408BD" w:rsidRPr="001408BD" w14:paraId="27D67730" w14:textId="77777777">
        <w:tc>
          <w:tcPr>
            <w:tcW w:w="2093" w:type="dxa"/>
          </w:tcPr>
          <w:p w14:paraId="6BDDEDE1" w14:textId="77777777" w:rsidR="00BF070D" w:rsidRPr="001408BD" w:rsidRDefault="00BF070D">
            <w:pPr>
              <w:tabs>
                <w:tab w:val="left" w:pos="996"/>
              </w:tabs>
              <w:spacing w:after="0"/>
              <w:rPr>
                <w:rFonts w:ascii="MingLiU" w:eastAsiaTheme="minorEastAsia" w:hAnsi="Times New Roman" w:cs="MingLiU"/>
                <w:sz w:val="18"/>
                <w:szCs w:val="18"/>
              </w:rPr>
            </w:pPr>
          </w:p>
        </w:tc>
        <w:tc>
          <w:tcPr>
            <w:tcW w:w="2268" w:type="dxa"/>
          </w:tcPr>
          <w:p w14:paraId="3BFBC40E" w14:textId="77777777" w:rsidR="00BF070D" w:rsidRPr="001408BD" w:rsidRDefault="00BF070D">
            <w:pPr>
              <w:tabs>
                <w:tab w:val="left" w:pos="996"/>
              </w:tabs>
              <w:spacing w:after="0"/>
              <w:rPr>
                <w:rFonts w:asciiTheme="minorEastAsia" w:eastAsiaTheme="minorEastAsia" w:hAnsiTheme="minorEastAsia"/>
                <w:sz w:val="21"/>
                <w:szCs w:val="21"/>
              </w:rPr>
            </w:pPr>
          </w:p>
        </w:tc>
        <w:tc>
          <w:tcPr>
            <w:tcW w:w="1984" w:type="dxa"/>
          </w:tcPr>
          <w:p w14:paraId="449D158B" w14:textId="77777777" w:rsidR="00BF070D" w:rsidRPr="001408BD" w:rsidRDefault="00BF070D">
            <w:pPr>
              <w:tabs>
                <w:tab w:val="left" w:pos="996"/>
              </w:tabs>
              <w:spacing w:after="0"/>
              <w:rPr>
                <w:rFonts w:asciiTheme="minorEastAsia" w:eastAsiaTheme="minorEastAsia" w:hAnsiTheme="minorEastAsia"/>
                <w:sz w:val="21"/>
                <w:szCs w:val="21"/>
              </w:rPr>
            </w:pPr>
          </w:p>
        </w:tc>
        <w:tc>
          <w:tcPr>
            <w:tcW w:w="1134" w:type="dxa"/>
          </w:tcPr>
          <w:p w14:paraId="595041C6" w14:textId="77777777" w:rsidR="00BF070D" w:rsidRPr="001408BD" w:rsidRDefault="00BF070D">
            <w:pPr>
              <w:tabs>
                <w:tab w:val="left" w:pos="996"/>
              </w:tabs>
              <w:spacing w:after="0"/>
              <w:rPr>
                <w:rFonts w:ascii="MingLiU" w:eastAsiaTheme="minorEastAsia" w:hAnsi="Times New Roman" w:cs="MingLiU"/>
                <w:sz w:val="18"/>
                <w:szCs w:val="18"/>
              </w:rPr>
            </w:pPr>
          </w:p>
        </w:tc>
        <w:tc>
          <w:tcPr>
            <w:tcW w:w="1043" w:type="dxa"/>
          </w:tcPr>
          <w:p w14:paraId="76F81F52" w14:textId="77777777" w:rsidR="00BF070D" w:rsidRPr="001408BD" w:rsidRDefault="00BF070D">
            <w:pPr>
              <w:tabs>
                <w:tab w:val="left" w:pos="996"/>
              </w:tabs>
              <w:spacing w:after="0"/>
              <w:rPr>
                <w:rFonts w:ascii="MingLiU" w:eastAsia="宋体" w:hAnsi="Times New Roman" w:cs="MingLiU"/>
                <w:sz w:val="18"/>
                <w:szCs w:val="18"/>
              </w:rPr>
            </w:pPr>
          </w:p>
        </w:tc>
      </w:tr>
    </w:tbl>
    <w:p w14:paraId="69A74394" w14:textId="77777777" w:rsidR="00BF070D" w:rsidRPr="001408BD" w:rsidRDefault="00BF070D">
      <w:pPr>
        <w:tabs>
          <w:tab w:val="left" w:pos="996"/>
        </w:tabs>
        <w:rPr>
          <w:rFonts w:asciiTheme="minorEastAsia" w:eastAsiaTheme="minorEastAsia" w:hAnsiTheme="minorEastAsia"/>
          <w:sz w:val="24"/>
          <w:szCs w:val="24"/>
        </w:rPr>
      </w:pPr>
    </w:p>
    <w:p w14:paraId="50D8681F" w14:textId="77777777" w:rsidR="00BF070D" w:rsidRPr="001408BD" w:rsidRDefault="003D47A1">
      <w:pPr>
        <w:tabs>
          <w:tab w:val="left" w:pos="996"/>
        </w:tabs>
        <w:rPr>
          <w:rFonts w:asciiTheme="minorEastAsia" w:eastAsiaTheme="minorEastAsia" w:hAnsiTheme="minorEastAsia"/>
          <w:sz w:val="24"/>
          <w:szCs w:val="24"/>
        </w:rPr>
      </w:pPr>
      <w:r w:rsidRPr="001408BD">
        <w:rPr>
          <w:rFonts w:asciiTheme="minorEastAsia" w:eastAsiaTheme="minorEastAsia" w:hAnsiTheme="minorEastAsia" w:hint="eastAsia"/>
          <w:sz w:val="24"/>
          <w:szCs w:val="24"/>
        </w:rPr>
        <w:t>5</w:t>
      </w:r>
      <w:r w:rsidRPr="001408BD">
        <w:rPr>
          <w:rFonts w:asciiTheme="minorEastAsia" w:eastAsiaTheme="minorEastAsia" w:hAnsiTheme="minorEastAsia" w:hint="eastAsia"/>
          <w:sz w:val="24"/>
          <w:szCs w:val="24"/>
        </w:rPr>
        <w:t>讨论</w:t>
      </w:r>
    </w:p>
    <w:p w14:paraId="191F418F" w14:textId="7A4B1A1C" w:rsidR="00BF070D" w:rsidRPr="001408BD" w:rsidRDefault="003D47A1">
      <w:pPr>
        <w:tabs>
          <w:tab w:val="left" w:pos="996"/>
        </w:tabs>
        <w:rPr>
          <w:rFonts w:asciiTheme="minorEastAsia" w:eastAsiaTheme="minorEastAsia" w:hAnsiTheme="minorEastAsia" w:hint="eastAsia"/>
          <w:sz w:val="24"/>
          <w:szCs w:val="24"/>
        </w:rPr>
      </w:pPr>
      <w:r w:rsidRPr="001408BD">
        <w:rPr>
          <w:rFonts w:asciiTheme="minorEastAsia" w:eastAsiaTheme="minorEastAsia" w:hAnsiTheme="minorEastAsia" w:hint="eastAsia"/>
          <w:sz w:val="24"/>
          <w:szCs w:val="24"/>
        </w:rPr>
        <w:t>5.1</w:t>
      </w:r>
      <w:r w:rsidRPr="001408BD">
        <w:rPr>
          <w:rFonts w:asciiTheme="minorEastAsia" w:eastAsiaTheme="minorEastAsia" w:hAnsiTheme="minorEastAsia" w:hint="eastAsia"/>
          <w:sz w:val="24"/>
          <w:szCs w:val="24"/>
        </w:rPr>
        <w:t>该教学模式和方法能明显提升学生“</w:t>
      </w:r>
      <w:r w:rsidRPr="001408BD">
        <w:rPr>
          <w:rFonts w:asciiTheme="minorEastAsia" w:eastAsiaTheme="minorEastAsia" w:hAnsiTheme="minorEastAsia" w:hint="eastAsia"/>
          <w:sz w:val="24"/>
          <w:szCs w:val="24"/>
        </w:rPr>
        <w:t>灌输信念和希望、科学解决健康问题、提供良好环境</w:t>
      </w:r>
      <w:r w:rsidRPr="001408BD">
        <w:rPr>
          <w:rFonts w:asciiTheme="minorEastAsia" w:eastAsiaTheme="minorEastAsia" w:hAnsiTheme="minorEastAsia" w:hint="eastAsia"/>
          <w:sz w:val="24"/>
          <w:szCs w:val="24"/>
        </w:rPr>
        <w:t>”三个方面的人文关怀能力（</w:t>
      </w:r>
      <w:r w:rsidRPr="001408BD">
        <w:rPr>
          <w:rFonts w:asciiTheme="minorEastAsia" w:eastAsiaTheme="minorEastAsia" w:hAnsiTheme="minorEastAsia" w:hint="eastAsia"/>
          <w:sz w:val="24"/>
          <w:szCs w:val="24"/>
        </w:rPr>
        <w:t>P</w:t>
      </w:r>
      <w:r w:rsidRPr="001408BD">
        <w:rPr>
          <w:rFonts w:asciiTheme="minorEastAsia" w:eastAsiaTheme="minorEastAsia" w:hAnsiTheme="minorEastAsia" w:hint="eastAsia"/>
          <w:sz w:val="24"/>
          <w:szCs w:val="24"/>
        </w:rPr>
        <w:t>≤</w:t>
      </w:r>
      <w:r w:rsidRPr="001408BD">
        <w:rPr>
          <w:rFonts w:asciiTheme="minorEastAsia" w:eastAsiaTheme="minorEastAsia" w:hAnsiTheme="minorEastAsia" w:hint="eastAsia"/>
          <w:sz w:val="24"/>
          <w:szCs w:val="24"/>
        </w:rPr>
        <w:t>0.05</w:t>
      </w:r>
      <w:r w:rsidRPr="001408BD">
        <w:rPr>
          <w:rFonts w:asciiTheme="minorEastAsia" w:eastAsiaTheme="minorEastAsia" w:hAnsiTheme="minorEastAsia" w:hint="eastAsia"/>
          <w:sz w:val="24"/>
          <w:szCs w:val="24"/>
        </w:rPr>
        <w:t>）。这与教学过程中以多个病案作为教学的方式和内容应该有较为密切关系。每一组学生经过</w:t>
      </w:r>
      <w:r w:rsidRPr="001408BD">
        <w:rPr>
          <w:rFonts w:asciiTheme="minorEastAsia" w:eastAsiaTheme="minorEastAsia" w:hAnsiTheme="minorEastAsia" w:hint="eastAsia"/>
          <w:sz w:val="24"/>
          <w:szCs w:val="24"/>
        </w:rPr>
        <w:t>5-8</w:t>
      </w:r>
      <w:r w:rsidRPr="001408BD">
        <w:rPr>
          <w:rFonts w:asciiTheme="minorEastAsia" w:eastAsiaTheme="minorEastAsia" w:hAnsiTheme="minorEastAsia" w:hint="eastAsia"/>
          <w:sz w:val="24"/>
          <w:szCs w:val="24"/>
        </w:rPr>
        <w:t>个临床病案的讨论、分析、实践，很好地锻炼了学生的临床思维能力。同时，在练习、考核阶段强化了准备和沟通环节，使学生能主动进行操作解释，病情问诊等，并通过语言向病人传递信心和希望，关注病室环境等。但是在此过程中，我们发现，学生一般限于机械的流程式沟通</w:t>
      </w:r>
      <w:r w:rsidR="007E5916" w:rsidRPr="001408BD">
        <w:rPr>
          <w:rFonts w:asciiTheme="minorEastAsia" w:eastAsiaTheme="minorEastAsia" w:hAnsiTheme="minorEastAsia" w:hint="eastAsia"/>
          <w:sz w:val="24"/>
          <w:szCs w:val="24"/>
        </w:rPr>
        <w:t>。根据患者不同的病情，不同的年龄，不同的职业等采取灵活的、个体性沟通方式的能力有待提高。可以在以后的教学环节中给予这方面强化训练。</w:t>
      </w:r>
    </w:p>
    <w:p w14:paraId="5F22CBB0" w14:textId="1782E58F" w:rsidR="00BF070D" w:rsidRPr="001408BD" w:rsidRDefault="003D47A1">
      <w:pPr>
        <w:tabs>
          <w:tab w:val="left" w:pos="996"/>
        </w:tabs>
        <w:rPr>
          <w:rFonts w:asciiTheme="minorEastAsia" w:eastAsiaTheme="minorEastAsia" w:hAnsiTheme="minorEastAsia" w:hint="eastAsia"/>
          <w:sz w:val="24"/>
          <w:szCs w:val="24"/>
        </w:rPr>
      </w:pPr>
      <w:r w:rsidRPr="001408BD">
        <w:rPr>
          <w:rFonts w:asciiTheme="minorEastAsia" w:eastAsiaTheme="minorEastAsia" w:hAnsiTheme="minorEastAsia" w:hint="eastAsia"/>
          <w:sz w:val="24"/>
          <w:szCs w:val="24"/>
        </w:rPr>
        <w:lastRenderedPageBreak/>
        <w:t xml:space="preserve">5.2 </w:t>
      </w:r>
      <w:r w:rsidRPr="001408BD">
        <w:rPr>
          <w:rFonts w:asciiTheme="minorEastAsia" w:eastAsiaTheme="minorEastAsia" w:hAnsiTheme="minorEastAsia" w:hint="eastAsia"/>
          <w:sz w:val="24"/>
          <w:szCs w:val="24"/>
        </w:rPr>
        <w:t>该教学模式和方法在学生人文关怀能</w:t>
      </w:r>
      <w:r w:rsidRPr="001408BD">
        <w:rPr>
          <w:rFonts w:asciiTheme="minorEastAsia" w:eastAsiaTheme="minorEastAsia" w:hAnsiTheme="minorEastAsia" w:hint="eastAsia"/>
          <w:sz w:val="24"/>
          <w:szCs w:val="24"/>
        </w:rPr>
        <w:t>力的其他维</w:t>
      </w:r>
      <w:proofErr w:type="gramStart"/>
      <w:r w:rsidRPr="001408BD">
        <w:rPr>
          <w:rFonts w:asciiTheme="minorEastAsia" w:eastAsiaTheme="minorEastAsia" w:hAnsiTheme="minorEastAsia" w:hint="eastAsia"/>
          <w:sz w:val="24"/>
          <w:szCs w:val="24"/>
        </w:rPr>
        <w:t>度作用</w:t>
      </w:r>
      <w:proofErr w:type="gramEnd"/>
      <w:r w:rsidRPr="001408BD">
        <w:rPr>
          <w:rFonts w:asciiTheme="minorEastAsia" w:eastAsiaTheme="minorEastAsia" w:hAnsiTheme="minorEastAsia" w:hint="eastAsia"/>
          <w:sz w:val="24"/>
          <w:szCs w:val="24"/>
        </w:rPr>
        <w:t>差异较大。由结果可以看出，“</w:t>
      </w:r>
      <w:r w:rsidRPr="001408BD">
        <w:rPr>
          <w:rFonts w:asciiTheme="minorEastAsia" w:eastAsiaTheme="minorEastAsia" w:hAnsiTheme="minorEastAsia" w:hint="eastAsia"/>
          <w:sz w:val="24"/>
          <w:szCs w:val="24"/>
        </w:rPr>
        <w:t>人道利他价值观、促进情感交流</w:t>
      </w:r>
      <w:r w:rsidRPr="001408BD">
        <w:rPr>
          <w:rFonts w:asciiTheme="minorEastAsia" w:eastAsiaTheme="minorEastAsia" w:hAnsiTheme="minorEastAsia" w:hint="eastAsia"/>
          <w:sz w:val="24"/>
          <w:szCs w:val="24"/>
        </w:rPr>
        <w:t>”两个维度方面，结果差异虽然没有统计学意义，但是仍然呈现正向改变；</w:t>
      </w:r>
      <w:r w:rsidR="007E5916" w:rsidRPr="001408BD">
        <w:rPr>
          <w:rFonts w:asciiTheme="minorEastAsia" w:eastAsiaTheme="minorEastAsia" w:hAnsiTheme="minorEastAsia" w:hint="eastAsia"/>
          <w:sz w:val="24"/>
          <w:szCs w:val="24"/>
        </w:rPr>
        <w:t>这可能与干预的对象数量、时间等有一定的关系。</w:t>
      </w:r>
      <w:r w:rsidRPr="001408BD">
        <w:rPr>
          <w:rFonts w:asciiTheme="minorEastAsia" w:eastAsiaTheme="minorEastAsia" w:hAnsiTheme="minorEastAsia" w:hint="eastAsia"/>
          <w:sz w:val="24"/>
          <w:szCs w:val="24"/>
        </w:rPr>
        <w:t>但是在“</w:t>
      </w:r>
      <w:r w:rsidRPr="001408BD">
        <w:rPr>
          <w:rFonts w:asciiTheme="minorEastAsia" w:eastAsiaTheme="minorEastAsia" w:hAnsiTheme="minorEastAsia" w:hint="eastAsia"/>
          <w:sz w:val="24"/>
          <w:szCs w:val="24"/>
        </w:rPr>
        <w:t>健康教育、协助满足基本需要、帮助解决困难</w:t>
      </w:r>
      <w:r w:rsidRPr="001408BD">
        <w:rPr>
          <w:rFonts w:asciiTheme="minorEastAsia" w:eastAsiaTheme="minorEastAsia" w:hAnsiTheme="minorEastAsia" w:hint="eastAsia"/>
          <w:sz w:val="24"/>
          <w:szCs w:val="24"/>
        </w:rPr>
        <w:t>”三个维度上，差异不仅没有统计学意义，并且呈现负性改变。</w:t>
      </w:r>
      <w:r w:rsidR="007E5916" w:rsidRPr="001408BD">
        <w:rPr>
          <w:rFonts w:asciiTheme="minorEastAsia" w:eastAsiaTheme="minorEastAsia" w:hAnsiTheme="minorEastAsia" w:hint="eastAsia"/>
          <w:sz w:val="24"/>
          <w:szCs w:val="24"/>
        </w:rPr>
        <w:t>分析后发现，这三个维</w:t>
      </w:r>
      <w:proofErr w:type="gramStart"/>
      <w:r w:rsidR="007E5916" w:rsidRPr="001408BD">
        <w:rPr>
          <w:rFonts w:asciiTheme="minorEastAsia" w:eastAsiaTheme="minorEastAsia" w:hAnsiTheme="minorEastAsia" w:hint="eastAsia"/>
          <w:sz w:val="24"/>
          <w:szCs w:val="24"/>
        </w:rPr>
        <w:t>度更多</w:t>
      </w:r>
      <w:proofErr w:type="gramEnd"/>
      <w:r w:rsidR="007E5916" w:rsidRPr="001408BD">
        <w:rPr>
          <w:rFonts w:asciiTheme="minorEastAsia" w:eastAsiaTheme="minorEastAsia" w:hAnsiTheme="minorEastAsia" w:hint="eastAsia"/>
          <w:sz w:val="24"/>
          <w:szCs w:val="24"/>
        </w:rPr>
        <w:t>的是要求学生不仅具有较为丰富的知识储备，同时具有主动开展工作的意识和能力。由于学生</w:t>
      </w:r>
      <w:proofErr w:type="gramStart"/>
      <w:r w:rsidR="007E5916" w:rsidRPr="001408BD">
        <w:rPr>
          <w:rFonts w:asciiTheme="minorEastAsia" w:eastAsiaTheme="minorEastAsia" w:hAnsiTheme="minorEastAsia" w:hint="eastAsia"/>
          <w:sz w:val="24"/>
          <w:szCs w:val="24"/>
        </w:rPr>
        <w:t>前期医学</w:t>
      </w:r>
      <w:proofErr w:type="gramEnd"/>
      <w:r w:rsidR="007E5916" w:rsidRPr="001408BD">
        <w:rPr>
          <w:rFonts w:asciiTheme="minorEastAsia" w:eastAsiaTheme="minorEastAsia" w:hAnsiTheme="minorEastAsia" w:hint="eastAsia"/>
          <w:sz w:val="24"/>
          <w:szCs w:val="24"/>
        </w:rPr>
        <w:t>基础知识的遗忘，《成人护理学》刚开始学习，沟通过程大多处于模仿和程式化的方式，故导致这三个维</w:t>
      </w:r>
      <w:proofErr w:type="gramStart"/>
      <w:r w:rsidR="007E5916" w:rsidRPr="001408BD">
        <w:rPr>
          <w:rFonts w:asciiTheme="minorEastAsia" w:eastAsiaTheme="minorEastAsia" w:hAnsiTheme="minorEastAsia" w:hint="eastAsia"/>
          <w:sz w:val="24"/>
          <w:szCs w:val="24"/>
        </w:rPr>
        <w:t>度效果</w:t>
      </w:r>
      <w:proofErr w:type="gramEnd"/>
      <w:r w:rsidR="007E5916" w:rsidRPr="001408BD">
        <w:rPr>
          <w:rFonts w:asciiTheme="minorEastAsia" w:eastAsiaTheme="minorEastAsia" w:hAnsiTheme="minorEastAsia" w:hint="eastAsia"/>
          <w:sz w:val="24"/>
          <w:szCs w:val="24"/>
        </w:rPr>
        <w:t>较差。</w:t>
      </w:r>
    </w:p>
    <w:p w14:paraId="54ECF661" w14:textId="04BB396D" w:rsidR="00BF070D" w:rsidRPr="001408BD" w:rsidRDefault="003D47A1">
      <w:pPr>
        <w:tabs>
          <w:tab w:val="left" w:pos="996"/>
        </w:tabs>
        <w:rPr>
          <w:rFonts w:asciiTheme="minorEastAsia" w:eastAsiaTheme="minorEastAsia" w:hAnsiTheme="minorEastAsia" w:hint="eastAsia"/>
          <w:sz w:val="24"/>
          <w:szCs w:val="24"/>
        </w:rPr>
      </w:pPr>
      <w:r w:rsidRPr="001408BD">
        <w:rPr>
          <w:rFonts w:asciiTheme="minorEastAsia" w:eastAsiaTheme="minorEastAsia" w:hAnsiTheme="minorEastAsia" w:hint="eastAsia"/>
          <w:sz w:val="24"/>
          <w:szCs w:val="24"/>
        </w:rPr>
        <w:t>5.3</w:t>
      </w:r>
      <w:r w:rsidR="007A54D4" w:rsidRPr="001408BD">
        <w:rPr>
          <w:rFonts w:asciiTheme="minorEastAsia" w:eastAsiaTheme="minorEastAsia" w:hAnsiTheme="minorEastAsia"/>
          <w:sz w:val="24"/>
          <w:szCs w:val="24"/>
        </w:rPr>
        <w:t xml:space="preserve"> </w:t>
      </w:r>
      <w:r w:rsidR="007A54D4" w:rsidRPr="001408BD">
        <w:rPr>
          <w:rFonts w:asciiTheme="minorEastAsia" w:eastAsiaTheme="minorEastAsia" w:hAnsiTheme="minorEastAsia" w:hint="eastAsia"/>
          <w:sz w:val="24"/>
          <w:szCs w:val="24"/>
        </w:rPr>
        <w:t>该教学模式和方法能显著改善学生“学习合作能力、信息素质”（P≤0.01）</w:t>
      </w:r>
      <w:r w:rsidR="007A54D4" w:rsidRPr="001408BD">
        <w:rPr>
          <w:rFonts w:asciiTheme="minorEastAsia" w:eastAsiaTheme="minorEastAsia" w:hAnsiTheme="minorEastAsia" w:hint="eastAsia"/>
          <w:sz w:val="24"/>
          <w:szCs w:val="24"/>
        </w:rPr>
        <w:t>，</w:t>
      </w:r>
      <w:r w:rsidR="007A54D4" w:rsidRPr="001408BD">
        <w:rPr>
          <w:rFonts w:asciiTheme="minorEastAsia" w:eastAsiaTheme="minorEastAsia" w:hAnsiTheme="minorEastAsia" w:hint="eastAsia"/>
          <w:sz w:val="24"/>
          <w:szCs w:val="24"/>
        </w:rPr>
        <w:t>明显改善学生“自我管理能力”（P≤0.05）。</w:t>
      </w:r>
      <w:r w:rsidR="001408BD" w:rsidRPr="001408BD">
        <w:rPr>
          <w:rFonts w:asciiTheme="minorEastAsia" w:eastAsiaTheme="minorEastAsia" w:hAnsiTheme="minorEastAsia" w:hint="eastAsia"/>
          <w:sz w:val="24"/>
          <w:szCs w:val="24"/>
        </w:rPr>
        <w:t>由于在学习过程中要求</w:t>
      </w:r>
      <w:proofErr w:type="gramStart"/>
      <w:r w:rsidR="001408BD" w:rsidRPr="001408BD">
        <w:rPr>
          <w:rFonts w:asciiTheme="minorEastAsia" w:eastAsiaTheme="minorEastAsia" w:hAnsiTheme="minorEastAsia" w:hint="eastAsia"/>
          <w:sz w:val="24"/>
          <w:szCs w:val="24"/>
        </w:rPr>
        <w:t>干预组</w:t>
      </w:r>
      <w:proofErr w:type="gramEnd"/>
      <w:r w:rsidR="001408BD" w:rsidRPr="001408BD">
        <w:rPr>
          <w:rFonts w:asciiTheme="minorEastAsia" w:eastAsiaTheme="minorEastAsia" w:hAnsiTheme="minorEastAsia" w:hint="eastAsia"/>
          <w:sz w:val="24"/>
          <w:szCs w:val="24"/>
        </w:rPr>
        <w:t>学生主动搜集和整理分析资料，要求组员相互合作共同完成一个任务。这很好锻炼了学生的合作能力、信息素质，同时对课后时间的充分利用很好锻炼了学生课下的自我管理能力。但在这个过程中也存在一些问题。比如，个别组员的不积极，不同指挥，抄袭他人的成果，课堂回答问题不积极等。如何采取一定的调控措施，保证每一个成员都能积极参与，保障学习效果是接下来需要认真研究和解决的问题。</w:t>
      </w:r>
    </w:p>
    <w:p w14:paraId="2E3A8F9F" w14:textId="1B0F224B" w:rsidR="00BF070D" w:rsidRPr="001408BD" w:rsidRDefault="003D47A1">
      <w:pPr>
        <w:tabs>
          <w:tab w:val="left" w:pos="996"/>
        </w:tabs>
        <w:rPr>
          <w:rFonts w:asciiTheme="minorEastAsia" w:eastAsiaTheme="minorEastAsia" w:hAnsiTheme="minorEastAsia" w:hint="eastAsia"/>
          <w:sz w:val="24"/>
          <w:szCs w:val="24"/>
        </w:rPr>
      </w:pPr>
      <w:r w:rsidRPr="001408BD">
        <w:rPr>
          <w:rFonts w:asciiTheme="minorEastAsia" w:eastAsiaTheme="minorEastAsia" w:hAnsiTheme="minorEastAsia" w:hint="eastAsia"/>
          <w:sz w:val="24"/>
          <w:szCs w:val="24"/>
        </w:rPr>
        <w:t>5.4</w:t>
      </w:r>
      <w:r w:rsidR="007A54D4" w:rsidRPr="001408BD">
        <w:rPr>
          <w:rFonts w:asciiTheme="minorEastAsia" w:eastAsiaTheme="minorEastAsia" w:hAnsiTheme="minorEastAsia"/>
          <w:sz w:val="24"/>
          <w:szCs w:val="24"/>
        </w:rPr>
        <w:t xml:space="preserve"> </w:t>
      </w:r>
      <w:r w:rsidR="007A54D4" w:rsidRPr="001408BD">
        <w:rPr>
          <w:rFonts w:asciiTheme="minorEastAsia" w:eastAsiaTheme="minorEastAsia" w:hAnsiTheme="minorEastAsia" w:hint="eastAsia"/>
          <w:sz w:val="24"/>
          <w:szCs w:val="24"/>
        </w:rPr>
        <w:t>该教学模式和方法在“学习动机”改善方面虽然没有统计学意义，但仍然呈现正性改变趋势。</w:t>
      </w:r>
      <w:r w:rsidR="001408BD" w:rsidRPr="001408BD">
        <w:rPr>
          <w:rFonts w:asciiTheme="minorEastAsia" w:eastAsiaTheme="minorEastAsia" w:hAnsiTheme="minorEastAsia" w:hint="eastAsia"/>
          <w:sz w:val="24"/>
          <w:szCs w:val="24"/>
        </w:rPr>
        <w:t>“学习动机”的形成与个人成长经历、家庭环境等有着密切的关系。因为通过课程学习虽然有正性改变的趋势但效果不明显。在以后的教学中，更多进行个体关注，开展有针对性的专业思想教育，帮助学生形成正确的学习动机，以促进学习效果。</w:t>
      </w:r>
    </w:p>
    <w:p w14:paraId="17A48900" w14:textId="4B5ADE4B" w:rsidR="00BF070D" w:rsidRPr="001408BD" w:rsidRDefault="001408BD">
      <w:pPr>
        <w:tabs>
          <w:tab w:val="left" w:pos="996"/>
        </w:tabs>
        <w:rPr>
          <w:rFonts w:asciiTheme="minorEastAsia" w:eastAsiaTheme="minorEastAsia" w:hAnsiTheme="minorEastAsia"/>
          <w:sz w:val="24"/>
          <w:szCs w:val="24"/>
        </w:rPr>
      </w:pPr>
      <w:r w:rsidRPr="001408BD">
        <w:rPr>
          <w:rFonts w:asciiTheme="minorEastAsia" w:eastAsiaTheme="minorEastAsia" w:hAnsiTheme="minorEastAsia"/>
          <w:sz w:val="24"/>
          <w:szCs w:val="24"/>
        </w:rPr>
        <w:t>6</w:t>
      </w:r>
      <w:r w:rsidR="001A0305">
        <w:rPr>
          <w:rFonts w:asciiTheme="minorEastAsia" w:eastAsiaTheme="minorEastAsia" w:hAnsiTheme="minorEastAsia"/>
          <w:sz w:val="24"/>
          <w:szCs w:val="24"/>
        </w:rPr>
        <w:t xml:space="preserve"> </w:t>
      </w:r>
      <w:r w:rsidRPr="001408BD">
        <w:rPr>
          <w:rFonts w:asciiTheme="minorEastAsia" w:eastAsiaTheme="minorEastAsia" w:hAnsiTheme="minorEastAsia" w:hint="eastAsia"/>
          <w:sz w:val="24"/>
          <w:szCs w:val="24"/>
        </w:rPr>
        <w:t>总结</w:t>
      </w:r>
    </w:p>
    <w:p w14:paraId="6E6161FE" w14:textId="5616319A" w:rsidR="001408BD" w:rsidRPr="001408BD" w:rsidRDefault="001408BD">
      <w:pPr>
        <w:tabs>
          <w:tab w:val="left" w:pos="996"/>
        </w:tabs>
        <w:rPr>
          <w:rFonts w:asciiTheme="minorEastAsia" w:eastAsiaTheme="minorEastAsia" w:hAnsiTheme="minorEastAsia" w:hint="eastAsia"/>
          <w:sz w:val="24"/>
          <w:szCs w:val="24"/>
        </w:rPr>
      </w:pPr>
      <w:r w:rsidRPr="001408BD">
        <w:rPr>
          <w:rFonts w:asciiTheme="minorEastAsia" w:eastAsiaTheme="minorEastAsia" w:hAnsiTheme="minorEastAsia" w:hint="eastAsia"/>
          <w:sz w:val="24"/>
          <w:szCs w:val="24"/>
        </w:rPr>
        <w:t xml:space="preserve"> </w:t>
      </w:r>
      <w:r w:rsidRPr="001408BD">
        <w:rPr>
          <w:rFonts w:asciiTheme="minorEastAsia" w:eastAsiaTheme="minorEastAsia" w:hAnsiTheme="minorEastAsia"/>
          <w:sz w:val="24"/>
          <w:szCs w:val="24"/>
        </w:rPr>
        <w:t xml:space="preserve">  </w:t>
      </w:r>
      <w:r w:rsidRPr="001408BD">
        <w:rPr>
          <w:rFonts w:asciiTheme="minorEastAsia" w:eastAsiaTheme="minorEastAsia" w:hAnsiTheme="minorEastAsia" w:hint="eastAsia"/>
          <w:sz w:val="24"/>
          <w:szCs w:val="24"/>
        </w:rPr>
        <w:t>此次教学改革实践总体效果是良好的，但是也存在许多的不足，在以后的教学中，进一步完善细节，改善不足，争取形成适合护理学生的完善的基础护理学实</w:t>
      </w:r>
      <w:proofErr w:type="gramStart"/>
      <w:r w:rsidRPr="001408BD">
        <w:rPr>
          <w:rFonts w:asciiTheme="minorEastAsia" w:eastAsiaTheme="minorEastAsia" w:hAnsiTheme="minorEastAsia" w:hint="eastAsia"/>
          <w:sz w:val="24"/>
          <w:szCs w:val="24"/>
        </w:rPr>
        <w:t>训教学</w:t>
      </w:r>
      <w:proofErr w:type="gramEnd"/>
      <w:r w:rsidRPr="001408BD">
        <w:rPr>
          <w:rFonts w:asciiTheme="minorEastAsia" w:eastAsiaTheme="minorEastAsia" w:hAnsiTheme="minorEastAsia" w:hint="eastAsia"/>
          <w:sz w:val="24"/>
          <w:szCs w:val="24"/>
        </w:rPr>
        <w:t>翻转课堂模式，提高教学效果。</w:t>
      </w:r>
    </w:p>
    <w:p w14:paraId="1E288E5B" w14:textId="77777777" w:rsidR="00BF070D" w:rsidRPr="001408BD" w:rsidRDefault="00BF070D">
      <w:pPr>
        <w:tabs>
          <w:tab w:val="left" w:pos="996"/>
        </w:tabs>
        <w:rPr>
          <w:rFonts w:asciiTheme="minorEastAsia" w:eastAsiaTheme="minorEastAsia" w:hAnsiTheme="minorEastAsia"/>
          <w:sz w:val="24"/>
          <w:szCs w:val="24"/>
        </w:rPr>
      </w:pPr>
    </w:p>
    <w:sectPr w:rsidR="00BF070D" w:rsidRPr="001408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06BE8"/>
    <w:rsid w:val="000117C1"/>
    <w:rsid w:val="00026640"/>
    <w:rsid w:val="00035F7C"/>
    <w:rsid w:val="00053EBA"/>
    <w:rsid w:val="00055A51"/>
    <w:rsid w:val="00080618"/>
    <w:rsid w:val="000D460E"/>
    <w:rsid w:val="001402B8"/>
    <w:rsid w:val="001408BD"/>
    <w:rsid w:val="00194B28"/>
    <w:rsid w:val="001A0305"/>
    <w:rsid w:val="001B131F"/>
    <w:rsid w:val="001C4A44"/>
    <w:rsid w:val="001D7C7E"/>
    <w:rsid w:val="001F6273"/>
    <w:rsid w:val="00262D19"/>
    <w:rsid w:val="00270A83"/>
    <w:rsid w:val="00295407"/>
    <w:rsid w:val="002A63A4"/>
    <w:rsid w:val="002E0679"/>
    <w:rsid w:val="00323B43"/>
    <w:rsid w:val="003C6AB2"/>
    <w:rsid w:val="003D156B"/>
    <w:rsid w:val="003D1774"/>
    <w:rsid w:val="003D25AA"/>
    <w:rsid w:val="003D37D8"/>
    <w:rsid w:val="003D47A1"/>
    <w:rsid w:val="00426133"/>
    <w:rsid w:val="004319D4"/>
    <w:rsid w:val="004358AB"/>
    <w:rsid w:val="004A1284"/>
    <w:rsid w:val="004A1604"/>
    <w:rsid w:val="004B4468"/>
    <w:rsid w:val="004E2C41"/>
    <w:rsid w:val="00521811"/>
    <w:rsid w:val="005714E0"/>
    <w:rsid w:val="00577000"/>
    <w:rsid w:val="005C0B75"/>
    <w:rsid w:val="005C2FDD"/>
    <w:rsid w:val="006100ED"/>
    <w:rsid w:val="00667B75"/>
    <w:rsid w:val="006B32B0"/>
    <w:rsid w:val="0071092F"/>
    <w:rsid w:val="007245A7"/>
    <w:rsid w:val="007A54D4"/>
    <w:rsid w:val="007B3063"/>
    <w:rsid w:val="007C1331"/>
    <w:rsid w:val="007E5916"/>
    <w:rsid w:val="0083270B"/>
    <w:rsid w:val="00855454"/>
    <w:rsid w:val="00863D05"/>
    <w:rsid w:val="00880B21"/>
    <w:rsid w:val="008B7726"/>
    <w:rsid w:val="008D0A70"/>
    <w:rsid w:val="009303E7"/>
    <w:rsid w:val="00950551"/>
    <w:rsid w:val="00962C40"/>
    <w:rsid w:val="00985529"/>
    <w:rsid w:val="009F4DAF"/>
    <w:rsid w:val="00A22F3E"/>
    <w:rsid w:val="00A511D4"/>
    <w:rsid w:val="00AA345F"/>
    <w:rsid w:val="00AB049C"/>
    <w:rsid w:val="00AB7527"/>
    <w:rsid w:val="00AE7E64"/>
    <w:rsid w:val="00AF0BBA"/>
    <w:rsid w:val="00AF7CB7"/>
    <w:rsid w:val="00B8290D"/>
    <w:rsid w:val="00B935C6"/>
    <w:rsid w:val="00B9672F"/>
    <w:rsid w:val="00BB075F"/>
    <w:rsid w:val="00BD2DD7"/>
    <w:rsid w:val="00BF070D"/>
    <w:rsid w:val="00C35080"/>
    <w:rsid w:val="00C55322"/>
    <w:rsid w:val="00C756F6"/>
    <w:rsid w:val="00C82590"/>
    <w:rsid w:val="00C96FD4"/>
    <w:rsid w:val="00CA13DD"/>
    <w:rsid w:val="00CC7975"/>
    <w:rsid w:val="00CD08C5"/>
    <w:rsid w:val="00CD202C"/>
    <w:rsid w:val="00CE16CB"/>
    <w:rsid w:val="00CE751F"/>
    <w:rsid w:val="00D31D50"/>
    <w:rsid w:val="00D34483"/>
    <w:rsid w:val="00D409FB"/>
    <w:rsid w:val="00D413CA"/>
    <w:rsid w:val="00D925AE"/>
    <w:rsid w:val="00DC573D"/>
    <w:rsid w:val="00DC7339"/>
    <w:rsid w:val="00DE4F65"/>
    <w:rsid w:val="00E46C9C"/>
    <w:rsid w:val="00E97038"/>
    <w:rsid w:val="00EC6CD8"/>
    <w:rsid w:val="00F46E3A"/>
    <w:rsid w:val="00F51F33"/>
    <w:rsid w:val="00F57B9C"/>
    <w:rsid w:val="00F87E7E"/>
    <w:rsid w:val="00FB34AD"/>
    <w:rsid w:val="00FC1E95"/>
    <w:rsid w:val="00FF5EF3"/>
    <w:rsid w:val="403402AA"/>
    <w:rsid w:val="495A0C5B"/>
    <w:rsid w:val="4BC27B02"/>
    <w:rsid w:val="576F5D99"/>
    <w:rsid w:val="6D1E65DC"/>
    <w:rsid w:val="70137516"/>
    <w:rsid w:val="72766B3B"/>
    <w:rsid w:val="796B3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FEBC"/>
  <w15:docId w15:val="{675721D4-8DAA-4878-8878-15624D86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Pr>
      <w:i/>
      <w:iCs/>
    </w:rPr>
  </w:style>
  <w:style w:type="character" w:customStyle="1" w:styleId="a6">
    <w:name w:val="页眉 字符"/>
    <w:basedOn w:val="a0"/>
    <w:link w:val="a5"/>
    <w:uiPriority w:val="99"/>
    <w:semiHidden/>
    <w:rPr>
      <w:rFonts w:ascii="Tahoma" w:hAnsi="Tahoma"/>
      <w:sz w:val="18"/>
      <w:szCs w:val="18"/>
    </w:rPr>
  </w:style>
  <w:style w:type="character" w:customStyle="1" w:styleId="a4">
    <w:name w:val="页脚 字符"/>
    <w:basedOn w:val="a0"/>
    <w:link w:val="a3"/>
    <w:uiPriority w:val="99"/>
    <w:semiHidden/>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cp:lastModifiedBy>
  <cp:revision>78</cp:revision>
  <dcterms:created xsi:type="dcterms:W3CDTF">2008-09-11T17:20:00Z</dcterms:created>
  <dcterms:modified xsi:type="dcterms:W3CDTF">2020-02-20T02:26:00Z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