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8C" w:rsidRDefault="00F3658C">
      <w:pPr>
        <w:widowControl/>
        <w:jc w:val="left"/>
        <w:rPr>
          <w:rFonts w:ascii="黑体" w:eastAsia="黑体" w:hAnsi="黑体" w:cs="黑体"/>
          <w:szCs w:val="21"/>
        </w:rPr>
      </w:pPr>
    </w:p>
    <w:p w:rsidR="00F3658C" w:rsidRDefault="0050409E">
      <w:pPr>
        <w:adjustRightInd w:val="0"/>
        <w:snapToGrid w:val="0"/>
        <w:spacing w:line="360" w:lineRule="auto"/>
        <w:ind w:firstLineChars="200" w:firstLine="723"/>
        <w:jc w:val="center"/>
        <w:rPr>
          <w:rFonts w:ascii="黑体" w:eastAsia="黑体" w:hAnsi="黑体" w:cs="黑体"/>
          <w:b/>
          <w:sz w:val="36"/>
          <w:szCs w:val="36"/>
        </w:rPr>
      </w:pPr>
      <w:r>
        <w:rPr>
          <w:rFonts w:ascii="黑体" w:eastAsia="黑体" w:hAnsi="黑体" w:cs="黑体" w:hint="eastAsia"/>
          <w:b/>
          <w:sz w:val="36"/>
          <w:szCs w:val="36"/>
        </w:rPr>
        <w:t>华为公司营运资金风险管理策略</w:t>
      </w:r>
    </w:p>
    <w:p w:rsidR="00F3658C" w:rsidRDefault="002846BA" w:rsidP="002846BA">
      <w:pPr>
        <w:adjustRightInd w:val="0"/>
        <w:snapToGrid w:val="0"/>
        <w:spacing w:line="360" w:lineRule="auto"/>
        <w:rPr>
          <w:rFonts w:ascii="黑体" w:eastAsia="黑体" w:hAnsi="黑体" w:cs="黑体"/>
          <w:sz w:val="24"/>
        </w:rPr>
      </w:pPr>
      <w:r>
        <w:rPr>
          <w:rFonts w:ascii="黑体" w:eastAsia="黑体" w:hAnsi="黑体" w:cs="黑体" w:hint="eastAsia"/>
          <w:sz w:val="24"/>
        </w:rPr>
        <w:t>作者简介：</w:t>
      </w:r>
      <w:r w:rsidR="0050409E">
        <w:rPr>
          <w:rFonts w:ascii="黑体" w:eastAsia="黑体" w:hAnsi="黑体" w:cs="黑体" w:hint="eastAsia"/>
          <w:sz w:val="24"/>
        </w:rPr>
        <w:t>高思琦</w:t>
      </w:r>
      <w:r>
        <w:rPr>
          <w:rFonts w:ascii="黑体" w:eastAsia="黑体" w:hAnsi="黑体" w:cs="黑体" w:hint="eastAsia"/>
          <w:sz w:val="24"/>
        </w:rPr>
        <w:t>（1997-），女（汉族），沈阳市，</w:t>
      </w:r>
      <w:r w:rsidR="0050409E">
        <w:rPr>
          <w:rFonts w:ascii="黑体" w:eastAsia="黑体" w:hAnsi="黑体" w:cs="黑体" w:hint="eastAsia"/>
          <w:sz w:val="24"/>
        </w:rPr>
        <w:t>沈阳化工大学</w:t>
      </w:r>
      <w:r>
        <w:rPr>
          <w:rFonts w:ascii="黑体" w:eastAsia="黑体" w:hAnsi="黑体" w:cs="黑体" w:hint="eastAsia"/>
          <w:sz w:val="24"/>
        </w:rPr>
        <w:t>研究生，会计专硕。</w:t>
      </w:r>
    </w:p>
    <w:p w:rsidR="00F3658C" w:rsidRDefault="0050409E">
      <w:pPr>
        <w:adjustRightInd w:val="0"/>
        <w:snapToGrid w:val="0"/>
        <w:spacing w:line="360" w:lineRule="auto"/>
        <w:jc w:val="center"/>
        <w:rPr>
          <w:rFonts w:ascii="黑体" w:eastAsia="黑体" w:hAnsi="黑体" w:cs="黑体"/>
          <w:sz w:val="32"/>
          <w:szCs w:val="32"/>
        </w:rPr>
      </w:pPr>
      <w:r>
        <w:rPr>
          <w:rFonts w:ascii="黑体" w:eastAsia="黑体" w:hAnsi="黑体" w:cs="黑体" w:hint="eastAsia"/>
          <w:sz w:val="32"/>
          <w:szCs w:val="32"/>
        </w:rPr>
        <w:t>摘要</w:t>
      </w:r>
    </w:p>
    <w:p w:rsidR="00F3658C" w:rsidRDefault="0050409E">
      <w:pPr>
        <w:pStyle w:val="Ad"/>
        <w:spacing w:line="300" w:lineRule="auto"/>
        <w:ind w:firstLine="482"/>
        <w:rPr>
          <w:rFonts w:ascii="宋体" w:eastAsia="宋体" w:hAnsi="宋体" w:cs="宋体"/>
          <w:color w:val="auto"/>
          <w:sz w:val="24"/>
          <w:szCs w:val="24"/>
        </w:rPr>
      </w:pPr>
      <w:r>
        <w:rPr>
          <w:rFonts w:ascii="宋体" w:eastAsia="宋体" w:hAnsi="宋体" w:cs="宋体"/>
          <w:color w:val="auto"/>
          <w:sz w:val="24"/>
          <w:szCs w:val="24"/>
        </w:rPr>
        <w:t>随着全球化的发展，市场竞争日趋激烈</w:t>
      </w:r>
      <w:r>
        <w:rPr>
          <w:rFonts w:ascii="宋体" w:eastAsia="宋体" w:hAnsi="宋体" w:cs="宋体" w:hint="eastAsia"/>
          <w:color w:val="auto"/>
          <w:sz w:val="24"/>
          <w:szCs w:val="24"/>
        </w:rPr>
        <w:t>，企业营运</w:t>
      </w:r>
      <w:r>
        <w:rPr>
          <w:rFonts w:ascii="宋体" w:eastAsia="宋体" w:hAnsi="宋体" w:cs="宋体"/>
          <w:color w:val="auto"/>
          <w:sz w:val="24"/>
          <w:szCs w:val="24"/>
        </w:rPr>
        <w:t>资金风险管理已成为企业管理中的一个热门话题。</w:t>
      </w:r>
      <w:r>
        <w:rPr>
          <w:rFonts w:ascii="宋体" w:eastAsia="宋体" w:hAnsi="宋体" w:cs="宋体" w:hint="eastAsia"/>
          <w:color w:val="auto"/>
          <w:sz w:val="24"/>
          <w:szCs w:val="24"/>
        </w:rPr>
        <w:t>通过实施公司营运风险管理，企业能够正确分析各个营运风险的成因，并结合企业自身经营状况，降低日常运作所产生的营运风险，达到公司利益最大化的目的。</w:t>
      </w:r>
      <w:r>
        <w:rPr>
          <w:rFonts w:ascii="宋体" w:eastAsia="宋体" w:hAnsi="宋体" w:cs="宋体"/>
          <w:color w:val="auto"/>
          <w:sz w:val="24"/>
          <w:szCs w:val="24"/>
        </w:rPr>
        <w:t>本文主要从企业的资金结构</w:t>
      </w:r>
      <w:r>
        <w:rPr>
          <w:rFonts w:ascii="宋体" w:eastAsia="宋体" w:hAnsi="宋体" w:cs="宋体" w:hint="eastAsia"/>
          <w:color w:val="auto"/>
          <w:sz w:val="24"/>
          <w:szCs w:val="24"/>
        </w:rPr>
        <w:t>、</w:t>
      </w:r>
      <w:r>
        <w:rPr>
          <w:rFonts w:ascii="宋体" w:eastAsia="宋体" w:hAnsi="宋体" w:cs="宋体"/>
          <w:color w:val="auto"/>
          <w:sz w:val="24"/>
          <w:szCs w:val="24"/>
        </w:rPr>
        <w:t>资金流动性及内外部环境等方面分析了华为公司</w:t>
      </w:r>
      <w:r>
        <w:rPr>
          <w:rFonts w:ascii="宋体" w:eastAsia="宋体" w:hAnsi="宋体" w:cs="宋体" w:hint="eastAsia"/>
          <w:color w:val="auto"/>
          <w:sz w:val="24"/>
          <w:szCs w:val="24"/>
        </w:rPr>
        <w:t>营运资金风险管理</w:t>
      </w:r>
      <w:r>
        <w:rPr>
          <w:rFonts w:ascii="宋体" w:eastAsia="宋体" w:hAnsi="宋体" w:cs="宋体"/>
          <w:color w:val="auto"/>
          <w:sz w:val="24"/>
          <w:szCs w:val="24"/>
        </w:rPr>
        <w:t>中存在的问题，并对此提出</w:t>
      </w:r>
      <w:r>
        <w:rPr>
          <w:rFonts w:ascii="宋体" w:eastAsia="宋体" w:hAnsi="宋体" w:cs="宋体" w:hint="eastAsia"/>
          <w:color w:val="auto"/>
          <w:sz w:val="24"/>
          <w:szCs w:val="24"/>
        </w:rPr>
        <w:t>应对</w:t>
      </w:r>
      <w:r>
        <w:rPr>
          <w:rFonts w:ascii="宋体" w:eastAsia="宋体" w:hAnsi="宋体" w:cs="宋体"/>
          <w:color w:val="auto"/>
          <w:sz w:val="24"/>
          <w:szCs w:val="24"/>
        </w:rPr>
        <w:t>策略，使</w:t>
      </w:r>
      <w:r>
        <w:rPr>
          <w:rFonts w:ascii="宋体" w:eastAsia="宋体" w:hAnsi="宋体" w:cs="宋体" w:hint="eastAsia"/>
          <w:color w:val="auto"/>
          <w:sz w:val="24"/>
          <w:szCs w:val="24"/>
        </w:rPr>
        <w:t>华为公司</w:t>
      </w:r>
      <w:r>
        <w:rPr>
          <w:rFonts w:ascii="宋体" w:eastAsia="宋体" w:hAnsi="宋体" w:cs="宋体"/>
          <w:color w:val="auto"/>
          <w:sz w:val="24"/>
          <w:szCs w:val="24"/>
        </w:rPr>
        <w:t>能够创造更多的经济效益</w:t>
      </w:r>
      <w:r>
        <w:rPr>
          <w:rFonts w:ascii="宋体" w:eastAsia="宋体" w:hAnsi="宋体" w:cs="宋体" w:hint="eastAsia"/>
          <w:color w:val="auto"/>
          <w:sz w:val="24"/>
          <w:szCs w:val="24"/>
        </w:rPr>
        <w:t>。</w:t>
      </w:r>
    </w:p>
    <w:p w:rsidR="00F3658C" w:rsidRDefault="00F3658C">
      <w:pPr>
        <w:pStyle w:val="Ad"/>
        <w:spacing w:line="300" w:lineRule="auto"/>
        <w:ind w:firstLine="482"/>
        <w:rPr>
          <w:rFonts w:ascii="宋体" w:eastAsia="宋体" w:hAnsi="宋体" w:cs="宋体"/>
          <w:sz w:val="24"/>
          <w:szCs w:val="24"/>
        </w:rPr>
      </w:pPr>
    </w:p>
    <w:p w:rsidR="00F3658C" w:rsidRDefault="0050409E">
      <w:pPr>
        <w:adjustRightInd w:val="0"/>
        <w:snapToGrid w:val="0"/>
        <w:spacing w:line="360" w:lineRule="auto"/>
        <w:jc w:val="left"/>
        <w:rPr>
          <w:rFonts w:ascii="黑体" w:eastAsia="黑体" w:hAnsi="黑体" w:cs="黑体"/>
          <w:sz w:val="24"/>
        </w:rPr>
      </w:pPr>
      <w:r>
        <w:rPr>
          <w:rFonts w:ascii="黑体" w:eastAsia="黑体" w:hAnsi="黑体" w:cs="黑体" w:hint="eastAsia"/>
          <w:sz w:val="24"/>
        </w:rPr>
        <w:t>关键词：营运资金风险；风险管理；解决策略；华为公司</w:t>
      </w:r>
    </w:p>
    <w:p w:rsidR="00F3658C" w:rsidRPr="00A40FAF" w:rsidRDefault="0050409E">
      <w:pPr>
        <w:pStyle w:val="Ad"/>
        <w:spacing w:line="300" w:lineRule="auto"/>
        <w:ind w:firstLine="482"/>
        <w:rPr>
          <w:rFonts w:ascii="宋体" w:eastAsia="宋体" w:hAnsi="宋体" w:cs="宋体"/>
          <w:color w:val="auto"/>
          <w:sz w:val="24"/>
          <w:szCs w:val="24"/>
        </w:rPr>
      </w:pPr>
      <w:r>
        <w:rPr>
          <w:rFonts w:ascii="宋体" w:eastAsia="宋体" w:hAnsi="宋体" w:cs="宋体" w:hint="eastAsia"/>
          <w:color w:val="auto"/>
          <w:sz w:val="24"/>
          <w:szCs w:val="24"/>
        </w:rPr>
        <w:t>深圳</w:t>
      </w:r>
      <w:r>
        <w:rPr>
          <w:rFonts w:ascii="宋体" w:eastAsia="宋体" w:hAnsi="宋体" w:cs="宋体"/>
          <w:color w:val="auto"/>
          <w:sz w:val="24"/>
          <w:szCs w:val="24"/>
        </w:rPr>
        <w:t>华为技术有限公司</w:t>
      </w:r>
      <w:r>
        <w:rPr>
          <w:rFonts w:ascii="宋体" w:eastAsia="宋体" w:hAnsi="宋体" w:cs="宋体" w:hint="eastAsia"/>
          <w:color w:val="auto"/>
          <w:sz w:val="24"/>
          <w:szCs w:val="24"/>
        </w:rPr>
        <w:t>（简称华为）成立于1987年，总部在深圳，专门从</w:t>
      </w:r>
      <w:r w:rsidRPr="00A40FAF">
        <w:rPr>
          <w:rFonts w:ascii="宋体" w:eastAsia="宋体" w:hAnsi="宋体" w:cs="宋体" w:hint="eastAsia"/>
          <w:color w:val="auto"/>
          <w:sz w:val="24"/>
          <w:szCs w:val="24"/>
        </w:rPr>
        <w:t>事通信设备研究、开发、制造与销售的高科技民营企业，也是我国通信市场主要设备供应商，并成功进入全球电信市场，成为全球前50强企业。</w:t>
      </w:r>
      <w:r w:rsidRPr="00A40FAF">
        <w:rPr>
          <w:rStyle w:val="aa"/>
          <w:rFonts w:ascii="宋体" w:eastAsia="宋体" w:hAnsi="宋体" w:cs="宋体"/>
          <w:color w:val="auto"/>
          <w:sz w:val="24"/>
          <w:szCs w:val="24"/>
        </w:rPr>
        <w:endnoteReference w:id="1"/>
      </w:r>
      <w:r w:rsidRPr="00A40FAF">
        <w:rPr>
          <w:rFonts w:ascii="宋体" w:eastAsia="宋体" w:hAnsi="宋体" w:cs="宋体" w:hint="eastAsia"/>
          <w:color w:val="auto"/>
          <w:sz w:val="24"/>
          <w:szCs w:val="24"/>
        </w:rPr>
        <w:t>华为公司作为中国</w:t>
      </w:r>
      <w:r w:rsidRPr="00A40FAF">
        <w:rPr>
          <w:rFonts w:ascii="宋体" w:eastAsia="宋体" w:hAnsi="宋体" w:cs="宋体"/>
          <w:color w:val="auto"/>
          <w:sz w:val="24"/>
          <w:szCs w:val="24"/>
        </w:rPr>
        <w:t>信息与通信技术供应</w:t>
      </w:r>
      <w:proofErr w:type="gramStart"/>
      <w:r w:rsidRPr="00A40FAF">
        <w:rPr>
          <w:rFonts w:ascii="宋体" w:eastAsia="宋体" w:hAnsi="宋体" w:cs="宋体"/>
          <w:color w:val="auto"/>
          <w:sz w:val="24"/>
          <w:szCs w:val="24"/>
        </w:rPr>
        <w:t>商领域</w:t>
      </w:r>
      <w:proofErr w:type="gramEnd"/>
      <w:r w:rsidRPr="00A40FAF">
        <w:rPr>
          <w:rFonts w:ascii="宋体" w:eastAsia="宋体" w:hAnsi="宋体" w:cs="宋体"/>
          <w:color w:val="auto"/>
          <w:sz w:val="24"/>
          <w:szCs w:val="24"/>
        </w:rPr>
        <w:t>的领军企业</w:t>
      </w:r>
      <w:r w:rsidRPr="00A40FAF">
        <w:rPr>
          <w:rFonts w:ascii="宋体" w:eastAsia="宋体" w:hAnsi="宋体" w:cs="宋体" w:hint="eastAsia"/>
          <w:color w:val="auto"/>
          <w:sz w:val="24"/>
          <w:szCs w:val="24"/>
        </w:rPr>
        <w:t>，研究</w:t>
      </w:r>
      <w:r w:rsidRPr="00A40FAF">
        <w:rPr>
          <w:rFonts w:ascii="宋体" w:eastAsia="宋体" w:hAnsi="宋体" w:cs="宋体"/>
          <w:color w:val="auto"/>
          <w:sz w:val="24"/>
          <w:szCs w:val="24"/>
        </w:rPr>
        <w:t>其公司的</w:t>
      </w:r>
      <w:r w:rsidRPr="00A40FAF">
        <w:rPr>
          <w:rFonts w:ascii="宋体" w:eastAsia="宋体" w:hAnsi="宋体" w:cs="宋体" w:hint="eastAsia"/>
          <w:color w:val="auto"/>
          <w:sz w:val="24"/>
          <w:szCs w:val="24"/>
        </w:rPr>
        <w:t>营运资金风险管理及其存在的问题，会有很大的参考意义。</w:t>
      </w:r>
    </w:p>
    <w:p w:rsidR="00F3658C" w:rsidRPr="00A40FAF" w:rsidRDefault="00F3658C">
      <w:pPr>
        <w:adjustRightInd w:val="0"/>
        <w:snapToGrid w:val="0"/>
        <w:spacing w:line="300" w:lineRule="auto"/>
        <w:jc w:val="left"/>
        <w:rPr>
          <w:rFonts w:ascii="黑体" w:eastAsia="黑体" w:hAnsi="黑体" w:cs="黑体"/>
          <w:sz w:val="24"/>
        </w:rPr>
      </w:pPr>
    </w:p>
    <w:p w:rsidR="00F3658C" w:rsidRDefault="0050409E">
      <w:pPr>
        <w:pStyle w:val="1"/>
        <w:ind w:firstLineChars="0" w:firstLine="0"/>
        <w:rPr>
          <w:rFonts w:ascii="宋体" w:hAnsi="宋体" w:cs="宋体"/>
          <w:u w:color="000000"/>
        </w:rPr>
      </w:pPr>
      <w:r>
        <w:rPr>
          <w:rFonts w:ascii="黑体" w:eastAsia="黑体" w:hAnsi="黑体" w:cs="黑体" w:hint="eastAsia"/>
          <w:sz w:val="28"/>
          <w:szCs w:val="28"/>
          <w:u w:color="000000"/>
        </w:rPr>
        <w:t>一、华为公司营运资金风险分析</w:t>
      </w:r>
    </w:p>
    <w:p w:rsidR="00F3658C" w:rsidRDefault="0050409E">
      <w:pPr>
        <w:snapToGrid w:val="0"/>
        <w:spacing w:line="300" w:lineRule="auto"/>
        <w:ind w:firstLineChars="200" w:firstLine="480"/>
        <w:rPr>
          <w:rFonts w:ascii="宋体" w:hAnsi="宋体" w:cs="宋体"/>
          <w:sz w:val="24"/>
        </w:rPr>
      </w:pPr>
      <w:r>
        <w:rPr>
          <w:rFonts w:ascii="宋体" w:hAnsi="宋体" w:cs="宋体" w:hint="eastAsia"/>
          <w:sz w:val="24"/>
        </w:rPr>
        <w:t>营运资金(working capital) ，</w:t>
      </w:r>
      <w:r w:rsidRPr="00A40FAF">
        <w:rPr>
          <w:rFonts w:ascii="宋体" w:hAnsi="宋体" w:cs="宋体" w:hint="eastAsia"/>
          <w:sz w:val="24"/>
        </w:rPr>
        <w:t>国外称为营运资本，</w:t>
      </w:r>
      <w:r>
        <w:rPr>
          <w:rFonts w:ascii="宋体" w:hAnsi="宋体" w:cs="宋体" w:hint="eastAsia"/>
          <w:sz w:val="24"/>
        </w:rPr>
        <w:t>其有广义和狭义之分。广义的营运资金是指总营运资本，简单来说就是在生产经营活动中的短期资产;狭义的营运资金则</w:t>
      </w:r>
      <w:proofErr w:type="gramStart"/>
      <w:r>
        <w:rPr>
          <w:rFonts w:ascii="宋体" w:hAnsi="宋体" w:cs="宋体" w:hint="eastAsia"/>
          <w:sz w:val="24"/>
        </w:rPr>
        <w:t>是指净营运</w:t>
      </w:r>
      <w:proofErr w:type="gramEnd"/>
      <w:r>
        <w:rPr>
          <w:rFonts w:ascii="宋体" w:hAnsi="宋体" w:cs="宋体" w:hint="eastAsia"/>
          <w:sz w:val="24"/>
        </w:rPr>
        <w:t>资本，是短期资产减去短期负债的差额。</w:t>
      </w:r>
      <w:r w:rsidR="00F3097A" w:rsidRPr="00F3097A">
        <w:rPr>
          <w:rFonts w:ascii="宋体" w:hAnsi="宋体" w:cs="宋体" w:hint="eastAsia"/>
          <w:sz w:val="24"/>
        </w:rPr>
        <w:t>本文所述的营运资本多指</w:t>
      </w:r>
      <w:r w:rsidR="00F3097A" w:rsidRPr="00F3097A">
        <w:rPr>
          <w:rFonts w:ascii="宋体" w:hAnsi="宋体" w:cs="宋体"/>
          <w:sz w:val="24"/>
        </w:rPr>
        <w:t>后者</w:t>
      </w:r>
      <w:r>
        <w:rPr>
          <w:rFonts w:ascii="宋体" w:hAnsi="宋体" w:cs="宋体" w:hint="eastAsia"/>
          <w:sz w:val="24"/>
        </w:rPr>
        <w:t>。</w:t>
      </w:r>
      <w:r>
        <w:rPr>
          <w:rStyle w:val="aa"/>
          <w:rFonts w:ascii="宋体" w:hAnsi="宋体" w:cs="宋体"/>
          <w:sz w:val="24"/>
        </w:rPr>
        <w:endnoteReference w:id="2"/>
      </w:r>
    </w:p>
    <w:p w:rsidR="00F3658C" w:rsidRPr="00A40FAF" w:rsidRDefault="0050409E">
      <w:pPr>
        <w:widowControl/>
        <w:snapToGrid w:val="0"/>
        <w:spacing w:line="300" w:lineRule="auto"/>
        <w:ind w:firstLine="480"/>
        <w:jc w:val="left"/>
        <w:rPr>
          <w:rFonts w:ascii="黑体" w:eastAsia="黑体" w:hAnsi="黑体" w:cs="黑体"/>
          <w:sz w:val="24"/>
        </w:rPr>
      </w:pPr>
      <w:r w:rsidRPr="00A40FAF">
        <w:rPr>
          <w:rFonts w:ascii="黑体" w:eastAsia="黑体" w:hAnsi="黑体" w:cs="黑体" w:hint="eastAsia"/>
          <w:sz w:val="24"/>
        </w:rPr>
        <w:t>（一）企业发展迅速忽视</w:t>
      </w:r>
      <w:r w:rsidR="00F3097A" w:rsidRPr="00F3097A">
        <w:rPr>
          <w:rFonts w:ascii="黑体" w:eastAsia="黑体" w:hAnsi="黑体" w:cs="黑体" w:hint="eastAsia"/>
          <w:sz w:val="24"/>
        </w:rPr>
        <w:t>存货</w:t>
      </w:r>
      <w:r w:rsidRPr="00A40FAF">
        <w:rPr>
          <w:rFonts w:ascii="黑体" w:eastAsia="黑体" w:hAnsi="黑体" w:cs="黑体" w:hint="eastAsia"/>
          <w:sz w:val="24"/>
        </w:rPr>
        <w:t>管理</w:t>
      </w:r>
    </w:p>
    <w:p w:rsidR="00F3658C" w:rsidRPr="00A40FAF" w:rsidRDefault="0050409E">
      <w:pPr>
        <w:ind w:firstLine="482"/>
        <w:jc w:val="center"/>
        <w:rPr>
          <w:rFonts w:ascii="宋体" w:hAnsi="宋体" w:cs="宋体"/>
          <w:sz w:val="24"/>
        </w:rPr>
      </w:pPr>
      <w:r w:rsidRPr="00A40FAF">
        <w:rPr>
          <w:rFonts w:ascii="黑体" w:eastAsia="黑体" w:hAnsi="黑体" w:cs="黑体" w:hint="eastAsia"/>
          <w:szCs w:val="21"/>
        </w:rPr>
        <w:t>表1  华为公司存货分析表</w:t>
      </w:r>
      <w:r w:rsidRPr="00A40FAF">
        <w:rPr>
          <w:rStyle w:val="aa"/>
          <w:rFonts w:ascii="黑体" w:eastAsia="黑体" w:hAnsi="黑体" w:cs="黑体"/>
          <w:szCs w:val="21"/>
        </w:rPr>
        <w:endnoteReference w:id="3"/>
      </w:r>
      <w:r w:rsidRPr="00A40FAF">
        <w:rPr>
          <w:rFonts w:ascii="黑体" w:eastAsia="黑体" w:hAnsi="黑体" w:cs="黑体" w:hint="eastAsia"/>
          <w:szCs w:val="21"/>
        </w:rPr>
        <w:t xml:space="preserve">  </w:t>
      </w:r>
      <w:r w:rsidRPr="00A40FAF">
        <w:rPr>
          <w:rFonts w:ascii="宋体" w:hAnsi="宋体" w:cs="宋体" w:hint="eastAsia"/>
          <w:sz w:val="24"/>
        </w:rPr>
        <w:t xml:space="preserve">  </w:t>
      </w:r>
    </w:p>
    <w:p w:rsidR="00F3658C" w:rsidRPr="00A40FAF" w:rsidRDefault="0050409E">
      <w:pPr>
        <w:ind w:firstLine="482"/>
        <w:jc w:val="center"/>
        <w:rPr>
          <w:rFonts w:ascii="黑体" w:eastAsia="黑体" w:hAnsi="黑体" w:cs="黑体"/>
          <w:szCs w:val="21"/>
        </w:rPr>
      </w:pPr>
      <w:r w:rsidRPr="00A40FAF">
        <w:rPr>
          <w:rFonts w:ascii="黑体" w:eastAsia="黑体" w:hAnsi="黑体" w:cs="黑体" w:hint="eastAsia"/>
          <w:szCs w:val="21"/>
        </w:rPr>
        <w:t xml:space="preserve">                                                         单位：人民币百万元</w:t>
      </w:r>
    </w:p>
    <w:p w:rsidR="00F3658C" w:rsidRPr="00A40FAF" w:rsidRDefault="00F3658C">
      <w:pPr>
        <w:widowControl/>
        <w:snapToGrid w:val="0"/>
        <w:ind w:firstLineChars="200" w:firstLine="480"/>
        <w:jc w:val="left"/>
        <w:rPr>
          <w:rFonts w:ascii="宋体" w:hAnsi="宋体" w:cs="宋体"/>
          <w:sz w:val="24"/>
        </w:rPr>
      </w:pPr>
    </w:p>
    <w:tbl>
      <w:tblPr>
        <w:tblStyle w:val="ac"/>
        <w:tblW w:w="8080" w:type="dxa"/>
        <w:tblInd w:w="250" w:type="dxa"/>
        <w:tblLayout w:type="fixed"/>
        <w:tblLook w:val="04A0"/>
      </w:tblPr>
      <w:tblGrid>
        <w:gridCol w:w="2590"/>
        <w:gridCol w:w="2841"/>
        <w:gridCol w:w="2649"/>
      </w:tblGrid>
      <w:tr w:rsidR="00F3658C" w:rsidRPr="00A40FAF">
        <w:tc>
          <w:tcPr>
            <w:tcW w:w="2590" w:type="dxa"/>
          </w:tcPr>
          <w:p w:rsidR="00F3658C" w:rsidRPr="00A40FAF" w:rsidRDefault="00F3658C">
            <w:pPr>
              <w:jc w:val="center"/>
              <w:rPr>
                <w:rFonts w:ascii="宋体" w:hAnsi="宋体" w:cs="宋体"/>
                <w:kern w:val="0"/>
                <w:szCs w:val="21"/>
              </w:rPr>
            </w:pPr>
          </w:p>
        </w:tc>
        <w:tc>
          <w:tcPr>
            <w:tcW w:w="2841"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2018年12月31日</w:t>
            </w:r>
          </w:p>
        </w:tc>
        <w:tc>
          <w:tcPr>
            <w:tcW w:w="2649"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2017年12月31日</w:t>
            </w:r>
          </w:p>
        </w:tc>
      </w:tr>
      <w:tr w:rsidR="00F3658C" w:rsidRPr="00A40FAF">
        <w:tc>
          <w:tcPr>
            <w:tcW w:w="2590" w:type="dxa"/>
          </w:tcPr>
          <w:p w:rsidR="00F3658C" w:rsidRPr="00A40FAF" w:rsidRDefault="0050409E">
            <w:pPr>
              <w:jc w:val="center"/>
              <w:rPr>
                <w:rFonts w:ascii="宋体" w:hAnsi="宋体" w:cs="宋体"/>
                <w:kern w:val="0"/>
                <w:szCs w:val="21"/>
              </w:rPr>
            </w:pPr>
            <w:r w:rsidRPr="00A40FAF">
              <w:rPr>
                <w:rFonts w:ascii="宋体" w:hAnsi="宋体" w:cs="宋体"/>
                <w:kern w:val="0"/>
                <w:szCs w:val="21"/>
              </w:rPr>
              <w:t>原材料</w:t>
            </w:r>
          </w:p>
        </w:tc>
        <w:tc>
          <w:tcPr>
            <w:tcW w:w="2841"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35,448</w:t>
            </w:r>
          </w:p>
        </w:tc>
        <w:tc>
          <w:tcPr>
            <w:tcW w:w="2649"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19,005</w:t>
            </w:r>
          </w:p>
        </w:tc>
      </w:tr>
      <w:tr w:rsidR="00F3658C" w:rsidRPr="00A40FAF">
        <w:tc>
          <w:tcPr>
            <w:tcW w:w="2590" w:type="dxa"/>
          </w:tcPr>
          <w:p w:rsidR="00F3658C" w:rsidRPr="00A40FAF" w:rsidRDefault="0050409E">
            <w:pPr>
              <w:jc w:val="center"/>
              <w:rPr>
                <w:rFonts w:ascii="宋体" w:hAnsi="宋体" w:cs="宋体"/>
                <w:kern w:val="0"/>
                <w:szCs w:val="21"/>
              </w:rPr>
            </w:pPr>
            <w:r w:rsidRPr="00A40FAF">
              <w:rPr>
                <w:rFonts w:ascii="宋体" w:hAnsi="宋体" w:cs="宋体"/>
                <w:kern w:val="0"/>
                <w:szCs w:val="21"/>
              </w:rPr>
              <w:t>在产品</w:t>
            </w:r>
          </w:p>
        </w:tc>
        <w:tc>
          <w:tcPr>
            <w:tcW w:w="2841"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17,065</w:t>
            </w:r>
          </w:p>
        </w:tc>
        <w:tc>
          <w:tcPr>
            <w:tcW w:w="2649"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10,776</w:t>
            </w:r>
          </w:p>
        </w:tc>
      </w:tr>
      <w:tr w:rsidR="00F3658C" w:rsidRPr="00A40FAF">
        <w:tc>
          <w:tcPr>
            <w:tcW w:w="2590" w:type="dxa"/>
          </w:tcPr>
          <w:p w:rsidR="00F3658C" w:rsidRPr="00A40FAF" w:rsidRDefault="0050409E">
            <w:pPr>
              <w:jc w:val="center"/>
              <w:rPr>
                <w:rFonts w:ascii="宋体" w:hAnsi="宋体" w:cs="宋体"/>
                <w:kern w:val="0"/>
                <w:szCs w:val="21"/>
              </w:rPr>
            </w:pPr>
            <w:r w:rsidRPr="00A40FAF">
              <w:rPr>
                <w:rFonts w:ascii="宋体" w:hAnsi="宋体" w:cs="宋体"/>
                <w:kern w:val="0"/>
                <w:szCs w:val="21"/>
              </w:rPr>
              <w:t>产成品</w:t>
            </w:r>
          </w:p>
        </w:tc>
        <w:tc>
          <w:tcPr>
            <w:tcW w:w="2841"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26,308</w:t>
            </w:r>
          </w:p>
        </w:tc>
        <w:tc>
          <w:tcPr>
            <w:tcW w:w="2649"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16,967</w:t>
            </w:r>
          </w:p>
        </w:tc>
      </w:tr>
      <w:tr w:rsidR="00F3658C" w:rsidRPr="00A40FAF">
        <w:tc>
          <w:tcPr>
            <w:tcW w:w="2590" w:type="dxa"/>
          </w:tcPr>
          <w:p w:rsidR="00F3658C" w:rsidRPr="00A40FAF" w:rsidRDefault="0050409E">
            <w:pPr>
              <w:jc w:val="center"/>
              <w:rPr>
                <w:rFonts w:ascii="宋体" w:hAnsi="宋体" w:cs="宋体"/>
                <w:kern w:val="0"/>
                <w:szCs w:val="21"/>
              </w:rPr>
            </w:pPr>
            <w:r w:rsidRPr="00A40FAF">
              <w:rPr>
                <w:rFonts w:ascii="宋体" w:hAnsi="宋体" w:cs="宋体"/>
                <w:kern w:val="0"/>
                <w:szCs w:val="21"/>
              </w:rPr>
              <w:t>发出商品</w:t>
            </w:r>
          </w:p>
        </w:tc>
        <w:tc>
          <w:tcPr>
            <w:tcW w:w="2841"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11,397</w:t>
            </w:r>
          </w:p>
        </w:tc>
        <w:tc>
          <w:tcPr>
            <w:tcW w:w="2649" w:type="dxa"/>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21,690</w:t>
            </w:r>
          </w:p>
        </w:tc>
      </w:tr>
    </w:tbl>
    <w:p w:rsidR="00F3658C" w:rsidRPr="00A40FAF" w:rsidRDefault="00F3658C">
      <w:pPr>
        <w:rPr>
          <w:szCs w:val="21"/>
        </w:rPr>
      </w:pPr>
    </w:p>
    <w:p w:rsidR="00F3658C" w:rsidRPr="00A40FAF" w:rsidRDefault="0050409E">
      <w:pPr>
        <w:snapToGrid w:val="0"/>
        <w:spacing w:line="300" w:lineRule="auto"/>
        <w:ind w:firstLineChars="200" w:firstLine="480"/>
        <w:rPr>
          <w:rFonts w:ascii="宋体" w:hAnsi="宋体" w:cs="宋体"/>
          <w:sz w:val="24"/>
        </w:rPr>
      </w:pPr>
      <w:r w:rsidRPr="00A40FAF">
        <w:rPr>
          <w:rFonts w:ascii="宋体" w:hAnsi="宋体" w:cs="宋体" w:hint="eastAsia"/>
          <w:sz w:val="24"/>
        </w:rPr>
        <w:t>目前，随着华为公司不断的做大做强，对于企业各个部门以及从决策层到管</w:t>
      </w:r>
      <w:r w:rsidRPr="00A40FAF">
        <w:rPr>
          <w:rFonts w:ascii="宋体" w:hAnsi="宋体" w:cs="宋体" w:hint="eastAsia"/>
          <w:sz w:val="24"/>
        </w:rPr>
        <w:lastRenderedPageBreak/>
        <w:t>理层都面临着更加复杂和更具有挑战性的业务。其中，流动资金的存货管理与企业发展速度不匹配，如表1所示，2018年的产成品较2017年增长9,341</w:t>
      </w:r>
      <w:proofErr w:type="gramStart"/>
      <w:r w:rsidRPr="00A40FAF">
        <w:rPr>
          <w:rFonts w:ascii="宋体" w:hAnsi="宋体" w:cs="宋体" w:hint="eastAsia"/>
          <w:sz w:val="24"/>
        </w:rPr>
        <w:t>百万</w:t>
      </w:r>
      <w:proofErr w:type="gramEnd"/>
      <w:r w:rsidRPr="00A40FAF">
        <w:rPr>
          <w:rFonts w:ascii="宋体" w:hAnsi="宋体" w:cs="宋体" w:hint="eastAsia"/>
          <w:sz w:val="24"/>
        </w:rPr>
        <w:t>元，而发出商品却较2017年减少10,293</w:t>
      </w:r>
      <w:proofErr w:type="gramStart"/>
      <w:r w:rsidRPr="00A40FAF">
        <w:rPr>
          <w:rFonts w:ascii="宋体" w:hAnsi="宋体" w:cs="宋体" w:hint="eastAsia"/>
          <w:sz w:val="24"/>
        </w:rPr>
        <w:t>百万</w:t>
      </w:r>
      <w:proofErr w:type="gramEnd"/>
      <w:r w:rsidRPr="00A40FAF">
        <w:rPr>
          <w:rFonts w:ascii="宋体" w:hAnsi="宋体" w:cs="宋体" w:hint="eastAsia"/>
          <w:sz w:val="24"/>
        </w:rPr>
        <w:t>元。作为供应商，华为大部分利润来自库存，其日常库存管理主要是在库存中产成品的适当比率，因此，保证库存商品的顺利完成和销售，资金链就能顺利运转。所以，如果在企业成长期，营运资金不能及时得到科学的管理，导致资金的减少，不仅会出现各类企业风险，还会影响华为其他产业的发展和经营。</w:t>
      </w:r>
    </w:p>
    <w:p w:rsidR="00F3658C" w:rsidRDefault="0050409E">
      <w:pPr>
        <w:widowControl/>
        <w:snapToGrid w:val="0"/>
        <w:spacing w:line="300" w:lineRule="auto"/>
        <w:ind w:firstLineChars="200" w:firstLine="480"/>
        <w:jc w:val="left"/>
        <w:rPr>
          <w:rFonts w:ascii="黑体" w:eastAsia="黑体" w:hAnsi="黑体" w:cs="黑体"/>
          <w:sz w:val="24"/>
        </w:rPr>
      </w:pPr>
      <w:r>
        <w:rPr>
          <w:rFonts w:ascii="黑体" w:eastAsia="黑体" w:hAnsi="黑体" w:cs="黑体" w:hint="eastAsia"/>
          <w:sz w:val="24"/>
        </w:rPr>
        <w:t>（二）营运资金结构不合理</w:t>
      </w:r>
    </w:p>
    <w:p w:rsidR="00F3658C" w:rsidRPr="00A40FAF" w:rsidRDefault="0050409E">
      <w:pPr>
        <w:snapToGrid w:val="0"/>
        <w:spacing w:line="300" w:lineRule="auto"/>
        <w:ind w:firstLineChars="200" w:firstLine="480"/>
        <w:rPr>
          <w:rFonts w:ascii="宋体" w:hAnsi="宋体" w:cs="宋体"/>
          <w:sz w:val="24"/>
        </w:rPr>
      </w:pPr>
      <w:r>
        <w:rPr>
          <w:rFonts w:ascii="宋体" w:hAnsi="宋体" w:cs="宋体" w:hint="eastAsia"/>
          <w:sz w:val="24"/>
        </w:rPr>
        <w:t>如果不对企业的营运资金进行科学合理的管理，那么就很容易造成企业资金的短缺或浪费。一方面，营运资金的缺乏可能会影响企业的盈利能力。华为公司在2018年长期负债率和流动资金占用率都有所增加，这反应了流动资金利用的效果不够理想。如果企业的资本结构长期不合理，可能会损害企业的资本走向，</w:t>
      </w:r>
      <w:r w:rsidRPr="00A40FAF">
        <w:rPr>
          <w:rFonts w:ascii="宋体" w:hAnsi="宋体" w:cs="宋体" w:hint="eastAsia"/>
          <w:sz w:val="24"/>
        </w:rPr>
        <w:t>从而增加华为的营运资金风险。另一方面，华为公司2018年流动资产与流动负债的比率虽比2017年的有所增加，但其流动比率相较于行业标准仍偏低，说明华为公司偿还流动负债能力较弱，流动负债得到偿还的保障越小。</w:t>
      </w:r>
    </w:p>
    <w:p w:rsidR="00F3658C" w:rsidRPr="00A40FAF" w:rsidRDefault="0050409E">
      <w:pPr>
        <w:widowControl/>
        <w:snapToGrid w:val="0"/>
        <w:spacing w:line="300" w:lineRule="auto"/>
        <w:ind w:firstLineChars="200" w:firstLine="480"/>
        <w:jc w:val="left"/>
        <w:rPr>
          <w:rFonts w:ascii="黑体" w:eastAsia="黑体" w:hAnsi="黑体" w:cs="黑体"/>
          <w:sz w:val="24"/>
        </w:rPr>
      </w:pPr>
      <w:r w:rsidRPr="00A40FAF">
        <w:rPr>
          <w:rFonts w:ascii="黑体" w:eastAsia="黑体" w:hAnsi="黑体" w:cs="黑体" w:hint="eastAsia"/>
          <w:sz w:val="24"/>
        </w:rPr>
        <w:t>（三）营运资金流动性风险较大</w:t>
      </w:r>
    </w:p>
    <w:p w:rsidR="00F3658C" w:rsidRPr="00A40FAF" w:rsidRDefault="0050409E">
      <w:pPr>
        <w:ind w:firstLine="482"/>
        <w:jc w:val="center"/>
        <w:rPr>
          <w:rFonts w:ascii="宋体" w:hAnsi="宋体" w:cs="宋体"/>
          <w:sz w:val="24"/>
        </w:rPr>
      </w:pPr>
      <w:r w:rsidRPr="00A40FAF">
        <w:rPr>
          <w:rFonts w:ascii="黑体" w:eastAsia="黑体" w:hAnsi="黑体" w:cs="黑体" w:hint="eastAsia"/>
          <w:szCs w:val="21"/>
        </w:rPr>
        <w:t>表2  华为公司营运资金流动性风险表</w:t>
      </w:r>
      <w:r w:rsidRPr="00A40FAF">
        <w:rPr>
          <w:rStyle w:val="aa"/>
          <w:rFonts w:ascii="黑体" w:eastAsia="黑体" w:hAnsi="黑体" w:cs="黑体"/>
          <w:szCs w:val="21"/>
        </w:rPr>
        <w:endnoteReference w:id="4"/>
      </w:r>
      <w:r w:rsidRPr="00A40FAF">
        <w:rPr>
          <w:rFonts w:ascii="黑体" w:eastAsia="黑体" w:hAnsi="黑体" w:cs="黑体" w:hint="eastAsia"/>
          <w:szCs w:val="21"/>
        </w:rPr>
        <w:t xml:space="preserve">   </w:t>
      </w:r>
      <w:r w:rsidRPr="00A40FAF">
        <w:rPr>
          <w:rFonts w:ascii="宋体" w:hAnsi="宋体" w:cs="宋体" w:hint="eastAsia"/>
          <w:sz w:val="24"/>
        </w:rPr>
        <w:t xml:space="preserve">  </w:t>
      </w:r>
    </w:p>
    <w:p w:rsidR="00F3658C" w:rsidRPr="00A40FAF" w:rsidRDefault="0050409E">
      <w:pPr>
        <w:ind w:firstLine="482"/>
        <w:jc w:val="center"/>
        <w:rPr>
          <w:rFonts w:ascii="黑体" w:eastAsia="黑体" w:hAnsi="黑体" w:cs="黑体"/>
          <w:szCs w:val="21"/>
        </w:rPr>
      </w:pPr>
      <w:r w:rsidRPr="00A40FAF">
        <w:rPr>
          <w:rFonts w:ascii="黑体" w:eastAsia="黑体" w:hAnsi="黑体" w:cs="黑体" w:hint="eastAsia"/>
          <w:szCs w:val="21"/>
        </w:rPr>
        <w:t xml:space="preserve">                                                         单位：人民币百万元</w:t>
      </w:r>
    </w:p>
    <w:tbl>
      <w:tblPr>
        <w:tblStyle w:val="ac"/>
        <w:tblpPr w:leftFromText="180" w:rightFromText="180" w:vertAnchor="text" w:horzAnchor="page" w:tblpX="2078" w:tblpY="248"/>
        <w:tblOverlap w:val="never"/>
        <w:tblW w:w="8188" w:type="dxa"/>
        <w:tblLayout w:type="fixed"/>
        <w:tblLook w:val="04A0"/>
      </w:tblPr>
      <w:tblGrid>
        <w:gridCol w:w="2022"/>
        <w:gridCol w:w="2130"/>
        <w:gridCol w:w="2131"/>
        <w:gridCol w:w="1905"/>
      </w:tblGrid>
      <w:tr w:rsidR="00F3658C" w:rsidRPr="00A40FAF">
        <w:tc>
          <w:tcPr>
            <w:tcW w:w="2022" w:type="dxa"/>
            <w:vAlign w:val="center"/>
          </w:tcPr>
          <w:p w:rsidR="00F3658C" w:rsidRPr="00A40FAF" w:rsidRDefault="00F3658C">
            <w:pPr>
              <w:jc w:val="center"/>
              <w:rPr>
                <w:rFonts w:ascii="宋体" w:hAnsi="宋体" w:cs="宋体"/>
                <w:kern w:val="0"/>
                <w:szCs w:val="21"/>
              </w:rPr>
            </w:pPr>
          </w:p>
        </w:tc>
        <w:tc>
          <w:tcPr>
            <w:tcW w:w="2130"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2018年12月31日</w:t>
            </w:r>
          </w:p>
        </w:tc>
        <w:tc>
          <w:tcPr>
            <w:tcW w:w="2131"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2017年12月31日</w:t>
            </w:r>
          </w:p>
        </w:tc>
        <w:tc>
          <w:tcPr>
            <w:tcW w:w="1905"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同比变动</w:t>
            </w:r>
          </w:p>
        </w:tc>
      </w:tr>
      <w:tr w:rsidR="00F3658C" w:rsidRPr="00A40FAF">
        <w:tc>
          <w:tcPr>
            <w:tcW w:w="2022"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现金与短期借款</w:t>
            </w:r>
          </w:p>
        </w:tc>
        <w:tc>
          <w:tcPr>
            <w:tcW w:w="2130"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265,857</w:t>
            </w:r>
          </w:p>
        </w:tc>
        <w:tc>
          <w:tcPr>
            <w:tcW w:w="2131"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199,943</w:t>
            </w:r>
          </w:p>
        </w:tc>
        <w:tc>
          <w:tcPr>
            <w:tcW w:w="1905"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33.0%</w:t>
            </w:r>
          </w:p>
        </w:tc>
      </w:tr>
      <w:tr w:rsidR="00F3658C" w:rsidRPr="00A40FAF">
        <w:tc>
          <w:tcPr>
            <w:tcW w:w="2022"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长期借款</w:t>
            </w:r>
          </w:p>
        </w:tc>
        <w:tc>
          <w:tcPr>
            <w:tcW w:w="2130"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66,170</w:t>
            </w:r>
          </w:p>
        </w:tc>
        <w:tc>
          <w:tcPr>
            <w:tcW w:w="2131"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38,338</w:t>
            </w:r>
          </w:p>
        </w:tc>
        <w:tc>
          <w:tcPr>
            <w:tcW w:w="1905" w:type="dxa"/>
            <w:vAlign w:val="center"/>
          </w:tcPr>
          <w:p w:rsidR="00F3658C" w:rsidRPr="00A40FAF" w:rsidRDefault="0050409E">
            <w:pPr>
              <w:jc w:val="center"/>
              <w:rPr>
                <w:rFonts w:ascii="宋体" w:hAnsi="宋体" w:cs="宋体"/>
                <w:kern w:val="0"/>
                <w:szCs w:val="21"/>
              </w:rPr>
            </w:pPr>
            <w:r w:rsidRPr="00A40FAF">
              <w:rPr>
                <w:rFonts w:ascii="宋体" w:hAnsi="宋体" w:cs="宋体" w:hint="eastAsia"/>
                <w:kern w:val="0"/>
                <w:szCs w:val="21"/>
              </w:rPr>
              <w:t>72.6%</w:t>
            </w:r>
          </w:p>
        </w:tc>
      </w:tr>
      <w:tr w:rsidR="00F3658C" w:rsidRPr="00A40FAF">
        <w:tc>
          <w:tcPr>
            <w:tcW w:w="2022"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短期借款</w:t>
            </w:r>
          </w:p>
        </w:tc>
        <w:tc>
          <w:tcPr>
            <w:tcW w:w="2130"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3</w:t>
            </w:r>
            <w:r w:rsidRPr="00A40FAF">
              <w:rPr>
                <w:rFonts w:ascii="宋体" w:hAnsi="宋体" w:cs="宋体" w:hint="eastAsia"/>
                <w:kern w:val="0"/>
                <w:szCs w:val="21"/>
              </w:rPr>
              <w:t>,</w:t>
            </w:r>
            <w:r w:rsidRPr="00A40FAF">
              <w:rPr>
                <w:rFonts w:ascii="宋体" w:hAnsi="宋体" w:cs="宋体" w:hint="eastAsia"/>
                <w:kern w:val="0"/>
                <w:sz w:val="20"/>
                <w:szCs w:val="21"/>
              </w:rPr>
              <w:t>771</w:t>
            </w:r>
          </w:p>
        </w:tc>
        <w:tc>
          <w:tcPr>
            <w:tcW w:w="2131"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1</w:t>
            </w:r>
            <w:r w:rsidRPr="00A40FAF">
              <w:rPr>
                <w:rFonts w:ascii="宋体" w:hAnsi="宋体" w:cs="宋体" w:hint="eastAsia"/>
                <w:kern w:val="0"/>
                <w:szCs w:val="21"/>
              </w:rPr>
              <w:t>,</w:t>
            </w:r>
            <w:r w:rsidRPr="00A40FAF">
              <w:rPr>
                <w:rFonts w:ascii="宋体" w:hAnsi="宋体" w:cs="宋体" w:hint="eastAsia"/>
                <w:kern w:val="0"/>
                <w:sz w:val="20"/>
                <w:szCs w:val="21"/>
              </w:rPr>
              <w:t>587</w:t>
            </w:r>
          </w:p>
        </w:tc>
        <w:tc>
          <w:tcPr>
            <w:tcW w:w="1905"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137.7%</w:t>
            </w:r>
          </w:p>
        </w:tc>
      </w:tr>
      <w:tr w:rsidR="00F3658C" w:rsidRPr="00A40FAF">
        <w:tc>
          <w:tcPr>
            <w:tcW w:w="2022"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应付账款</w:t>
            </w:r>
          </w:p>
        </w:tc>
        <w:tc>
          <w:tcPr>
            <w:tcW w:w="2130"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94</w:t>
            </w:r>
            <w:r w:rsidRPr="00A40FAF">
              <w:rPr>
                <w:rFonts w:ascii="宋体" w:hAnsi="宋体" w:cs="宋体" w:hint="eastAsia"/>
                <w:kern w:val="0"/>
                <w:szCs w:val="21"/>
              </w:rPr>
              <w:t>,</w:t>
            </w:r>
            <w:r w:rsidRPr="00A40FAF">
              <w:rPr>
                <w:rFonts w:ascii="宋体" w:hAnsi="宋体" w:cs="宋体" w:hint="eastAsia"/>
                <w:kern w:val="0"/>
                <w:sz w:val="20"/>
                <w:szCs w:val="21"/>
              </w:rPr>
              <w:t>320</w:t>
            </w:r>
          </w:p>
        </w:tc>
        <w:tc>
          <w:tcPr>
            <w:tcW w:w="2131"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72</w:t>
            </w:r>
            <w:r w:rsidRPr="00A40FAF">
              <w:rPr>
                <w:rFonts w:ascii="宋体" w:hAnsi="宋体" w:cs="宋体" w:hint="eastAsia"/>
                <w:kern w:val="0"/>
                <w:szCs w:val="21"/>
              </w:rPr>
              <w:t>,</w:t>
            </w:r>
            <w:r w:rsidRPr="00A40FAF">
              <w:rPr>
                <w:rFonts w:ascii="宋体" w:hAnsi="宋体" w:cs="宋体" w:hint="eastAsia"/>
                <w:kern w:val="0"/>
                <w:sz w:val="20"/>
                <w:szCs w:val="21"/>
              </w:rPr>
              <w:t>846</w:t>
            </w:r>
          </w:p>
        </w:tc>
        <w:tc>
          <w:tcPr>
            <w:tcW w:w="1905" w:type="dxa"/>
            <w:vAlign w:val="center"/>
          </w:tcPr>
          <w:p w:rsidR="00F3658C" w:rsidRPr="00A40FAF" w:rsidRDefault="0050409E">
            <w:pPr>
              <w:jc w:val="center"/>
              <w:rPr>
                <w:rFonts w:ascii="宋体" w:hAnsi="宋体" w:cs="宋体"/>
                <w:kern w:val="0"/>
                <w:sz w:val="20"/>
                <w:szCs w:val="21"/>
              </w:rPr>
            </w:pPr>
            <w:r w:rsidRPr="00A40FAF">
              <w:rPr>
                <w:rFonts w:ascii="宋体" w:hAnsi="宋体" w:cs="宋体" w:hint="eastAsia"/>
                <w:kern w:val="0"/>
                <w:sz w:val="20"/>
                <w:szCs w:val="21"/>
              </w:rPr>
              <w:t>29.5%</w:t>
            </w:r>
          </w:p>
        </w:tc>
      </w:tr>
    </w:tbl>
    <w:p w:rsidR="00F3658C" w:rsidRPr="00A40FAF" w:rsidRDefault="00F3658C">
      <w:pPr>
        <w:pStyle w:val="a4"/>
        <w:spacing w:line="300" w:lineRule="auto"/>
        <w:ind w:firstLineChars="200" w:firstLine="480"/>
        <w:rPr>
          <w:rFonts w:ascii="宋体" w:hAnsi="宋体" w:cs="宋体"/>
          <w:sz w:val="24"/>
        </w:rPr>
      </w:pPr>
    </w:p>
    <w:p w:rsidR="00F3658C" w:rsidRDefault="0050409E">
      <w:pPr>
        <w:pStyle w:val="a4"/>
        <w:spacing w:line="300" w:lineRule="auto"/>
        <w:ind w:firstLineChars="200" w:firstLine="480"/>
        <w:rPr>
          <w:rFonts w:ascii="宋体" w:hAnsi="宋体" w:cs="宋体"/>
          <w:sz w:val="24"/>
        </w:rPr>
      </w:pPr>
      <w:r w:rsidRPr="00A40FAF">
        <w:rPr>
          <w:rFonts w:ascii="宋体" w:hAnsi="宋体" w:cs="宋体" w:hint="eastAsia"/>
          <w:sz w:val="24"/>
        </w:rPr>
        <w:t>企业营运资金</w:t>
      </w:r>
      <w:r w:rsidRPr="00A40FAF">
        <w:rPr>
          <w:rFonts w:ascii="宋体" w:hAnsi="宋体" w:cs="宋体"/>
          <w:sz w:val="24"/>
        </w:rPr>
        <w:t>的流动性指的是变现能力，也就是说流动性强，变现能力就强。</w:t>
      </w:r>
      <w:r w:rsidRPr="00A40FAF">
        <w:rPr>
          <w:rFonts w:ascii="宋体" w:hAnsi="宋体" w:cs="宋体" w:hint="eastAsia"/>
          <w:sz w:val="24"/>
        </w:rPr>
        <w:t>流动性风险是指由于筹资不善、现金流不畅、停滞等原因导致到期债务无法偿还的风险。截止2018年底，</w:t>
      </w:r>
      <w:r w:rsidRPr="00A40FAF">
        <w:rPr>
          <w:rFonts w:ascii="宋体" w:hAnsi="宋体" w:cs="宋体"/>
          <w:sz w:val="24"/>
        </w:rPr>
        <w:t>根据</w:t>
      </w:r>
      <w:r w:rsidRPr="00A40FAF">
        <w:rPr>
          <w:rFonts w:ascii="宋体" w:hAnsi="宋体" w:cs="宋体" w:hint="eastAsia"/>
          <w:sz w:val="24"/>
        </w:rPr>
        <w:t>2018年华为公司年报中财务报表所得，长期借款合计人民币66,170</w:t>
      </w:r>
      <w:proofErr w:type="gramStart"/>
      <w:r w:rsidRPr="00A40FAF">
        <w:rPr>
          <w:rFonts w:ascii="宋体" w:hAnsi="宋体" w:cs="宋体" w:hint="eastAsia"/>
          <w:sz w:val="24"/>
        </w:rPr>
        <w:t>百万</w:t>
      </w:r>
      <w:proofErr w:type="gramEnd"/>
      <w:r w:rsidRPr="00A40FAF">
        <w:rPr>
          <w:rFonts w:ascii="宋体" w:hAnsi="宋体" w:cs="宋体" w:hint="eastAsia"/>
          <w:sz w:val="24"/>
        </w:rPr>
        <w:t>元，较2017年底的人民币38,338</w:t>
      </w:r>
      <w:proofErr w:type="gramStart"/>
      <w:r w:rsidRPr="00A40FAF">
        <w:rPr>
          <w:rFonts w:ascii="宋体" w:hAnsi="宋体" w:cs="宋体" w:hint="eastAsia"/>
          <w:sz w:val="24"/>
        </w:rPr>
        <w:t>百万</w:t>
      </w:r>
      <w:proofErr w:type="gramEnd"/>
      <w:r w:rsidRPr="00A40FAF">
        <w:rPr>
          <w:rFonts w:ascii="宋体" w:hAnsi="宋体" w:cs="宋体" w:hint="eastAsia"/>
          <w:sz w:val="24"/>
        </w:rPr>
        <w:t>元增加72.6%，短期借款合计人民币3,771</w:t>
      </w:r>
      <w:proofErr w:type="gramStart"/>
      <w:r w:rsidRPr="00A40FAF">
        <w:rPr>
          <w:rFonts w:ascii="宋体" w:hAnsi="宋体" w:cs="宋体" w:hint="eastAsia"/>
          <w:sz w:val="24"/>
        </w:rPr>
        <w:t>百万</w:t>
      </w:r>
      <w:proofErr w:type="gramEnd"/>
      <w:r w:rsidRPr="00A40FAF">
        <w:rPr>
          <w:rFonts w:ascii="宋体" w:hAnsi="宋体" w:cs="宋体" w:hint="eastAsia"/>
          <w:sz w:val="24"/>
        </w:rPr>
        <w:t>元，较2017年底的人民币1,587</w:t>
      </w:r>
      <w:proofErr w:type="gramStart"/>
      <w:r w:rsidRPr="00A40FAF">
        <w:rPr>
          <w:rFonts w:ascii="宋体" w:hAnsi="宋体" w:cs="宋体" w:hint="eastAsia"/>
          <w:sz w:val="24"/>
        </w:rPr>
        <w:t>百万</w:t>
      </w:r>
      <w:proofErr w:type="gramEnd"/>
      <w:r w:rsidRPr="00A40FAF">
        <w:rPr>
          <w:rFonts w:ascii="宋体" w:hAnsi="宋体" w:cs="宋体" w:hint="eastAsia"/>
          <w:sz w:val="24"/>
        </w:rPr>
        <w:t>元增加</w:t>
      </w:r>
      <w:r>
        <w:rPr>
          <w:rFonts w:ascii="宋体" w:hAnsi="宋体" w:cs="宋体" w:hint="eastAsia"/>
          <w:sz w:val="24"/>
        </w:rPr>
        <w:t>137.7%，应付账款合计人民币94,320</w:t>
      </w:r>
      <w:proofErr w:type="gramStart"/>
      <w:r>
        <w:rPr>
          <w:rFonts w:ascii="宋体" w:hAnsi="宋体" w:cs="宋体" w:hint="eastAsia"/>
          <w:sz w:val="24"/>
        </w:rPr>
        <w:t>百万</w:t>
      </w:r>
      <w:proofErr w:type="gramEnd"/>
      <w:r>
        <w:rPr>
          <w:rFonts w:ascii="宋体" w:hAnsi="宋体" w:cs="宋体" w:hint="eastAsia"/>
          <w:sz w:val="24"/>
        </w:rPr>
        <w:t>元，较2017年底的人民币72,846</w:t>
      </w:r>
      <w:proofErr w:type="gramStart"/>
      <w:r>
        <w:rPr>
          <w:rFonts w:ascii="宋体" w:hAnsi="宋体" w:cs="宋体" w:hint="eastAsia"/>
          <w:sz w:val="24"/>
        </w:rPr>
        <w:t>百万</w:t>
      </w:r>
      <w:proofErr w:type="gramEnd"/>
      <w:r>
        <w:rPr>
          <w:rFonts w:ascii="宋体" w:hAnsi="宋体" w:cs="宋体" w:hint="eastAsia"/>
          <w:sz w:val="24"/>
        </w:rPr>
        <w:t>元增加29.5%。由此可以看出，华为公司在2018年长短借款同比增长很多，且应付的负债也增多，所以华为的营运资金的流动性风险较大。</w:t>
      </w:r>
    </w:p>
    <w:p w:rsidR="00F3658C" w:rsidRDefault="0050409E">
      <w:pPr>
        <w:snapToGrid w:val="0"/>
        <w:spacing w:line="300" w:lineRule="auto"/>
        <w:rPr>
          <w:sz w:val="24"/>
          <w:u w:color="000000"/>
        </w:rPr>
      </w:pPr>
      <w:r>
        <w:rPr>
          <w:rFonts w:ascii="黑体" w:eastAsia="黑体" w:hAnsi="黑体" w:cs="黑体" w:hint="eastAsia"/>
          <w:sz w:val="28"/>
          <w:szCs w:val="28"/>
          <w:u w:color="000000"/>
        </w:rPr>
        <w:t>二、华为公司营运风险应对措施</w:t>
      </w:r>
    </w:p>
    <w:p w:rsidR="00F3658C" w:rsidRDefault="0050409E">
      <w:pPr>
        <w:widowControl/>
        <w:snapToGrid w:val="0"/>
        <w:spacing w:line="300" w:lineRule="auto"/>
        <w:ind w:firstLineChars="200" w:firstLine="480"/>
        <w:jc w:val="left"/>
        <w:rPr>
          <w:rFonts w:ascii="宋体" w:hAnsi="宋体" w:cs="宋体"/>
          <w:sz w:val="24"/>
        </w:rPr>
      </w:pPr>
      <w:r>
        <w:rPr>
          <w:rFonts w:ascii="宋体" w:hAnsi="宋体" w:cs="宋体" w:hint="eastAsia"/>
          <w:sz w:val="24"/>
        </w:rPr>
        <w:t>全球经济复苏的道路依然充满着各种不确定的挑战，金融和政治风险的增加，以及企业自身管理不善、资金缺乏等都会影响企业更好地发展。由此华为公司应</w:t>
      </w:r>
      <w:r>
        <w:rPr>
          <w:rFonts w:ascii="宋体" w:hAnsi="宋体" w:cs="宋体" w:hint="eastAsia"/>
          <w:sz w:val="24"/>
        </w:rPr>
        <w:lastRenderedPageBreak/>
        <w:t>结合内外部市场环境和金融环境,针对上述营运资金风险管理中存在的问题，并结合企业自身特性，主要采取以下措施以供参考。</w:t>
      </w:r>
    </w:p>
    <w:p w:rsidR="00F3658C" w:rsidRDefault="0050409E">
      <w:pPr>
        <w:widowControl/>
        <w:snapToGrid w:val="0"/>
        <w:spacing w:line="300" w:lineRule="auto"/>
        <w:ind w:firstLineChars="200" w:firstLine="480"/>
        <w:jc w:val="left"/>
        <w:rPr>
          <w:rFonts w:ascii="黑体" w:eastAsia="黑体" w:hAnsi="黑体" w:cs="黑体"/>
          <w:sz w:val="24"/>
        </w:rPr>
      </w:pPr>
      <w:r>
        <w:rPr>
          <w:rFonts w:ascii="黑体" w:eastAsia="黑体" w:hAnsi="黑体" w:cs="黑体" w:hint="eastAsia"/>
          <w:sz w:val="24"/>
        </w:rPr>
        <w:t>（一）加强对</w:t>
      </w:r>
      <w:r w:rsidR="00A40FAF" w:rsidRPr="00F3097A">
        <w:rPr>
          <w:rFonts w:ascii="黑体" w:eastAsia="黑体" w:hAnsi="黑体" w:cs="黑体" w:hint="eastAsia"/>
          <w:sz w:val="24"/>
        </w:rPr>
        <w:t>存货</w:t>
      </w:r>
      <w:r>
        <w:rPr>
          <w:rFonts w:ascii="黑体" w:eastAsia="黑体" w:hAnsi="黑体" w:cs="黑体" w:hint="eastAsia"/>
          <w:sz w:val="24"/>
        </w:rPr>
        <w:t>的管理</w:t>
      </w:r>
    </w:p>
    <w:p w:rsidR="00F3658C" w:rsidRPr="00A40FAF" w:rsidRDefault="0050409E">
      <w:pPr>
        <w:widowControl/>
        <w:snapToGrid w:val="0"/>
        <w:spacing w:line="300" w:lineRule="auto"/>
        <w:ind w:firstLineChars="200" w:firstLine="480"/>
        <w:jc w:val="left"/>
        <w:rPr>
          <w:rFonts w:ascii="宋体" w:hAnsi="宋体" w:cs="宋体"/>
          <w:sz w:val="24"/>
        </w:rPr>
      </w:pPr>
      <w:r w:rsidRPr="00A40FAF">
        <w:rPr>
          <w:rFonts w:ascii="宋体" w:hAnsi="宋体" w:cs="宋体" w:hint="eastAsia"/>
          <w:sz w:val="24"/>
        </w:rPr>
        <w:t>首先，要健全华为内部资本营运的管理制度。为保证资金运营的健康、有效运用，华为公司的管理层和决策层必须结合有关现代企业制度、加强风险科学管理，注重华为内部管理体制改革。再者，要做好对存货的管理工作。华为其业务遍布全球，业务量庞大，这就需要多个部门之间相互沟通和配合确保实际库存，为确定合理的订货数量和时间提供依据。销售部准确地从销售量决定预测库存需求制定销售计划并编制所需材料清单，采购部制定采购计划，供应环节可以根据需求时间安排生产，保证及时供应。</w:t>
      </w:r>
    </w:p>
    <w:p w:rsidR="00F3658C" w:rsidRPr="00A40FAF" w:rsidRDefault="0050409E">
      <w:pPr>
        <w:widowControl/>
        <w:snapToGrid w:val="0"/>
        <w:spacing w:line="300" w:lineRule="auto"/>
        <w:ind w:firstLineChars="200" w:firstLine="480"/>
        <w:jc w:val="left"/>
        <w:rPr>
          <w:rFonts w:ascii="黑体" w:eastAsia="黑体" w:hAnsi="黑体" w:cs="黑体"/>
          <w:sz w:val="24"/>
        </w:rPr>
      </w:pPr>
      <w:r w:rsidRPr="00A40FAF">
        <w:rPr>
          <w:rFonts w:ascii="黑体" w:eastAsia="黑体" w:hAnsi="黑体" w:cs="黑体" w:hint="eastAsia"/>
          <w:sz w:val="24"/>
        </w:rPr>
        <w:t>（二）结合企业情况改善营运资金结构</w:t>
      </w:r>
    </w:p>
    <w:p w:rsidR="00F3658C" w:rsidRPr="00A40FAF" w:rsidRDefault="0050409E">
      <w:pPr>
        <w:widowControl/>
        <w:snapToGrid w:val="0"/>
        <w:spacing w:line="300" w:lineRule="auto"/>
        <w:ind w:firstLineChars="200" w:firstLine="480"/>
        <w:jc w:val="left"/>
        <w:rPr>
          <w:rFonts w:ascii="宋体" w:hAnsi="宋体" w:cs="宋体"/>
          <w:sz w:val="24"/>
        </w:rPr>
      </w:pPr>
      <w:r w:rsidRPr="00A40FAF">
        <w:rPr>
          <w:rFonts w:ascii="宋体" w:hAnsi="宋体" w:cs="宋体" w:hint="eastAsia"/>
          <w:sz w:val="24"/>
        </w:rPr>
        <w:t>企业应根据自身经营情况，满足企业的资金需求，综合考虑资金成本和流动负债偿还，科学地规划长期投资所需的流动资金比例和资金需求及使用情况，合理安排流动负债和长期负债的比例，保持合理的流动比率，从而达到节约资本和保持偿债能力的平衡的目的，避免因不合理的长期投资占用流动资金。</w:t>
      </w:r>
    </w:p>
    <w:p w:rsidR="00F3658C" w:rsidRPr="00A40FAF" w:rsidRDefault="0050409E">
      <w:pPr>
        <w:widowControl/>
        <w:snapToGrid w:val="0"/>
        <w:spacing w:line="300" w:lineRule="auto"/>
        <w:ind w:firstLineChars="200" w:firstLine="480"/>
        <w:jc w:val="left"/>
        <w:rPr>
          <w:rFonts w:ascii="黑体" w:eastAsia="黑体" w:hAnsi="黑体" w:cs="黑体"/>
          <w:sz w:val="24"/>
        </w:rPr>
      </w:pPr>
      <w:r w:rsidRPr="00A40FAF">
        <w:rPr>
          <w:rFonts w:ascii="黑体" w:eastAsia="黑体" w:hAnsi="黑体" w:cs="黑体" w:hint="eastAsia"/>
          <w:sz w:val="24"/>
        </w:rPr>
        <w:t>（三）采用营运资金流动性预测系统</w:t>
      </w:r>
    </w:p>
    <w:p w:rsidR="00F3658C" w:rsidRDefault="0050409E">
      <w:pPr>
        <w:pStyle w:val="a4"/>
        <w:spacing w:line="300" w:lineRule="auto"/>
        <w:ind w:firstLineChars="200" w:firstLine="480"/>
        <w:rPr>
          <w:rFonts w:ascii="宋体" w:hAnsi="宋体" w:cs="宋体"/>
          <w:sz w:val="24"/>
        </w:rPr>
      </w:pPr>
      <w:r w:rsidRPr="00A40FAF">
        <w:rPr>
          <w:rFonts w:ascii="宋体" w:hAnsi="宋体" w:cs="宋体" w:hint="eastAsia"/>
          <w:sz w:val="24"/>
        </w:rPr>
        <w:t>企业2018年的长短借款同比增长很多，且应付的负债也增多。那么，华为可以利用资本结构和短期流动性规划预算预测系统，评价及预测公司中长期资本的需求量及短期资本缺口。同时，应结合多种健全的财务措施，保证公司业务发展的财务需要，包括保持良好的资本结构和财务灵活性、持有合理的股本、获得</w:t>
      </w:r>
      <w:r>
        <w:rPr>
          <w:rFonts w:ascii="宋体" w:hAnsi="宋体" w:cs="宋体" w:hint="eastAsia"/>
          <w:sz w:val="24"/>
        </w:rPr>
        <w:t>足够和有希望的信贷额度、进行有效的资本规划和集中化管理等。</w:t>
      </w:r>
    </w:p>
    <w:p w:rsidR="00F3658C" w:rsidRDefault="0050409E">
      <w:pPr>
        <w:snapToGrid w:val="0"/>
        <w:spacing w:line="300" w:lineRule="auto"/>
        <w:rPr>
          <w:sz w:val="24"/>
          <w:u w:color="000000"/>
        </w:rPr>
      </w:pPr>
      <w:r>
        <w:rPr>
          <w:rFonts w:ascii="黑体" w:eastAsia="黑体" w:hAnsi="黑体" w:cs="黑体" w:hint="eastAsia"/>
          <w:sz w:val="28"/>
          <w:szCs w:val="28"/>
          <w:u w:color="000000"/>
        </w:rPr>
        <w:t>三、结论</w:t>
      </w:r>
    </w:p>
    <w:p w:rsidR="00F3658C" w:rsidRDefault="0050409E">
      <w:pPr>
        <w:widowControl/>
        <w:snapToGrid w:val="0"/>
        <w:spacing w:line="300" w:lineRule="auto"/>
        <w:ind w:firstLineChars="200" w:firstLine="480"/>
        <w:jc w:val="left"/>
        <w:rPr>
          <w:rFonts w:ascii="宋体" w:hAnsi="宋体" w:cs="宋体"/>
          <w:sz w:val="24"/>
        </w:rPr>
      </w:pPr>
      <w:r>
        <w:rPr>
          <w:rFonts w:ascii="宋体" w:hAnsi="宋体" w:cs="宋体"/>
          <w:sz w:val="24"/>
        </w:rPr>
        <w:t>在</w:t>
      </w:r>
      <w:r>
        <w:rPr>
          <w:rFonts w:ascii="宋体" w:hAnsi="宋体" w:cs="宋体" w:hint="eastAsia"/>
          <w:sz w:val="24"/>
        </w:rPr>
        <w:t>变化</w:t>
      </w:r>
      <w:r>
        <w:rPr>
          <w:rFonts w:ascii="宋体" w:hAnsi="宋体" w:cs="宋体"/>
          <w:sz w:val="24"/>
        </w:rPr>
        <w:t>的竞争市场和金融环境中，</w:t>
      </w:r>
      <w:r>
        <w:rPr>
          <w:rFonts w:ascii="宋体" w:hAnsi="宋体" w:cs="宋体" w:hint="eastAsia"/>
          <w:sz w:val="24"/>
        </w:rPr>
        <w:t>对</w:t>
      </w:r>
      <w:r>
        <w:rPr>
          <w:rFonts w:ascii="宋体" w:hAnsi="宋体" w:cs="宋体"/>
          <w:sz w:val="24"/>
        </w:rPr>
        <w:t>企业的运营资金风险管理能力有着很高的要求</w:t>
      </w:r>
      <w:r>
        <w:rPr>
          <w:rFonts w:ascii="宋体" w:hAnsi="宋体" w:cs="宋体" w:hint="eastAsia"/>
          <w:sz w:val="24"/>
        </w:rPr>
        <w:t>。就华为而言，不确定风险复杂且分散、</w:t>
      </w:r>
      <w:r>
        <w:rPr>
          <w:rFonts w:ascii="宋体" w:hAnsi="宋体" w:cs="宋体"/>
          <w:sz w:val="24"/>
        </w:rPr>
        <w:t>企业</w:t>
      </w:r>
      <w:r>
        <w:rPr>
          <w:rFonts w:ascii="宋体" w:hAnsi="宋体" w:cs="宋体" w:hint="eastAsia"/>
          <w:sz w:val="24"/>
        </w:rPr>
        <w:t>经营过程中</w:t>
      </w:r>
      <w:r>
        <w:rPr>
          <w:rFonts w:ascii="宋体" w:hAnsi="宋体" w:cs="宋体"/>
          <w:sz w:val="24"/>
        </w:rPr>
        <w:t>营运资金的</w:t>
      </w:r>
      <w:r>
        <w:rPr>
          <w:rFonts w:ascii="宋体" w:hAnsi="宋体" w:cs="宋体" w:hint="eastAsia"/>
          <w:sz w:val="24"/>
        </w:rPr>
        <w:t>不稳定等都会带来营运资金风险。所以，华为公司要从多方面的管理来回避风险，提高营运资金的运用效率，给企业带来更多的利益。</w:t>
      </w:r>
    </w:p>
    <w:p w:rsidR="00F3658C" w:rsidRDefault="00F3658C">
      <w:pPr>
        <w:widowControl/>
        <w:snapToGrid w:val="0"/>
        <w:spacing w:line="300" w:lineRule="auto"/>
        <w:ind w:firstLineChars="200" w:firstLine="480"/>
        <w:jc w:val="left"/>
        <w:rPr>
          <w:rFonts w:ascii="宋体" w:hAnsi="宋体" w:cs="宋体"/>
          <w:sz w:val="24"/>
        </w:rPr>
      </w:pPr>
    </w:p>
    <w:p w:rsidR="00F3658C" w:rsidRDefault="00F3658C">
      <w:pPr>
        <w:widowControl/>
        <w:snapToGrid w:val="0"/>
        <w:spacing w:line="300" w:lineRule="auto"/>
        <w:ind w:firstLineChars="200" w:firstLine="480"/>
        <w:jc w:val="left"/>
        <w:rPr>
          <w:rFonts w:ascii="宋体" w:hAnsi="宋体" w:cs="宋体"/>
          <w:sz w:val="2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hint="eastAsia"/>
          <w:color w:val="292929"/>
          <w:sz w:val="14"/>
          <w:szCs w:val="14"/>
        </w:rPr>
      </w:pPr>
    </w:p>
    <w:p w:rsidR="00F3097A" w:rsidRDefault="00F3097A">
      <w:pPr>
        <w:widowControl/>
        <w:jc w:val="left"/>
        <w:rPr>
          <w:rFonts w:ascii="Arial" w:hAnsi="Arial" w:cs="Arial" w:hint="eastAsia"/>
          <w:color w:val="292929"/>
          <w:sz w:val="14"/>
          <w:szCs w:val="14"/>
        </w:rPr>
      </w:pPr>
    </w:p>
    <w:p w:rsidR="00F3097A" w:rsidRDefault="00F3097A">
      <w:pPr>
        <w:widowControl/>
        <w:jc w:val="left"/>
        <w:rPr>
          <w:rFonts w:ascii="Arial" w:hAnsi="Arial" w:cs="Arial" w:hint="eastAsia"/>
          <w:color w:val="292929"/>
          <w:sz w:val="14"/>
          <w:szCs w:val="14"/>
        </w:rPr>
      </w:pPr>
    </w:p>
    <w:p w:rsidR="00F3097A" w:rsidRDefault="00F3097A">
      <w:pPr>
        <w:widowControl/>
        <w:jc w:val="left"/>
        <w:rPr>
          <w:rFonts w:ascii="Arial" w:hAnsi="Arial" w:cs="Arial" w:hint="eastAsia"/>
          <w:color w:val="292929"/>
          <w:sz w:val="14"/>
          <w:szCs w:val="14"/>
        </w:rPr>
      </w:pPr>
    </w:p>
    <w:p w:rsidR="00F3097A" w:rsidRDefault="00F3097A">
      <w:pPr>
        <w:widowControl/>
        <w:jc w:val="left"/>
        <w:rPr>
          <w:rFonts w:ascii="Arial" w:hAnsi="Arial" w:cs="Arial" w:hint="eastAsia"/>
          <w:color w:val="292929"/>
          <w:sz w:val="14"/>
          <w:szCs w:val="14"/>
        </w:rPr>
      </w:pPr>
    </w:p>
    <w:p w:rsidR="00F3097A" w:rsidRDefault="00F3097A">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50409E">
      <w:pPr>
        <w:widowControl/>
        <w:jc w:val="left"/>
        <w:rPr>
          <w:rFonts w:ascii="黑体" w:eastAsia="黑体" w:hAnsi="黑体" w:cs="黑体"/>
          <w:szCs w:val="21"/>
        </w:rPr>
      </w:pPr>
      <w:r>
        <w:rPr>
          <w:rFonts w:ascii="黑体" w:eastAsia="黑体" w:hAnsi="黑体" w:cs="黑体" w:hint="eastAsia"/>
          <w:szCs w:val="21"/>
        </w:rPr>
        <w:t>参考文献：</w:t>
      </w:r>
    </w:p>
    <w:tbl>
      <w:tblPr>
        <w:tblW w:w="10335" w:type="dxa"/>
        <w:tblCellSpacing w:w="15" w:type="dxa"/>
        <w:shd w:val="clear" w:color="auto" w:fill="FFFFFF"/>
        <w:tblLayout w:type="fixed"/>
        <w:tblCellMar>
          <w:left w:w="0" w:type="dxa"/>
          <w:right w:w="0" w:type="dxa"/>
        </w:tblCellMar>
        <w:tblLook w:val="04A0"/>
      </w:tblPr>
      <w:tblGrid>
        <w:gridCol w:w="10335"/>
      </w:tblGrid>
      <w:tr w:rsidR="00F3658C">
        <w:trPr>
          <w:tblCellSpacing w:w="15" w:type="dxa"/>
        </w:trPr>
        <w:tc>
          <w:tcPr>
            <w:tcW w:w="10275" w:type="dxa"/>
            <w:shd w:val="clear" w:color="auto" w:fill="FFFFFF"/>
            <w:tcMar>
              <w:top w:w="58" w:type="dxa"/>
              <w:left w:w="0" w:type="dxa"/>
              <w:bottom w:w="58" w:type="dxa"/>
              <w:right w:w="0" w:type="dxa"/>
            </w:tcMar>
            <w:vAlign w:val="center"/>
          </w:tcPr>
          <w:p w:rsidR="00F3658C" w:rsidRDefault="0050409E">
            <w:pPr>
              <w:widowControl/>
              <w:jc w:val="left"/>
              <w:rPr>
                <w:rFonts w:ascii="黑体" w:eastAsia="黑体" w:hAnsi="黑体" w:cs="黑体"/>
                <w:szCs w:val="21"/>
              </w:rPr>
            </w:pPr>
            <w:r>
              <w:rPr>
                <w:rFonts w:ascii="黑体" w:eastAsia="黑体" w:hAnsi="黑体" w:cs="黑体"/>
                <w:szCs w:val="21"/>
              </w:rPr>
              <w:t>[1]张冬梅.浅谈企业营运资金管理[J].现代商业,2012(12):70-71.</w:t>
            </w:r>
          </w:p>
        </w:tc>
      </w:tr>
    </w:tbl>
    <w:p w:rsidR="00F3658C" w:rsidRDefault="0050409E">
      <w:pPr>
        <w:widowControl/>
        <w:jc w:val="left"/>
        <w:rPr>
          <w:rFonts w:ascii="黑体" w:eastAsia="黑体" w:hAnsi="黑体" w:cs="黑体"/>
          <w:szCs w:val="21"/>
        </w:rPr>
      </w:pPr>
      <w:r>
        <w:rPr>
          <w:rFonts w:ascii="黑体" w:eastAsia="黑体" w:hAnsi="黑体" w:cs="黑体" w:hint="eastAsia"/>
          <w:szCs w:val="21"/>
        </w:rPr>
        <w:t xml:space="preserve">[2] 石柳.企业营运资金管理[J].时代金融,2018(30). </w:t>
      </w:r>
    </w:p>
    <w:p w:rsidR="00F3658C" w:rsidRDefault="0050409E">
      <w:pPr>
        <w:widowControl/>
        <w:jc w:val="left"/>
        <w:rPr>
          <w:rFonts w:ascii="黑体" w:eastAsia="黑体" w:hAnsi="黑体" w:cs="黑体"/>
          <w:szCs w:val="21"/>
        </w:rPr>
      </w:pPr>
      <w:r>
        <w:rPr>
          <w:rFonts w:ascii="黑体" w:eastAsia="黑体" w:hAnsi="黑体" w:cs="黑体" w:hint="eastAsia"/>
          <w:szCs w:val="21"/>
        </w:rPr>
        <w:t xml:space="preserve">[3] </w:t>
      </w:r>
      <w:proofErr w:type="gramStart"/>
      <w:r>
        <w:rPr>
          <w:rFonts w:ascii="黑体" w:eastAsia="黑体" w:hAnsi="黑体" w:cs="黑体" w:hint="eastAsia"/>
          <w:szCs w:val="21"/>
        </w:rPr>
        <w:t>陈惟杉</w:t>
      </w:r>
      <w:proofErr w:type="gramEnd"/>
      <w:r>
        <w:rPr>
          <w:rFonts w:ascii="黑体" w:eastAsia="黑体" w:hAnsi="黑体" w:cs="黑体" w:hint="eastAsia"/>
          <w:szCs w:val="21"/>
        </w:rPr>
        <w:t>.华为的世界观[J].中国经济周刊，2019（12）</w:t>
      </w:r>
    </w:p>
    <w:p w:rsidR="00F3658C" w:rsidRDefault="00F3658C">
      <w:pPr>
        <w:widowControl/>
        <w:jc w:val="left"/>
        <w:rPr>
          <w:rFonts w:ascii="黑体" w:eastAsia="黑体" w:hAnsi="黑体" w:cs="黑体"/>
          <w:szCs w:val="21"/>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Arial" w:hAnsi="Arial" w:cs="Arial"/>
          <w:color w:val="292929"/>
          <w:sz w:val="14"/>
          <w:szCs w:val="14"/>
        </w:rPr>
      </w:pPr>
    </w:p>
    <w:p w:rsidR="00F3658C" w:rsidRDefault="00F3658C">
      <w:pPr>
        <w:widowControl/>
        <w:jc w:val="left"/>
        <w:rPr>
          <w:rFonts w:ascii="黑体" w:eastAsia="黑体" w:hAnsi="黑体" w:cs="黑体"/>
          <w:szCs w:val="21"/>
        </w:rPr>
      </w:pPr>
    </w:p>
    <w:sectPr w:rsidR="00F3658C" w:rsidSect="00F3658C">
      <w:footnotePr>
        <w:numFmt w:val="decimalEnclosedCircleChinese"/>
      </w:footnotePr>
      <w:endnotePr>
        <w:numFmt w:val="decimalEnclosedCircleChinese"/>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6DB" w:rsidRDefault="00F236DB" w:rsidP="00F3658C">
      <w:r>
        <w:separator/>
      </w:r>
    </w:p>
  </w:endnote>
  <w:endnote w:type="continuationSeparator" w:id="0">
    <w:p w:rsidR="00F236DB" w:rsidRDefault="00F236DB" w:rsidP="00F3658C">
      <w:r>
        <w:continuationSeparator/>
      </w:r>
    </w:p>
  </w:endnote>
  <w:endnote w:id="1">
    <w:p w:rsidR="00F3658C" w:rsidRDefault="0050409E">
      <w:pPr>
        <w:widowControl/>
        <w:jc w:val="left"/>
        <w:rPr>
          <w:rFonts w:asciiTheme="minorEastAsia" w:eastAsiaTheme="minorEastAsia" w:hAnsiTheme="minorEastAsia" w:cs="黑体"/>
          <w:szCs w:val="21"/>
        </w:rPr>
      </w:pPr>
      <w:r>
        <w:rPr>
          <w:rStyle w:val="aa"/>
        </w:rPr>
        <w:endnoteRef/>
      </w:r>
      <w:r>
        <w:t xml:space="preserve"> </w:t>
      </w:r>
      <w:r>
        <w:rPr>
          <w:rFonts w:ascii="黑体" w:eastAsia="黑体" w:hAnsi="黑体" w:cs="黑体" w:hint="eastAsia"/>
          <w:szCs w:val="21"/>
        </w:rPr>
        <w:t>[1]刘伟.</w:t>
      </w:r>
      <w:r>
        <w:rPr>
          <w:rFonts w:ascii="黑体" w:eastAsia="黑体" w:hAnsi="黑体" w:hint="eastAsia"/>
        </w:rPr>
        <w:t xml:space="preserve"> </w:t>
      </w:r>
      <w:r>
        <w:rPr>
          <w:rFonts w:ascii="黑体" w:eastAsia="黑体" w:hAnsi="黑体" w:cs="黑体" w:hint="eastAsia"/>
          <w:szCs w:val="21"/>
        </w:rPr>
        <w:t>华为公司国际化探析[J]. 现代商贸工业，2013（20）.</w:t>
      </w:r>
      <w:r>
        <w:rPr>
          <w:rFonts w:asciiTheme="minorEastAsia" w:eastAsiaTheme="minorEastAsia" w:hAnsiTheme="minorEastAsia"/>
        </w:rPr>
        <w:t xml:space="preserve"> </w:t>
      </w:r>
    </w:p>
  </w:endnote>
  <w:endnote w:id="2">
    <w:p w:rsidR="00F3658C" w:rsidRDefault="0050409E">
      <w:pPr>
        <w:pStyle w:val="a4"/>
        <w:rPr>
          <w:rFonts w:ascii="黑体" w:eastAsia="黑体" w:hAnsi="黑体"/>
        </w:rPr>
      </w:pPr>
      <w:r>
        <w:rPr>
          <w:rStyle w:val="aa"/>
        </w:rPr>
        <w:endnoteRef/>
      </w:r>
      <w:r>
        <w:t xml:space="preserve"> </w:t>
      </w:r>
      <w:r>
        <w:rPr>
          <w:rFonts w:ascii="黑体" w:eastAsia="黑体" w:hAnsi="黑体"/>
        </w:rPr>
        <w:t>[</w:t>
      </w:r>
      <w:r>
        <w:rPr>
          <w:rFonts w:ascii="黑体" w:eastAsia="黑体" w:hAnsi="黑体" w:hint="eastAsia"/>
        </w:rPr>
        <w:t>2</w:t>
      </w:r>
      <w:r>
        <w:rPr>
          <w:rFonts w:ascii="黑体" w:eastAsia="黑体" w:hAnsi="黑体"/>
        </w:rPr>
        <w:t>]</w:t>
      </w:r>
      <w:r>
        <w:rPr>
          <w:rFonts w:ascii="黑体" w:eastAsia="黑体" w:hAnsi="黑体" w:hint="eastAsia"/>
        </w:rPr>
        <w:t>荆</w:t>
      </w:r>
      <w:r>
        <w:rPr>
          <w:rFonts w:ascii="黑体" w:eastAsia="黑体" w:hAnsi="黑体"/>
        </w:rPr>
        <w:t>新,</w:t>
      </w:r>
      <w:r>
        <w:rPr>
          <w:rFonts w:ascii="黑体" w:eastAsia="黑体" w:hAnsi="黑体" w:hint="eastAsia"/>
        </w:rPr>
        <w:t>王</w:t>
      </w:r>
      <w:r>
        <w:rPr>
          <w:rFonts w:ascii="黑体" w:eastAsia="黑体" w:hAnsi="黑体"/>
        </w:rPr>
        <w:t>化成,刘俊彦.</w:t>
      </w:r>
      <w:r>
        <w:rPr>
          <w:rFonts w:ascii="黑体" w:eastAsia="黑体" w:hAnsi="黑体" w:hint="eastAsia"/>
        </w:rPr>
        <w:t>财务</w:t>
      </w:r>
      <w:r>
        <w:rPr>
          <w:rFonts w:ascii="黑体" w:eastAsia="黑体" w:hAnsi="黑体"/>
        </w:rPr>
        <w:t>管理学</w:t>
      </w:r>
      <w:r>
        <w:rPr>
          <w:rFonts w:ascii="黑体" w:eastAsia="黑体" w:hAnsi="黑体" w:hint="eastAsia"/>
        </w:rPr>
        <w:t>（第七版）</w:t>
      </w:r>
      <w:r>
        <w:rPr>
          <w:rFonts w:ascii="黑体" w:eastAsia="黑体" w:hAnsi="黑体"/>
        </w:rPr>
        <w:t>[M].北京:</w:t>
      </w:r>
      <w:r>
        <w:rPr>
          <w:rFonts w:ascii="黑体" w:eastAsia="黑体" w:hAnsi="黑体" w:hint="eastAsia"/>
        </w:rPr>
        <w:t>中国</w:t>
      </w:r>
      <w:r>
        <w:rPr>
          <w:rFonts w:ascii="黑体" w:eastAsia="黑体" w:hAnsi="黑体"/>
        </w:rPr>
        <w:t>人民大学出版社,</w:t>
      </w:r>
      <w:r>
        <w:rPr>
          <w:rFonts w:ascii="黑体" w:eastAsia="黑体" w:hAnsi="黑体" w:hint="eastAsia"/>
        </w:rPr>
        <w:t>2015</w:t>
      </w:r>
      <w:r>
        <w:rPr>
          <w:rFonts w:ascii="黑体" w:eastAsia="黑体" w:hAnsi="黑体"/>
        </w:rPr>
        <w:t>.</w:t>
      </w:r>
    </w:p>
  </w:endnote>
  <w:endnote w:id="3">
    <w:p w:rsidR="00F3658C" w:rsidRPr="00F3097A" w:rsidRDefault="0050409E">
      <w:pPr>
        <w:pStyle w:val="a4"/>
        <w:rPr>
          <w:rFonts w:ascii="黑体" w:eastAsia="黑体" w:hAnsi="黑体" w:cs="黑体"/>
          <w:szCs w:val="21"/>
        </w:rPr>
      </w:pPr>
      <w:r w:rsidRPr="00A40FAF">
        <w:rPr>
          <w:rStyle w:val="aa"/>
        </w:rPr>
        <w:endnoteRef/>
      </w:r>
      <w:r w:rsidRPr="00A40FAF">
        <w:rPr>
          <w:rFonts w:hint="eastAsia"/>
        </w:rPr>
        <w:t xml:space="preserve"> </w:t>
      </w:r>
      <w:r w:rsidRPr="00F3097A">
        <w:rPr>
          <w:rFonts w:ascii="黑体" w:eastAsia="黑体" w:hAnsi="黑体" w:cs="黑体"/>
          <w:szCs w:val="21"/>
        </w:rPr>
        <w:t>根据</w:t>
      </w:r>
      <w:r w:rsidRPr="00F3097A">
        <w:rPr>
          <w:rFonts w:ascii="黑体" w:eastAsia="黑体" w:hAnsi="黑体" w:cs="黑体" w:hint="eastAsia"/>
          <w:szCs w:val="21"/>
        </w:rPr>
        <w:t>2018年华为公司年报中财务报表摘取并整理所得</w:t>
      </w:r>
    </w:p>
  </w:endnote>
  <w:endnote w:id="4">
    <w:p w:rsidR="00F3658C" w:rsidRPr="00A40FAF" w:rsidRDefault="0050409E">
      <w:pPr>
        <w:pStyle w:val="a4"/>
      </w:pPr>
      <w:r w:rsidRPr="00A40FAF">
        <w:rPr>
          <w:rStyle w:val="aa"/>
        </w:rPr>
        <w:endnoteRef/>
      </w:r>
      <w:r w:rsidRPr="00A40FAF">
        <w:t xml:space="preserve"> </w:t>
      </w:r>
      <w:r w:rsidRPr="00F3097A">
        <w:rPr>
          <w:rFonts w:ascii="黑体" w:eastAsia="黑体" w:hAnsi="黑体" w:cs="黑体"/>
          <w:szCs w:val="21"/>
        </w:rPr>
        <w:t>同上</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6DB" w:rsidRDefault="00F236DB" w:rsidP="00F3658C">
      <w:r>
        <w:separator/>
      </w:r>
    </w:p>
  </w:footnote>
  <w:footnote w:type="continuationSeparator" w:id="0">
    <w:p w:rsidR="00F236DB" w:rsidRDefault="00F236DB" w:rsidP="00F365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8"/>
  </w:hdrShapeDefaults>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adjustLineHeightInTable/>
    <w:doNotBreakWrappedTables/>
    <w:doNotWrapTextWithPunct/>
    <w:doNotUseEastAsianBreakRules/>
    <w:useFELayout/>
  </w:compat>
  <w:rsids>
    <w:rsidRoot w:val="00F3658C"/>
    <w:rsid w:val="002846BA"/>
    <w:rsid w:val="0050409E"/>
    <w:rsid w:val="00A40FAF"/>
    <w:rsid w:val="00C702CF"/>
    <w:rsid w:val="00F236DB"/>
    <w:rsid w:val="00F3097A"/>
    <w:rsid w:val="00F36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58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F3658C"/>
    <w:pPr>
      <w:jc w:val="left"/>
    </w:pPr>
  </w:style>
  <w:style w:type="paragraph" w:styleId="a4">
    <w:name w:val="endnote text"/>
    <w:basedOn w:val="a"/>
    <w:link w:val="Char0"/>
    <w:uiPriority w:val="99"/>
    <w:unhideWhenUsed/>
    <w:qFormat/>
    <w:rsid w:val="00F3658C"/>
    <w:pPr>
      <w:snapToGrid w:val="0"/>
      <w:jc w:val="left"/>
    </w:pPr>
  </w:style>
  <w:style w:type="paragraph" w:styleId="a5">
    <w:name w:val="Balloon Text"/>
    <w:basedOn w:val="a"/>
    <w:link w:val="Char1"/>
    <w:uiPriority w:val="99"/>
    <w:unhideWhenUsed/>
    <w:rsid w:val="00F3658C"/>
    <w:rPr>
      <w:sz w:val="18"/>
      <w:szCs w:val="18"/>
    </w:rPr>
  </w:style>
  <w:style w:type="paragraph" w:styleId="a6">
    <w:name w:val="footer"/>
    <w:basedOn w:val="a"/>
    <w:link w:val="Char2"/>
    <w:uiPriority w:val="99"/>
    <w:unhideWhenUsed/>
    <w:qFormat/>
    <w:rsid w:val="00F3658C"/>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F3658C"/>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sid w:val="00F3658C"/>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F3658C"/>
    <w:rPr>
      <w:b/>
      <w:bCs/>
    </w:rPr>
  </w:style>
  <w:style w:type="character" w:styleId="aa">
    <w:name w:val="endnote reference"/>
    <w:basedOn w:val="a0"/>
    <w:uiPriority w:val="99"/>
    <w:unhideWhenUsed/>
    <w:qFormat/>
    <w:rsid w:val="00F3658C"/>
    <w:rPr>
      <w:vertAlign w:val="superscript"/>
    </w:rPr>
  </w:style>
  <w:style w:type="character" w:styleId="ab">
    <w:name w:val="Hyperlink"/>
    <w:basedOn w:val="a0"/>
    <w:uiPriority w:val="99"/>
    <w:unhideWhenUsed/>
    <w:qFormat/>
    <w:rsid w:val="00F3658C"/>
    <w:rPr>
      <w:color w:val="0000FF"/>
      <w:u w:val="single"/>
    </w:rPr>
  </w:style>
  <w:style w:type="table" w:styleId="ac">
    <w:name w:val="Table Grid"/>
    <w:basedOn w:val="a1"/>
    <w:qFormat/>
    <w:rsid w:val="00F365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正文 A"/>
    <w:qFormat/>
    <w:rsid w:val="00F3658C"/>
    <w:pPr>
      <w:widowControl w:val="0"/>
      <w:jc w:val="both"/>
    </w:pPr>
    <w:rPr>
      <w:rFonts w:eastAsia="Arial Unicode MS" w:cs="Arial Unicode MS"/>
      <w:color w:val="000000"/>
      <w:kern w:val="2"/>
      <w:sz w:val="21"/>
      <w:szCs w:val="21"/>
      <w:u w:color="000000"/>
    </w:rPr>
  </w:style>
  <w:style w:type="paragraph" w:customStyle="1" w:styleId="1">
    <w:name w:val="列出段落1"/>
    <w:basedOn w:val="a"/>
    <w:uiPriority w:val="34"/>
    <w:qFormat/>
    <w:rsid w:val="00F3658C"/>
    <w:pPr>
      <w:ind w:firstLineChars="200" w:firstLine="420"/>
    </w:pPr>
  </w:style>
  <w:style w:type="character" w:customStyle="1" w:styleId="Char3">
    <w:name w:val="页眉 Char"/>
    <w:basedOn w:val="a0"/>
    <w:link w:val="a7"/>
    <w:uiPriority w:val="99"/>
    <w:semiHidden/>
    <w:qFormat/>
    <w:rsid w:val="00F3658C"/>
    <w:rPr>
      <w:rFonts w:ascii="Times New Roman" w:eastAsia="宋体" w:hAnsi="Times New Roman" w:cs="Times New Roman"/>
      <w:sz w:val="18"/>
      <w:szCs w:val="18"/>
    </w:rPr>
  </w:style>
  <w:style w:type="character" w:customStyle="1" w:styleId="Char2">
    <w:name w:val="页脚 Char"/>
    <w:basedOn w:val="a0"/>
    <w:link w:val="a6"/>
    <w:uiPriority w:val="99"/>
    <w:semiHidden/>
    <w:qFormat/>
    <w:rsid w:val="00F3658C"/>
    <w:rPr>
      <w:rFonts w:ascii="Times New Roman" w:eastAsia="宋体" w:hAnsi="Times New Roman" w:cs="Times New Roman"/>
      <w:sz w:val="18"/>
      <w:szCs w:val="18"/>
    </w:rPr>
  </w:style>
  <w:style w:type="character" w:customStyle="1" w:styleId="Char0">
    <w:name w:val="尾注文本 Char"/>
    <w:basedOn w:val="a0"/>
    <w:link w:val="a4"/>
    <w:uiPriority w:val="99"/>
    <w:qFormat/>
    <w:rsid w:val="00F3658C"/>
    <w:rPr>
      <w:rFonts w:ascii="Times New Roman" w:eastAsia="宋体" w:hAnsi="Times New Roman" w:cs="Times New Roman"/>
      <w:szCs w:val="24"/>
    </w:rPr>
  </w:style>
  <w:style w:type="character" w:customStyle="1" w:styleId="s1">
    <w:name w:val="s1"/>
    <w:basedOn w:val="a0"/>
    <w:qFormat/>
    <w:rsid w:val="00F3658C"/>
    <w:rPr>
      <w:rFonts w:ascii="Helvetica" w:eastAsia="Helvetica" w:hAnsi="Helvetica" w:cs="Helvetica"/>
      <w:sz w:val="24"/>
      <w:szCs w:val="24"/>
    </w:rPr>
  </w:style>
  <w:style w:type="paragraph" w:customStyle="1" w:styleId="p1">
    <w:name w:val="p1"/>
    <w:basedOn w:val="a"/>
    <w:qFormat/>
    <w:rsid w:val="00F3658C"/>
    <w:pPr>
      <w:jc w:val="left"/>
    </w:pPr>
    <w:rPr>
      <w:kern w:val="0"/>
    </w:rPr>
  </w:style>
  <w:style w:type="paragraph" w:customStyle="1" w:styleId="p2">
    <w:name w:val="p2"/>
    <w:basedOn w:val="a"/>
    <w:qFormat/>
    <w:rsid w:val="00F3658C"/>
    <w:pPr>
      <w:jc w:val="left"/>
    </w:pPr>
    <w:rPr>
      <w:kern w:val="0"/>
    </w:rPr>
  </w:style>
  <w:style w:type="paragraph" w:customStyle="1" w:styleId="text-idt25">
    <w:name w:val="text-idt25"/>
    <w:qFormat/>
    <w:rsid w:val="00F3658C"/>
    <w:pPr>
      <w:spacing w:before="100" w:after="100"/>
    </w:pPr>
    <w:rPr>
      <w:rFonts w:ascii="宋体" w:hAnsi="宋体" w:cs="宋体"/>
      <w:color w:val="000000"/>
      <w:sz w:val="24"/>
      <w:szCs w:val="24"/>
      <w:u w:color="000000"/>
    </w:rPr>
  </w:style>
  <w:style w:type="character" w:customStyle="1" w:styleId="Char">
    <w:name w:val="批注文字 Char"/>
    <w:basedOn w:val="a0"/>
    <w:link w:val="a3"/>
    <w:uiPriority w:val="99"/>
    <w:semiHidden/>
    <w:qFormat/>
    <w:rsid w:val="00F3658C"/>
    <w:rPr>
      <w:kern w:val="2"/>
      <w:sz w:val="21"/>
      <w:szCs w:val="24"/>
    </w:rPr>
  </w:style>
  <w:style w:type="character" w:customStyle="1" w:styleId="Char1">
    <w:name w:val="批注框文本 Char"/>
    <w:basedOn w:val="a0"/>
    <w:link w:val="a5"/>
    <w:uiPriority w:val="99"/>
    <w:semiHidden/>
    <w:qFormat/>
    <w:rsid w:val="00F3658C"/>
    <w:rPr>
      <w:kern w:val="2"/>
      <w:sz w:val="18"/>
      <w:szCs w:val="18"/>
    </w:rPr>
  </w:style>
  <w:style w:type="paragraph" w:customStyle="1" w:styleId="2">
    <w:name w:val="列出段落2"/>
    <w:basedOn w:val="a"/>
    <w:uiPriority w:val="99"/>
    <w:unhideWhenUsed/>
    <w:qFormat/>
    <w:rsid w:val="00F3658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2020-02-21T02:12:00Z</dcterms:created>
  <dcterms:modified xsi:type="dcterms:W3CDTF">2020-02-21T05:09:00Z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