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9F8" w:rsidRDefault="00B6799A" w:rsidP="00B6799A">
      <w:pPr>
        <w:jc w:val="center"/>
        <w:rPr>
          <w:rFonts w:ascii="黑体" w:eastAsia="黑体" w:hAnsi="黑体"/>
          <w:b/>
          <w:sz w:val="36"/>
          <w:szCs w:val="36"/>
        </w:rPr>
      </w:pPr>
      <w:r w:rsidRPr="006F6482">
        <w:rPr>
          <w:rFonts w:ascii="黑体" w:eastAsia="黑体" w:hAnsi="黑体" w:hint="eastAsia"/>
          <w:b/>
          <w:sz w:val="36"/>
          <w:szCs w:val="36"/>
        </w:rPr>
        <w:t>走进“智趣”的</w:t>
      </w:r>
      <w:r w:rsidR="007744E7" w:rsidRPr="006F6482">
        <w:rPr>
          <w:rFonts w:ascii="黑体" w:eastAsia="黑体" w:hAnsi="黑体" w:hint="eastAsia"/>
          <w:b/>
          <w:sz w:val="36"/>
          <w:szCs w:val="36"/>
        </w:rPr>
        <w:t>低年级语文</w:t>
      </w:r>
      <w:r w:rsidRPr="006F6482">
        <w:rPr>
          <w:rFonts w:ascii="黑体" w:eastAsia="黑体" w:hAnsi="黑体" w:hint="eastAsia"/>
          <w:b/>
          <w:sz w:val="36"/>
          <w:szCs w:val="36"/>
        </w:rPr>
        <w:t>识字课堂</w:t>
      </w:r>
    </w:p>
    <w:p w:rsidR="006F6482" w:rsidRPr="006F6482" w:rsidRDefault="006F6482" w:rsidP="00B6799A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692A6E" w:rsidRPr="006F6482" w:rsidRDefault="00692A6E" w:rsidP="00B6799A">
      <w:pPr>
        <w:jc w:val="center"/>
        <w:rPr>
          <w:rFonts w:ascii="仿宋" w:eastAsia="仿宋" w:hAnsi="仿宋"/>
          <w:sz w:val="24"/>
          <w:szCs w:val="24"/>
        </w:rPr>
      </w:pPr>
      <w:r w:rsidRPr="006F6482">
        <w:rPr>
          <w:rFonts w:ascii="仿宋" w:eastAsia="仿宋" w:hAnsi="仿宋" w:hint="eastAsia"/>
          <w:sz w:val="24"/>
          <w:szCs w:val="24"/>
        </w:rPr>
        <w:t>池文蓉</w:t>
      </w:r>
    </w:p>
    <w:p w:rsidR="00692A6E" w:rsidRPr="006C6D89" w:rsidRDefault="00692A6E" w:rsidP="00B6799A">
      <w:pPr>
        <w:jc w:val="center"/>
        <w:rPr>
          <w:rFonts w:ascii="仿宋" w:eastAsia="仿宋" w:hAnsi="仿宋" w:hint="eastAsia"/>
          <w:sz w:val="18"/>
          <w:szCs w:val="18"/>
        </w:rPr>
      </w:pPr>
      <w:r w:rsidRPr="006C6D89">
        <w:rPr>
          <w:rFonts w:ascii="仿宋" w:eastAsia="仿宋" w:hAnsi="仿宋" w:hint="eastAsia"/>
          <w:sz w:val="18"/>
          <w:szCs w:val="18"/>
        </w:rPr>
        <w:t>（广东省东莞市松山湖第一小学，广东 东莞</w:t>
      </w:r>
      <w:r w:rsidR="006C6D89">
        <w:rPr>
          <w:rFonts w:ascii="仿宋" w:eastAsia="仿宋" w:hAnsi="仿宋" w:hint="eastAsia"/>
          <w:sz w:val="18"/>
          <w:szCs w:val="18"/>
        </w:rPr>
        <w:t xml:space="preserve"> 523808</w:t>
      </w:r>
      <w:r w:rsidRPr="006C6D89">
        <w:rPr>
          <w:rFonts w:ascii="仿宋" w:eastAsia="仿宋" w:hAnsi="仿宋" w:hint="eastAsia"/>
          <w:sz w:val="18"/>
          <w:szCs w:val="18"/>
        </w:rPr>
        <w:t>）</w:t>
      </w:r>
    </w:p>
    <w:p w:rsidR="006F6482" w:rsidRDefault="006F6482" w:rsidP="006F6482">
      <w:pPr>
        <w:jc w:val="left"/>
        <w:rPr>
          <w:rFonts w:ascii="宋体" w:eastAsia="宋体" w:hAnsi="宋体"/>
          <w:sz w:val="24"/>
        </w:rPr>
      </w:pPr>
    </w:p>
    <w:p w:rsidR="006F6482" w:rsidRPr="006C6D89" w:rsidRDefault="007744E7" w:rsidP="006F6482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6C6D89">
        <w:rPr>
          <w:rFonts w:ascii="宋体" w:eastAsia="宋体" w:hAnsi="宋体" w:hint="eastAsia"/>
          <w:szCs w:val="21"/>
        </w:rPr>
        <w:t>摘要</w:t>
      </w:r>
      <w:r w:rsidR="006F6482" w:rsidRPr="006C6D89">
        <w:rPr>
          <w:rFonts w:ascii="宋体" w:eastAsia="宋体" w:hAnsi="宋体" w:hint="eastAsia"/>
          <w:szCs w:val="21"/>
        </w:rPr>
        <w:t>：识字是小学语文第一学段的教学重点，也是贯穿整个义务教育的重要教学内容，根据生字呈现的方式不同，需要教师灵活处理，采取不同的教学策略及教学方式，帮助学生会写会认汉字，习得识字方法并学以致用。</w:t>
      </w:r>
    </w:p>
    <w:p w:rsidR="006F6482" w:rsidRPr="006C6D89" w:rsidRDefault="006F6482" w:rsidP="006F6482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 w:rsidRPr="006C6D89">
        <w:rPr>
          <w:rFonts w:ascii="宋体" w:eastAsia="宋体" w:hAnsi="宋体" w:hint="eastAsia"/>
          <w:szCs w:val="21"/>
        </w:rPr>
        <w:t>关键词：识字；教学策略；识字方法</w:t>
      </w:r>
    </w:p>
    <w:p w:rsidR="006F6482" w:rsidRPr="006F6482" w:rsidRDefault="006F6482" w:rsidP="006F6482">
      <w:pPr>
        <w:jc w:val="left"/>
        <w:rPr>
          <w:rFonts w:ascii="宋体" w:eastAsia="宋体" w:hAnsi="宋体" w:hint="eastAsia"/>
          <w:sz w:val="24"/>
        </w:rPr>
      </w:pPr>
    </w:p>
    <w:p w:rsidR="00B6799A" w:rsidRPr="006F6482" w:rsidRDefault="007744E7" w:rsidP="006C6D89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F6482">
        <w:rPr>
          <w:rFonts w:ascii="宋体" w:eastAsia="宋体" w:hAnsi="宋体" w:hint="eastAsia"/>
          <w:sz w:val="24"/>
          <w:szCs w:val="24"/>
        </w:rPr>
        <w:t>温儒敏先生说：“</w:t>
      </w:r>
      <w:r w:rsidRPr="006F6482">
        <w:rPr>
          <w:rFonts w:ascii="宋体" w:eastAsia="宋体" w:hAnsi="宋体" w:hint="eastAsia"/>
          <w:color w:val="222222"/>
          <w:sz w:val="24"/>
          <w:szCs w:val="24"/>
        </w:rPr>
        <w:t>新版语文教材不是对既有同类教材的颠覆，而是“守正创新”，吸收既有各种版本的优点，更加强调遵循教学规律，也更有效地提升语文素养。</w:t>
      </w:r>
      <w:r w:rsidRPr="006F6482">
        <w:rPr>
          <w:rFonts w:ascii="宋体" w:eastAsia="宋体" w:hAnsi="宋体" w:hint="eastAsia"/>
          <w:color w:val="222222"/>
          <w:sz w:val="24"/>
          <w:szCs w:val="24"/>
        </w:rPr>
        <w:t>”</w:t>
      </w:r>
      <w:r w:rsidR="00692A6E" w:rsidRPr="006F6482">
        <w:rPr>
          <w:rFonts w:ascii="宋体" w:eastAsia="宋体" w:hAnsi="宋体" w:hint="eastAsia"/>
          <w:color w:val="222222"/>
          <w:sz w:val="24"/>
          <w:szCs w:val="24"/>
        </w:rPr>
        <w:t>教材创新，教师教学教法也应创新。</w:t>
      </w:r>
      <w:r w:rsidRPr="006F6482">
        <w:rPr>
          <w:rFonts w:ascii="宋体" w:eastAsia="宋体" w:hAnsi="宋体" w:hint="eastAsia"/>
          <w:color w:val="222222"/>
          <w:sz w:val="24"/>
          <w:szCs w:val="24"/>
        </w:rPr>
        <w:t>一年级语文教材由先学拼音再学汉字改为先学汉字再学拼音，</w:t>
      </w:r>
      <w:r w:rsidR="00692A6E" w:rsidRPr="006F6482">
        <w:rPr>
          <w:rFonts w:ascii="宋体" w:eastAsia="宋体" w:hAnsi="宋体" w:hint="eastAsia"/>
          <w:color w:val="222222"/>
          <w:sz w:val="24"/>
          <w:szCs w:val="24"/>
        </w:rPr>
        <w:t>低年级语文识字是基石也是重点，识字的渠道不同，教学策略也不同，教师应充分认识统编教材编写意图、文本特质等，从而设计符合儿童心理的有趣多样的教学环节，让学生感受到汉字学习的乐趣。</w:t>
      </w:r>
      <w:r w:rsidR="00B6799A" w:rsidRPr="006F6482">
        <w:rPr>
          <w:rFonts w:ascii="宋体" w:eastAsia="宋体" w:hAnsi="宋体" w:hint="eastAsia"/>
          <w:sz w:val="24"/>
          <w:szCs w:val="24"/>
        </w:rPr>
        <w:t xml:space="preserve">    </w:t>
      </w:r>
    </w:p>
    <w:p w:rsidR="0025165F" w:rsidRPr="006C6D89" w:rsidRDefault="00692A6E" w:rsidP="006C6D8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6F6482">
        <w:rPr>
          <w:rFonts w:ascii="宋体" w:eastAsia="宋体" w:hAnsi="宋体"/>
          <w:sz w:val="24"/>
          <w:szCs w:val="24"/>
        </w:rPr>
        <w:t xml:space="preserve"> </w:t>
      </w:r>
      <w:r w:rsidRPr="006C6D89">
        <w:rPr>
          <w:rFonts w:ascii="宋体" w:eastAsia="宋体" w:hAnsi="宋体" w:hint="eastAsia"/>
          <w:b/>
          <w:sz w:val="28"/>
          <w:szCs w:val="24"/>
        </w:rPr>
        <w:t>一．</w:t>
      </w:r>
      <w:r w:rsidR="0025165F" w:rsidRPr="006C6D89">
        <w:rPr>
          <w:rFonts w:ascii="宋体" w:eastAsia="宋体" w:hAnsi="宋体" w:hint="eastAsia"/>
          <w:b/>
          <w:sz w:val="28"/>
          <w:szCs w:val="24"/>
        </w:rPr>
        <w:t>识字单元中集中识字策略</w:t>
      </w:r>
    </w:p>
    <w:p w:rsidR="0025165F" w:rsidRPr="006F6482" w:rsidRDefault="0025165F" w:rsidP="006C6D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6482">
        <w:rPr>
          <w:rFonts w:ascii="宋体" w:eastAsia="宋体" w:hAnsi="宋体" w:hint="eastAsia"/>
          <w:sz w:val="24"/>
          <w:szCs w:val="24"/>
        </w:rPr>
        <w:t>生字呈现的方式不同，所采取的教学策略也不同，以所教的一年级为例，一年级每册安排两个独立的识字单元，专门讲解识字方法，培养学生的识字能力。</w:t>
      </w:r>
    </w:p>
    <w:tbl>
      <w:tblPr>
        <w:tblStyle w:val="a4"/>
        <w:tblW w:w="8631" w:type="dxa"/>
        <w:jc w:val="center"/>
        <w:tblLook w:val="04A0" w:firstRow="1" w:lastRow="0" w:firstColumn="1" w:lastColumn="0" w:noHBand="0" w:noVBand="1"/>
      </w:tblPr>
      <w:tblGrid>
        <w:gridCol w:w="1118"/>
        <w:gridCol w:w="1701"/>
        <w:gridCol w:w="1559"/>
        <w:gridCol w:w="1276"/>
        <w:gridCol w:w="1559"/>
        <w:gridCol w:w="1418"/>
      </w:tblGrid>
      <w:tr w:rsidR="0014466B" w:rsidRPr="006F6482" w:rsidTr="009A3125">
        <w:trPr>
          <w:jc w:val="center"/>
        </w:trPr>
        <w:tc>
          <w:tcPr>
            <w:tcW w:w="1118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单元</w:t>
            </w:r>
          </w:p>
        </w:tc>
        <w:tc>
          <w:tcPr>
            <w:tcW w:w="1701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课题</w:t>
            </w:r>
          </w:p>
        </w:tc>
        <w:tc>
          <w:tcPr>
            <w:tcW w:w="1559" w:type="dxa"/>
          </w:tcPr>
          <w:p w:rsidR="0014466B" w:rsidRPr="006F6482" w:rsidRDefault="009A3125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识字方式</w:t>
            </w:r>
          </w:p>
        </w:tc>
        <w:tc>
          <w:tcPr>
            <w:tcW w:w="1276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单元</w:t>
            </w:r>
          </w:p>
        </w:tc>
        <w:tc>
          <w:tcPr>
            <w:tcW w:w="1559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课题</w:t>
            </w:r>
          </w:p>
        </w:tc>
        <w:tc>
          <w:tcPr>
            <w:tcW w:w="1418" w:type="dxa"/>
          </w:tcPr>
          <w:p w:rsidR="0014466B" w:rsidRPr="006F6482" w:rsidRDefault="009A3125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识字方式</w:t>
            </w:r>
          </w:p>
        </w:tc>
      </w:tr>
      <w:tr w:rsidR="0014466B" w:rsidRPr="006F6482" w:rsidTr="009A3125">
        <w:trPr>
          <w:jc w:val="center"/>
        </w:trPr>
        <w:tc>
          <w:tcPr>
            <w:tcW w:w="1118" w:type="dxa"/>
            <w:vMerge w:val="restart"/>
            <w:textDirection w:val="tbRlV"/>
          </w:tcPr>
          <w:p w:rsidR="0014466B" w:rsidRPr="006F6482" w:rsidRDefault="0014466B" w:rsidP="006C6D89">
            <w:pPr>
              <w:pStyle w:val="a3"/>
              <w:spacing w:line="360" w:lineRule="auto"/>
              <w:ind w:left="113" w:right="113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识字一</w:t>
            </w:r>
          </w:p>
        </w:tc>
        <w:tc>
          <w:tcPr>
            <w:tcW w:w="1701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天地人</w:t>
            </w:r>
          </w:p>
        </w:tc>
        <w:tc>
          <w:tcPr>
            <w:tcW w:w="1559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蒙学识字</w:t>
            </w:r>
          </w:p>
        </w:tc>
        <w:tc>
          <w:tcPr>
            <w:tcW w:w="1276" w:type="dxa"/>
            <w:vMerge w:val="restart"/>
            <w:textDirection w:val="tbRlV"/>
          </w:tcPr>
          <w:p w:rsidR="0014466B" w:rsidRPr="006F6482" w:rsidRDefault="0014466B" w:rsidP="006C6D89">
            <w:pPr>
              <w:pStyle w:val="a3"/>
              <w:spacing w:line="360" w:lineRule="auto"/>
              <w:ind w:left="113" w:right="113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识字二</w:t>
            </w:r>
          </w:p>
        </w:tc>
        <w:tc>
          <w:tcPr>
            <w:tcW w:w="1559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画</w:t>
            </w:r>
          </w:p>
        </w:tc>
        <w:tc>
          <w:tcPr>
            <w:tcW w:w="1418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古诗识字</w:t>
            </w:r>
          </w:p>
        </w:tc>
      </w:tr>
      <w:tr w:rsidR="0014466B" w:rsidRPr="006F6482" w:rsidTr="009A3125">
        <w:trPr>
          <w:jc w:val="center"/>
        </w:trPr>
        <w:tc>
          <w:tcPr>
            <w:tcW w:w="1118" w:type="dxa"/>
            <w:vMerge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金木水火土</w:t>
            </w:r>
          </w:p>
        </w:tc>
        <w:tc>
          <w:tcPr>
            <w:tcW w:w="1559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儿歌识字</w:t>
            </w:r>
          </w:p>
        </w:tc>
        <w:tc>
          <w:tcPr>
            <w:tcW w:w="1276" w:type="dxa"/>
            <w:vMerge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大小多少</w:t>
            </w:r>
          </w:p>
        </w:tc>
        <w:tc>
          <w:tcPr>
            <w:tcW w:w="1418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儿歌识字</w:t>
            </w:r>
          </w:p>
        </w:tc>
      </w:tr>
      <w:tr w:rsidR="0014466B" w:rsidRPr="006F6482" w:rsidTr="009A3125">
        <w:trPr>
          <w:jc w:val="center"/>
        </w:trPr>
        <w:tc>
          <w:tcPr>
            <w:tcW w:w="1118" w:type="dxa"/>
            <w:vMerge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口耳目</w:t>
            </w:r>
          </w:p>
        </w:tc>
        <w:tc>
          <w:tcPr>
            <w:tcW w:w="1559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看图识字</w:t>
            </w:r>
          </w:p>
        </w:tc>
        <w:tc>
          <w:tcPr>
            <w:tcW w:w="1276" w:type="dxa"/>
            <w:vMerge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小书包</w:t>
            </w:r>
          </w:p>
        </w:tc>
        <w:tc>
          <w:tcPr>
            <w:tcW w:w="1418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归类识字</w:t>
            </w:r>
          </w:p>
        </w:tc>
      </w:tr>
      <w:tr w:rsidR="0014466B" w:rsidRPr="006F6482" w:rsidTr="009A3125">
        <w:trPr>
          <w:jc w:val="center"/>
        </w:trPr>
        <w:tc>
          <w:tcPr>
            <w:tcW w:w="1118" w:type="dxa"/>
            <w:vMerge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日月水火</w:t>
            </w:r>
          </w:p>
        </w:tc>
        <w:tc>
          <w:tcPr>
            <w:tcW w:w="1559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象形识字</w:t>
            </w:r>
          </w:p>
        </w:tc>
        <w:tc>
          <w:tcPr>
            <w:tcW w:w="1276" w:type="dxa"/>
            <w:vMerge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日月明</w:t>
            </w:r>
          </w:p>
        </w:tc>
        <w:tc>
          <w:tcPr>
            <w:tcW w:w="1418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会意识字</w:t>
            </w:r>
          </w:p>
        </w:tc>
      </w:tr>
      <w:tr w:rsidR="0014466B" w:rsidRPr="006F6482" w:rsidTr="009A3125">
        <w:trPr>
          <w:jc w:val="center"/>
        </w:trPr>
        <w:tc>
          <w:tcPr>
            <w:tcW w:w="1118" w:type="dxa"/>
            <w:vMerge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对韵歌</w:t>
            </w:r>
          </w:p>
        </w:tc>
        <w:tc>
          <w:tcPr>
            <w:tcW w:w="1559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韵语识字</w:t>
            </w:r>
          </w:p>
        </w:tc>
        <w:tc>
          <w:tcPr>
            <w:tcW w:w="1276" w:type="dxa"/>
            <w:vMerge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升国旗</w:t>
            </w:r>
          </w:p>
        </w:tc>
        <w:tc>
          <w:tcPr>
            <w:tcW w:w="1418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儿歌识字</w:t>
            </w:r>
          </w:p>
        </w:tc>
      </w:tr>
    </w:tbl>
    <w:p w:rsidR="009A3125" w:rsidRPr="006F6482" w:rsidRDefault="009A3125" w:rsidP="006C6D8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6F6482">
        <w:rPr>
          <w:rFonts w:ascii="宋体" w:eastAsia="宋体" w:hAnsi="宋体" w:hint="eastAsia"/>
          <w:sz w:val="24"/>
          <w:szCs w:val="24"/>
        </w:rPr>
        <w:t>表1</w:t>
      </w:r>
      <w:r w:rsidR="0014466B" w:rsidRPr="006F6482">
        <w:rPr>
          <w:rFonts w:ascii="宋体" w:eastAsia="宋体" w:hAnsi="宋体" w:hint="eastAsia"/>
          <w:sz w:val="24"/>
          <w:szCs w:val="24"/>
        </w:rPr>
        <w:t>统编教材一年级上册</w:t>
      </w:r>
    </w:p>
    <w:tbl>
      <w:tblPr>
        <w:tblStyle w:val="a4"/>
        <w:tblW w:w="8631" w:type="dxa"/>
        <w:jc w:val="center"/>
        <w:tblLook w:val="04A0" w:firstRow="1" w:lastRow="0" w:firstColumn="1" w:lastColumn="0" w:noHBand="0" w:noVBand="1"/>
      </w:tblPr>
      <w:tblGrid>
        <w:gridCol w:w="1278"/>
        <w:gridCol w:w="1541"/>
        <w:gridCol w:w="1559"/>
        <w:gridCol w:w="1276"/>
        <w:gridCol w:w="1559"/>
        <w:gridCol w:w="1418"/>
      </w:tblGrid>
      <w:tr w:rsidR="0025165F" w:rsidRPr="006F6482" w:rsidTr="009A3125">
        <w:trPr>
          <w:jc w:val="center"/>
        </w:trPr>
        <w:tc>
          <w:tcPr>
            <w:tcW w:w="1278" w:type="dxa"/>
          </w:tcPr>
          <w:p w:rsidR="0025165F" w:rsidRPr="006F6482" w:rsidRDefault="0025165F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单元</w:t>
            </w:r>
          </w:p>
        </w:tc>
        <w:tc>
          <w:tcPr>
            <w:tcW w:w="1541" w:type="dxa"/>
          </w:tcPr>
          <w:p w:rsidR="0025165F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课题</w:t>
            </w:r>
          </w:p>
        </w:tc>
        <w:tc>
          <w:tcPr>
            <w:tcW w:w="1559" w:type="dxa"/>
          </w:tcPr>
          <w:p w:rsidR="0025165F" w:rsidRPr="006F6482" w:rsidRDefault="009A3125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识字方式</w:t>
            </w:r>
          </w:p>
        </w:tc>
        <w:tc>
          <w:tcPr>
            <w:tcW w:w="1276" w:type="dxa"/>
          </w:tcPr>
          <w:p w:rsidR="0025165F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单元</w:t>
            </w:r>
          </w:p>
        </w:tc>
        <w:tc>
          <w:tcPr>
            <w:tcW w:w="1559" w:type="dxa"/>
          </w:tcPr>
          <w:p w:rsidR="0025165F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课题</w:t>
            </w:r>
          </w:p>
        </w:tc>
        <w:tc>
          <w:tcPr>
            <w:tcW w:w="1418" w:type="dxa"/>
          </w:tcPr>
          <w:p w:rsidR="0025165F" w:rsidRPr="006F6482" w:rsidRDefault="009A3125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识字方式</w:t>
            </w:r>
          </w:p>
        </w:tc>
      </w:tr>
      <w:tr w:rsidR="0014466B" w:rsidRPr="006F6482" w:rsidTr="009A3125">
        <w:trPr>
          <w:jc w:val="center"/>
        </w:trPr>
        <w:tc>
          <w:tcPr>
            <w:tcW w:w="1278" w:type="dxa"/>
            <w:vMerge w:val="restart"/>
            <w:textDirection w:val="tbRlV"/>
          </w:tcPr>
          <w:p w:rsidR="0014466B" w:rsidRPr="006F6482" w:rsidRDefault="0014466B" w:rsidP="006C6D89">
            <w:pPr>
              <w:pStyle w:val="a3"/>
              <w:spacing w:line="360" w:lineRule="auto"/>
              <w:ind w:left="113" w:right="113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识字一</w:t>
            </w:r>
          </w:p>
        </w:tc>
        <w:tc>
          <w:tcPr>
            <w:tcW w:w="1541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春夏秋冬</w:t>
            </w:r>
          </w:p>
        </w:tc>
        <w:tc>
          <w:tcPr>
            <w:tcW w:w="1559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归类识字</w:t>
            </w:r>
          </w:p>
        </w:tc>
        <w:tc>
          <w:tcPr>
            <w:tcW w:w="1276" w:type="dxa"/>
            <w:vMerge w:val="restart"/>
            <w:textDirection w:val="tbRlV"/>
          </w:tcPr>
          <w:p w:rsidR="0014466B" w:rsidRPr="006F6482" w:rsidRDefault="0014466B" w:rsidP="006C6D89">
            <w:pPr>
              <w:pStyle w:val="a3"/>
              <w:spacing w:line="360" w:lineRule="auto"/>
              <w:ind w:left="113" w:right="113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识字二</w:t>
            </w:r>
          </w:p>
        </w:tc>
        <w:tc>
          <w:tcPr>
            <w:tcW w:w="1559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动物儿歌</w:t>
            </w:r>
          </w:p>
        </w:tc>
        <w:tc>
          <w:tcPr>
            <w:tcW w:w="1418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儿歌识字</w:t>
            </w:r>
          </w:p>
        </w:tc>
      </w:tr>
      <w:tr w:rsidR="0014466B" w:rsidRPr="006F6482" w:rsidTr="009A3125">
        <w:trPr>
          <w:jc w:val="center"/>
        </w:trPr>
        <w:tc>
          <w:tcPr>
            <w:tcW w:w="1278" w:type="dxa"/>
            <w:vMerge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1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姓氏歌</w:t>
            </w:r>
          </w:p>
        </w:tc>
        <w:tc>
          <w:tcPr>
            <w:tcW w:w="1559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蒙学识字</w:t>
            </w:r>
          </w:p>
        </w:tc>
        <w:tc>
          <w:tcPr>
            <w:tcW w:w="1276" w:type="dxa"/>
            <w:vMerge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古对今</w:t>
            </w:r>
          </w:p>
        </w:tc>
        <w:tc>
          <w:tcPr>
            <w:tcW w:w="1418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蒙学识字</w:t>
            </w:r>
          </w:p>
        </w:tc>
      </w:tr>
      <w:tr w:rsidR="0014466B" w:rsidRPr="006F6482" w:rsidTr="009A3125">
        <w:trPr>
          <w:jc w:val="center"/>
        </w:trPr>
        <w:tc>
          <w:tcPr>
            <w:tcW w:w="1278" w:type="dxa"/>
            <w:vMerge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1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小青蛙</w:t>
            </w:r>
          </w:p>
        </w:tc>
        <w:tc>
          <w:tcPr>
            <w:tcW w:w="1559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儿歌识字</w:t>
            </w:r>
          </w:p>
        </w:tc>
        <w:tc>
          <w:tcPr>
            <w:tcW w:w="1276" w:type="dxa"/>
            <w:vMerge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操场上</w:t>
            </w:r>
          </w:p>
        </w:tc>
        <w:tc>
          <w:tcPr>
            <w:tcW w:w="1418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归类识字</w:t>
            </w:r>
          </w:p>
        </w:tc>
      </w:tr>
      <w:tr w:rsidR="0014466B" w:rsidRPr="006F6482" w:rsidTr="009A3125">
        <w:trPr>
          <w:jc w:val="center"/>
        </w:trPr>
        <w:tc>
          <w:tcPr>
            <w:tcW w:w="1278" w:type="dxa"/>
            <w:vMerge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1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猜字谜</w:t>
            </w:r>
          </w:p>
        </w:tc>
        <w:tc>
          <w:tcPr>
            <w:tcW w:w="1559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字谜识字</w:t>
            </w:r>
          </w:p>
        </w:tc>
        <w:tc>
          <w:tcPr>
            <w:tcW w:w="1276" w:type="dxa"/>
            <w:vMerge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人之初</w:t>
            </w:r>
          </w:p>
        </w:tc>
        <w:tc>
          <w:tcPr>
            <w:tcW w:w="1418" w:type="dxa"/>
          </w:tcPr>
          <w:p w:rsidR="0014466B" w:rsidRPr="006F6482" w:rsidRDefault="0014466B" w:rsidP="006C6D8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F6482">
              <w:rPr>
                <w:rFonts w:ascii="宋体" w:eastAsia="宋体" w:hAnsi="宋体" w:hint="eastAsia"/>
                <w:sz w:val="24"/>
                <w:szCs w:val="24"/>
              </w:rPr>
              <w:t>蒙学识字</w:t>
            </w:r>
          </w:p>
        </w:tc>
      </w:tr>
    </w:tbl>
    <w:p w:rsidR="0025165F" w:rsidRPr="006F6482" w:rsidRDefault="009A3125" w:rsidP="006C6D89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6F6482">
        <w:rPr>
          <w:rFonts w:ascii="宋体" w:eastAsia="宋体" w:hAnsi="宋体" w:hint="eastAsia"/>
          <w:sz w:val="24"/>
          <w:szCs w:val="24"/>
        </w:rPr>
        <w:lastRenderedPageBreak/>
        <w:t>表2统编教材一年级下册</w:t>
      </w:r>
    </w:p>
    <w:p w:rsidR="009A3125" w:rsidRPr="006F6482" w:rsidRDefault="009A3125" w:rsidP="006C6D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6482">
        <w:rPr>
          <w:rFonts w:ascii="宋体" w:eastAsia="宋体" w:hAnsi="宋体" w:hint="eastAsia"/>
          <w:sz w:val="24"/>
          <w:szCs w:val="24"/>
        </w:rPr>
        <w:t>通过集中识字，掌握蒙学识字、儿歌识字、象形识字、会意识字等识字方式，</w:t>
      </w:r>
      <w:r w:rsidR="00E4270C" w:rsidRPr="006F6482">
        <w:rPr>
          <w:rFonts w:ascii="宋体" w:eastAsia="宋体" w:hAnsi="宋体" w:hint="eastAsia"/>
          <w:sz w:val="24"/>
          <w:szCs w:val="24"/>
        </w:rPr>
        <w:t>以上识字方式均与汉字文化和中国传统文化相关，可以让学生感受中国语言文字的博大精深，从而培养学生的文化认同感和精神归属感。引导学生掌握不同识字方法，利于帮助学生建立汉字系统化，让汉字灵活生动。譬如象形识字，由一弯月亮形状，学生可以联想到“月”字，由乌龟侧面形状联想到“龟”字，从而在学习象形一类字，可以采用猜想、联想的方法，容易引发学生识字的</w:t>
      </w:r>
      <w:r w:rsidR="0088614E" w:rsidRPr="006F6482">
        <w:rPr>
          <w:rFonts w:ascii="宋体" w:eastAsia="宋体" w:hAnsi="宋体" w:hint="eastAsia"/>
          <w:sz w:val="24"/>
          <w:szCs w:val="24"/>
        </w:rPr>
        <w:t>兴趣。再如一年级下册《古对今》中，“朝</w:t>
      </w:r>
      <w:r w:rsidR="00793F95" w:rsidRPr="006F6482">
        <w:rPr>
          <w:rFonts w:ascii="宋体" w:eastAsia="宋体" w:hAnsi="宋体" w:hint="eastAsia"/>
          <w:sz w:val="24"/>
          <w:szCs w:val="24"/>
        </w:rPr>
        <w:t>、</w:t>
      </w:r>
      <w:r w:rsidR="0088614E" w:rsidRPr="006F6482">
        <w:rPr>
          <w:rFonts w:ascii="宋体" w:eastAsia="宋体" w:hAnsi="宋体" w:hint="eastAsia"/>
          <w:sz w:val="24"/>
          <w:szCs w:val="24"/>
        </w:rPr>
        <w:t>暮”是会意字，</w:t>
      </w:r>
      <w:r w:rsidR="00793F95" w:rsidRPr="006F6482">
        <w:rPr>
          <w:rFonts w:ascii="宋体" w:eastAsia="宋体" w:hAnsi="宋体" w:hint="eastAsia"/>
          <w:sz w:val="24"/>
          <w:szCs w:val="24"/>
        </w:rPr>
        <w:t>“晨”是形声字，</w:t>
      </w:r>
      <w:r w:rsidR="0088614E" w:rsidRPr="006F6482">
        <w:rPr>
          <w:rFonts w:ascii="宋体" w:eastAsia="宋体" w:hAnsi="宋体" w:hint="eastAsia"/>
          <w:sz w:val="24"/>
          <w:szCs w:val="24"/>
        </w:rPr>
        <w:t>与“日”这个部件有关，“日”在这里表义</w:t>
      </w:r>
      <w:r w:rsidR="00793F95" w:rsidRPr="006F6482">
        <w:rPr>
          <w:rFonts w:ascii="宋体" w:eastAsia="宋体" w:hAnsi="宋体" w:hint="eastAsia"/>
          <w:sz w:val="24"/>
          <w:szCs w:val="24"/>
        </w:rPr>
        <w:t>，《说文·辰部》：“䢅</w:t>
      </w:r>
      <w:r w:rsidR="001C216F">
        <w:rPr>
          <w:rStyle w:val="ab"/>
          <w:rFonts w:ascii="宋体" w:eastAsia="宋体" w:hAnsi="宋体"/>
          <w:sz w:val="24"/>
          <w:szCs w:val="24"/>
        </w:rPr>
        <w:footnoteReference w:id="1"/>
      </w:r>
      <w:r w:rsidR="00793F95" w:rsidRPr="006F6482">
        <w:rPr>
          <w:rFonts w:ascii="宋体" w:eastAsia="宋体" w:hAnsi="宋体" w:hint="eastAsia"/>
          <w:sz w:val="24"/>
          <w:szCs w:val="24"/>
        </w:rPr>
        <w:t>，早昧爽也。从</w:t>
      </w:r>
      <w:r w:rsidR="00793F95" w:rsidRPr="006F6482">
        <w:rPr>
          <w:rFonts w:ascii="SimSun-ExtB" w:eastAsia="SimSun-ExtB" w:hAnsi="SimSun-ExtB" w:cs="SimSun-ExtB" w:hint="eastAsia"/>
          <w:sz w:val="24"/>
          <w:szCs w:val="24"/>
        </w:rPr>
        <w:t>𦥑</w:t>
      </w:r>
      <w:r w:rsidR="00793F95" w:rsidRPr="006F6482">
        <w:rPr>
          <w:rFonts w:ascii="宋体" w:eastAsia="宋体" w:hAnsi="宋体" w:hint="eastAsia"/>
          <w:sz w:val="24"/>
          <w:szCs w:val="24"/>
        </w:rPr>
        <w:t>从辰。辰，时也，辰亦声。清晨的晨为䢅的假借字。”看似晦涩难懂，但在教学时以太阳一天中所在位置展开结合甲骨文字形，学生便清晰地掌握三个字的含义</w:t>
      </w:r>
      <w:r w:rsidR="00B44E3E" w:rsidRPr="006F6482">
        <w:rPr>
          <w:rFonts w:ascii="宋体" w:eastAsia="宋体" w:hAnsi="宋体" w:hint="eastAsia"/>
          <w:sz w:val="24"/>
          <w:szCs w:val="24"/>
        </w:rPr>
        <w:t>，甲骨文“暮”字表示太阳从草丛中落下去，便是傍晚之义；甲骨文“朝”表示太阳还在草丛之中，便是太阳还未升起之义。通过一系列相关汉字创建班级汉字链活动，无形之中将生活中常见的字与汉字文化传承相结合。</w:t>
      </w:r>
    </w:p>
    <w:p w:rsidR="00A37354" w:rsidRPr="006C6D89" w:rsidRDefault="006C6D89" w:rsidP="006C6D89">
      <w:pPr>
        <w:spacing w:line="360" w:lineRule="auto"/>
        <w:jc w:val="left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二．</w:t>
      </w:r>
      <w:r w:rsidR="0025165F" w:rsidRPr="006C6D89">
        <w:rPr>
          <w:rFonts w:ascii="宋体" w:eastAsia="宋体" w:hAnsi="宋体" w:hint="eastAsia"/>
          <w:b/>
          <w:sz w:val="28"/>
          <w:szCs w:val="24"/>
        </w:rPr>
        <w:t>阅读教学中随文识字策略</w:t>
      </w:r>
    </w:p>
    <w:p w:rsidR="00A37354" w:rsidRPr="006F6482" w:rsidRDefault="00A37354" w:rsidP="006C6D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6482">
        <w:rPr>
          <w:rFonts w:ascii="宋体" w:eastAsia="宋体" w:hAnsi="宋体" w:hint="eastAsia"/>
          <w:sz w:val="24"/>
          <w:szCs w:val="24"/>
        </w:rPr>
        <w:t>很多汉字在具体教学中，并不是采用一种方法，有些字笔画复杂，尤其在长文阅读教学当中，某些汉字难以用字理识字、字族识字的方法，</w:t>
      </w:r>
      <w:r w:rsidR="00201E64" w:rsidRPr="006F6482">
        <w:rPr>
          <w:rFonts w:ascii="宋体" w:eastAsia="宋体" w:hAnsi="宋体" w:hint="eastAsia"/>
          <w:sz w:val="24"/>
          <w:szCs w:val="24"/>
        </w:rPr>
        <w:t>尤其是表示心理情感的词语，</w:t>
      </w:r>
      <w:r w:rsidRPr="006F6482">
        <w:rPr>
          <w:rFonts w:ascii="宋体" w:eastAsia="宋体" w:hAnsi="宋体" w:hint="eastAsia"/>
          <w:sz w:val="24"/>
          <w:szCs w:val="24"/>
        </w:rPr>
        <w:t>这时上下文联系，把握对课文的准确理解加之示例句子，更有利于学生对字词意思的理解。</w:t>
      </w:r>
    </w:p>
    <w:p w:rsidR="00A37354" w:rsidRPr="006F6482" w:rsidRDefault="00A37354" w:rsidP="006C6D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6482">
        <w:rPr>
          <w:rFonts w:ascii="宋体" w:eastAsia="宋体" w:hAnsi="宋体" w:hint="eastAsia"/>
          <w:sz w:val="24"/>
          <w:szCs w:val="24"/>
        </w:rPr>
        <w:t>比如一年级下册《树和喜鹊》第一段：从前，这里只有一颗树，树上只有一个鸟窝，鸟窝里只有一只喜鹊。树很孤单，喜鹊也很孤单</w:t>
      </w:r>
      <w:r w:rsidR="002F57D9" w:rsidRPr="006F6482">
        <w:rPr>
          <w:rFonts w:ascii="宋体" w:eastAsia="宋体" w:hAnsi="宋体" w:hint="eastAsia"/>
          <w:sz w:val="24"/>
          <w:szCs w:val="24"/>
        </w:rPr>
        <w:t>。如何让7岁的儿童理解“孤单”的含义？方法很多，可以把“孤单”拆开分别释义；可以甲骨字形识字；可以结合生活举实际例子等等。但是单独释义脱离了阅读文本</w:t>
      </w:r>
      <w:r w:rsidR="00805E04" w:rsidRPr="006F6482">
        <w:rPr>
          <w:rFonts w:ascii="宋体" w:eastAsia="宋体" w:hAnsi="宋体" w:hint="eastAsia"/>
          <w:sz w:val="24"/>
          <w:szCs w:val="24"/>
        </w:rPr>
        <w:t>，学生便体会不到文本“孤单”具体所指；后两种方法也是如此。曹爱卫老师在书中强调阅读教学提倡随文识字的方法，我很是赞同。由长文阅读的文章特点所决定，阅读的篇目有故事情节、有人物塑造、有环境氛围等。在这里，《树和喜鹊》开头的三个“只有”“一棵树”“一个鸟窝”“一只喜鹊”，教师可以引导学生想象画面，辅</w:t>
      </w:r>
      <w:r w:rsidR="00805E04" w:rsidRPr="006F6482">
        <w:rPr>
          <w:rFonts w:ascii="宋体" w:eastAsia="宋体" w:hAnsi="宋体" w:hint="eastAsia"/>
          <w:sz w:val="24"/>
          <w:szCs w:val="24"/>
        </w:rPr>
        <w:lastRenderedPageBreak/>
        <w:t>助板书画图的方式，表现形单影只，让学生体会“孤单”是一种什么感觉，而后再</w:t>
      </w:r>
      <w:r w:rsidR="00201E64" w:rsidRPr="006F6482">
        <w:rPr>
          <w:rFonts w:ascii="宋体" w:eastAsia="宋体" w:hAnsi="宋体" w:hint="eastAsia"/>
          <w:sz w:val="24"/>
          <w:szCs w:val="24"/>
        </w:rPr>
        <w:t>联系生活，让学生举例“你什么情况下感觉到孤单”，由课内延伸到课外，引导学生把这种情感与自己的生活体验相联系。</w:t>
      </w:r>
      <w:r w:rsidR="00503340" w:rsidRPr="006F6482">
        <w:rPr>
          <w:rFonts w:ascii="宋体" w:eastAsia="宋体" w:hAnsi="宋体" w:hint="eastAsia"/>
          <w:sz w:val="24"/>
          <w:szCs w:val="24"/>
        </w:rPr>
        <w:t xml:space="preserve"> </w:t>
      </w:r>
    </w:p>
    <w:p w:rsidR="008D55D7" w:rsidRPr="006F6482" w:rsidRDefault="008D55D7" w:rsidP="006C6D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6482">
        <w:rPr>
          <w:rFonts w:ascii="宋体" w:eastAsia="宋体" w:hAnsi="宋体" w:hint="eastAsia"/>
          <w:sz w:val="24"/>
          <w:szCs w:val="24"/>
        </w:rPr>
        <w:t>要在丰富的文本世界中引导学生</w:t>
      </w:r>
      <w:r w:rsidR="00791FD0" w:rsidRPr="006F6482">
        <w:rPr>
          <w:rFonts w:ascii="宋体" w:eastAsia="宋体" w:hAnsi="宋体" w:hint="eastAsia"/>
          <w:sz w:val="24"/>
          <w:szCs w:val="24"/>
        </w:rPr>
        <w:t>积极自主学习生字，并且在此基础上读懂课文内容，进行情感体验。</w:t>
      </w:r>
    </w:p>
    <w:p w:rsidR="0025165F" w:rsidRPr="006C6D89" w:rsidRDefault="006C6D89" w:rsidP="006C6D89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三．</w:t>
      </w:r>
      <w:r w:rsidR="0025165F" w:rsidRPr="006C6D89">
        <w:rPr>
          <w:rFonts w:ascii="宋体" w:eastAsia="宋体" w:hAnsi="宋体" w:hint="eastAsia"/>
          <w:b/>
          <w:sz w:val="28"/>
          <w:szCs w:val="24"/>
        </w:rPr>
        <w:t>语文园地中板块识字策略</w:t>
      </w:r>
    </w:p>
    <w:p w:rsidR="00791FD0" w:rsidRPr="006F6482" w:rsidRDefault="00501461" w:rsidP="006C6D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6482">
        <w:rPr>
          <w:rFonts w:ascii="宋体" w:eastAsia="宋体" w:hAnsi="宋体" w:hint="eastAsia"/>
          <w:sz w:val="24"/>
          <w:szCs w:val="24"/>
        </w:rPr>
        <w:t>识字在低年级语文教学中放在第一位，是阅读和写作的基础。在《现代汉语词典》中“识字”被解释为：认识文字。但在个人发展和社会需求的双重要求下，识字不再停留在认字，而是提高到了解汉字形音义之间联系，了解汉字在中国文化中的内涵，在不同文本中所表达的含义，掌握一定的识字方法，并且在生活中准确使用语言文字。</w:t>
      </w:r>
    </w:p>
    <w:p w:rsidR="002A7CD7" w:rsidRPr="006F6482" w:rsidRDefault="002A7CD7" w:rsidP="006C6D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6482">
        <w:rPr>
          <w:rFonts w:ascii="宋体" w:eastAsia="宋体" w:hAnsi="宋体" w:hint="eastAsia"/>
          <w:sz w:val="24"/>
          <w:szCs w:val="24"/>
        </w:rPr>
        <w:t>语文园地的板块识字大致包括：识字加油站、字词句运用、展示台、书写提示、日积月累、和大人一起读、快乐读书吧几部分构成。“识字加油站”的编写主要是运用规律性方法识字，比如一年级下册语文园地五“饱、泡、跑、抱、炮、袍”六个字与“包”有关，</w:t>
      </w:r>
      <w:r w:rsidR="0071491A" w:rsidRPr="006F6482">
        <w:rPr>
          <w:rFonts w:ascii="宋体" w:eastAsia="宋体" w:hAnsi="宋体" w:hint="eastAsia"/>
          <w:sz w:val="24"/>
          <w:szCs w:val="24"/>
        </w:rPr>
        <w:t>是“包”字的字族文识字，同时六个字都是形声字，都可以通过偏旁加一加、换一换的方式进行教学。又如一年级下册语文园地一识字加油站出示的生字均与天气有关，类似的生字在其他语文园地也有出现。“日积月累”“和大人一起读”“快乐读书吧”的编写主要是通过课文阅读识字，编写内容均是古诗、歇后语、名言警句、儿歌、童谣、故事等，后两者的编写也利于亲子阅读、亲子关系的培养。</w:t>
      </w:r>
    </w:p>
    <w:p w:rsidR="00650C2E" w:rsidRPr="006F6482" w:rsidRDefault="00650C2E" w:rsidP="006C6D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6482">
        <w:rPr>
          <w:rFonts w:ascii="宋体" w:eastAsia="宋体" w:hAnsi="宋体" w:hint="eastAsia"/>
          <w:sz w:val="24"/>
          <w:szCs w:val="24"/>
        </w:rPr>
        <w:t>对比以往教材，统编版教材非常强调按主题识字</w:t>
      </w:r>
      <w:r w:rsidR="009224FE" w:rsidRPr="006F6482">
        <w:rPr>
          <w:rFonts w:ascii="宋体" w:eastAsia="宋体" w:hAnsi="宋体" w:hint="eastAsia"/>
          <w:sz w:val="24"/>
          <w:szCs w:val="24"/>
        </w:rPr>
        <w:t>，这样的编写方式摒弃了教师利于语文园地做练习集考察学生</w:t>
      </w:r>
      <w:r w:rsidR="00881651" w:rsidRPr="006F6482">
        <w:rPr>
          <w:rFonts w:ascii="宋体" w:eastAsia="宋体" w:hAnsi="宋体" w:hint="eastAsia"/>
          <w:sz w:val="24"/>
          <w:szCs w:val="24"/>
        </w:rPr>
        <w:t>的传统模式，利用有趣的活动设计识记生字并从中加强学生的学习实践能力，板块识字利于用专一的识字方式，提升学生对该识字方法的掌握和运用。纵观一年级两册语文园地内容，可以发现编写强调从生活中来，到生活中去，强调培养学生生活中识字的识字意识。</w:t>
      </w:r>
      <w:r w:rsidR="0008523F" w:rsidRPr="006F6482">
        <w:rPr>
          <w:rFonts w:ascii="宋体" w:eastAsia="宋体" w:hAnsi="宋体" w:hint="eastAsia"/>
          <w:sz w:val="24"/>
          <w:szCs w:val="24"/>
        </w:rPr>
        <w:t>一年级上册学生接触较难的拼音，部编教材将拼音分为两个单元，并且在拼音单元后安排的两个语文园地均与拼音识字有关，由“识字加油站”“用拼音”“字词句运用”“和大人一起读”几个部分构成，拼读内容丰富灵活，利于学生借助拼音识字。</w:t>
      </w:r>
    </w:p>
    <w:p w:rsidR="0008523F" w:rsidRPr="006F6482" w:rsidRDefault="0008523F" w:rsidP="006C6D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6482">
        <w:rPr>
          <w:rFonts w:ascii="宋体" w:eastAsia="宋体" w:hAnsi="宋体" w:hint="eastAsia"/>
          <w:sz w:val="24"/>
          <w:szCs w:val="24"/>
        </w:rPr>
        <w:t>语文园地的识字内容可通过设计有趣的教学游戏、创设情景、制作词卡、</w:t>
      </w:r>
      <w:r w:rsidR="007806ED" w:rsidRPr="006F6482">
        <w:rPr>
          <w:rFonts w:ascii="宋体" w:eastAsia="宋体" w:hAnsi="宋体" w:hint="eastAsia"/>
          <w:sz w:val="24"/>
          <w:szCs w:val="24"/>
        </w:rPr>
        <w:t>微</w:t>
      </w:r>
      <w:r w:rsidR="007806ED" w:rsidRPr="006F6482">
        <w:rPr>
          <w:rFonts w:ascii="宋体" w:eastAsia="宋体" w:hAnsi="宋体" w:hint="eastAsia"/>
          <w:sz w:val="24"/>
          <w:szCs w:val="24"/>
        </w:rPr>
        <w:lastRenderedPageBreak/>
        <w:t>动画等方式进行。</w:t>
      </w:r>
      <w:r w:rsidRPr="006F6482">
        <w:rPr>
          <w:rFonts w:ascii="宋体" w:eastAsia="宋体" w:hAnsi="宋体" w:hint="eastAsia"/>
          <w:sz w:val="24"/>
          <w:szCs w:val="24"/>
        </w:rPr>
        <w:t>比如一年级下册语文园地四“识字加油站”的词语均与身体部位有关，教师可通过“我来说，你来指”游戏环节，让学生知道身体各个部位。又如</w:t>
      </w:r>
      <w:r w:rsidR="007806ED" w:rsidRPr="006F6482">
        <w:rPr>
          <w:rFonts w:ascii="宋体" w:eastAsia="宋体" w:hAnsi="宋体" w:hint="eastAsia"/>
          <w:sz w:val="24"/>
          <w:szCs w:val="24"/>
        </w:rPr>
        <w:t>，一年级下册语文园地六的词语均与夏天有关，教师可通过创设夏天的情景，让学生联系夏天时的情景“我的夏日活动”，将学生提到的词板书在黑板上。再如，二年级上册语文园地四“识字加油站”，出示了一张火车票，引导学生认识车票上的字，这时教师便可创设“我要去旅行”的活动，让学生联系生活并搜集车票，将车票带到课堂上进行观察，引导其发现车票信息。</w:t>
      </w:r>
    </w:p>
    <w:p w:rsidR="006F6482" w:rsidRPr="006F6482" w:rsidRDefault="006F6482" w:rsidP="006C6D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6482">
        <w:rPr>
          <w:rFonts w:ascii="宋体" w:eastAsia="宋体" w:hAnsi="宋体" w:hint="eastAsia"/>
          <w:sz w:val="24"/>
          <w:szCs w:val="24"/>
        </w:rPr>
        <w:t>著名教育家陶行知先生曾说“生活即教学”，在课堂上学习到的知识最终回归于生活，运用于生活，而书本知识也是一个个学者的生活所得。</w:t>
      </w:r>
    </w:p>
    <w:p w:rsidR="006F6482" w:rsidRPr="006F6482" w:rsidRDefault="006F6482" w:rsidP="006C6D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1C216F" w:rsidRDefault="001C216F" w:rsidP="001C216F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1C216F">
        <w:rPr>
          <w:rFonts w:ascii="宋体" w:eastAsia="宋体" w:hAnsi="宋体" w:hint="eastAsia"/>
          <w:b/>
          <w:sz w:val="24"/>
          <w:szCs w:val="24"/>
        </w:rPr>
        <w:t>参考文献：</w:t>
      </w:r>
    </w:p>
    <w:p w:rsidR="00D44F88" w:rsidRPr="00D44F88" w:rsidRDefault="00D44F88" w:rsidP="00D44F88">
      <w:pPr>
        <w:pStyle w:val="a7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[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]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曹爱华，低年级语文这样教【M】.上海教育出版社，2018</w:t>
      </w:r>
    </w:p>
    <w:p w:rsidR="001C216F" w:rsidRPr="001C216F" w:rsidRDefault="001C216F" w:rsidP="001C216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C216F">
        <w:rPr>
          <w:rFonts w:ascii="宋体" w:eastAsia="宋体" w:hAnsi="宋体"/>
          <w:sz w:val="24"/>
          <w:szCs w:val="24"/>
        </w:rPr>
        <w:t>[</w:t>
      </w:r>
      <w:r w:rsidR="00D44F88">
        <w:rPr>
          <w:rFonts w:ascii="宋体" w:eastAsia="宋体" w:hAnsi="宋体"/>
          <w:sz w:val="24"/>
          <w:szCs w:val="24"/>
        </w:rPr>
        <w:t>2</w:t>
      </w:r>
      <w:r w:rsidRPr="001C216F">
        <w:rPr>
          <w:rFonts w:ascii="宋体" w:eastAsia="宋体" w:hAnsi="宋体"/>
          <w:sz w:val="24"/>
          <w:szCs w:val="24"/>
        </w:rPr>
        <w:t>]李宛睿. 以字源识字法为主导的小学低年级识字教学探究[D].贵州师范大学</w:t>
      </w:r>
      <w:r>
        <w:rPr>
          <w:rFonts w:ascii="宋体" w:eastAsia="宋体" w:hAnsi="宋体"/>
          <w:sz w:val="24"/>
          <w:szCs w:val="24"/>
        </w:rPr>
        <w:t>,2015.</w:t>
      </w:r>
    </w:p>
    <w:p w:rsidR="001C216F" w:rsidRPr="001C216F" w:rsidRDefault="001C216F" w:rsidP="001C216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C216F">
        <w:rPr>
          <w:rFonts w:ascii="宋体" w:eastAsia="宋体" w:hAnsi="宋体"/>
          <w:sz w:val="24"/>
          <w:szCs w:val="24"/>
        </w:rPr>
        <w:t>[</w:t>
      </w:r>
      <w:r w:rsidR="00D44F88">
        <w:rPr>
          <w:rFonts w:ascii="宋体" w:eastAsia="宋体" w:hAnsi="宋体"/>
          <w:sz w:val="24"/>
          <w:szCs w:val="24"/>
        </w:rPr>
        <w:t>3</w:t>
      </w:r>
      <w:r w:rsidRPr="001C216F">
        <w:rPr>
          <w:rFonts w:ascii="宋体" w:eastAsia="宋体" w:hAnsi="宋体"/>
          <w:sz w:val="24"/>
          <w:szCs w:val="24"/>
        </w:rPr>
        <w:t>]程晓红. 以字理为基础的小学低年级识字教学研究[D].首都师范大学</w:t>
      </w:r>
      <w:r>
        <w:rPr>
          <w:rFonts w:ascii="宋体" w:eastAsia="宋体" w:hAnsi="宋体"/>
          <w:sz w:val="24"/>
          <w:szCs w:val="24"/>
        </w:rPr>
        <w:t>,2014.</w:t>
      </w:r>
    </w:p>
    <w:p w:rsidR="001C216F" w:rsidRPr="001C216F" w:rsidRDefault="001C216F" w:rsidP="001C216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C216F">
        <w:rPr>
          <w:rFonts w:ascii="宋体" w:eastAsia="宋体" w:hAnsi="宋体"/>
          <w:sz w:val="24"/>
          <w:szCs w:val="24"/>
        </w:rPr>
        <w:t>[</w:t>
      </w:r>
      <w:r w:rsidR="00D44F88">
        <w:rPr>
          <w:rFonts w:ascii="宋体" w:eastAsia="宋体" w:hAnsi="宋体"/>
          <w:sz w:val="24"/>
          <w:szCs w:val="24"/>
        </w:rPr>
        <w:t>4</w:t>
      </w:r>
      <w:r w:rsidRPr="001C216F">
        <w:rPr>
          <w:rFonts w:ascii="宋体" w:eastAsia="宋体" w:hAnsi="宋体"/>
          <w:sz w:val="24"/>
          <w:szCs w:val="24"/>
        </w:rPr>
        <w:t>]刘海龙.浅议新课程理念下小学语文低年级识字教学[J].才智</w:t>
      </w:r>
      <w:r>
        <w:rPr>
          <w:rFonts w:ascii="宋体" w:eastAsia="宋体" w:hAnsi="宋体"/>
          <w:sz w:val="24"/>
          <w:szCs w:val="24"/>
        </w:rPr>
        <w:t>,2013(01):60.</w:t>
      </w:r>
    </w:p>
    <w:p w:rsidR="006F6482" w:rsidRDefault="001C216F" w:rsidP="001C216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C216F">
        <w:rPr>
          <w:rFonts w:ascii="宋体" w:eastAsia="宋体" w:hAnsi="宋体"/>
          <w:sz w:val="24"/>
          <w:szCs w:val="24"/>
        </w:rPr>
        <w:t>[</w:t>
      </w:r>
      <w:r w:rsidR="00D44F88">
        <w:rPr>
          <w:rFonts w:ascii="宋体" w:eastAsia="宋体" w:hAnsi="宋体"/>
          <w:sz w:val="24"/>
          <w:szCs w:val="24"/>
        </w:rPr>
        <w:t>5</w:t>
      </w:r>
      <w:r w:rsidRPr="001C216F">
        <w:rPr>
          <w:rFonts w:ascii="宋体" w:eastAsia="宋体" w:hAnsi="宋体"/>
          <w:sz w:val="24"/>
          <w:szCs w:val="24"/>
        </w:rPr>
        <w:t>]张巍. 小学低年级识字教学的问题与对策[D].东北师范大学,2007.</w:t>
      </w:r>
    </w:p>
    <w:p w:rsidR="001C216F" w:rsidRDefault="001C216F" w:rsidP="00D44F88">
      <w:pPr>
        <w:pStyle w:val="a7"/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44F88">
        <w:rPr>
          <w:rFonts w:ascii="宋体" w:eastAsia="宋体" w:hAnsi="宋体"/>
          <w:sz w:val="24"/>
          <w:szCs w:val="24"/>
        </w:rPr>
        <w:t>[</w:t>
      </w:r>
      <w:r w:rsidR="00D44F88">
        <w:rPr>
          <w:rFonts w:ascii="宋体" w:eastAsia="宋体" w:hAnsi="宋体"/>
          <w:sz w:val="24"/>
          <w:szCs w:val="24"/>
        </w:rPr>
        <w:t>6</w:t>
      </w:r>
      <w:r w:rsidRPr="00D44F88">
        <w:rPr>
          <w:rFonts w:ascii="宋体" w:eastAsia="宋体" w:hAnsi="宋体"/>
          <w:sz w:val="24"/>
          <w:szCs w:val="24"/>
        </w:rPr>
        <w:t>]</w:t>
      </w:r>
      <w:r w:rsidRPr="00D44F88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傅东华</w:t>
      </w:r>
      <w:r w:rsidRPr="00D44F88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，字源【M】</w:t>
      </w:r>
      <w:r w:rsidRPr="00D44F88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.</w:t>
      </w:r>
      <w:r w:rsidRPr="00D44F88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艺文印书馆</w:t>
      </w:r>
      <w:r w:rsidRPr="00D44F88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,1985</w:t>
      </w:r>
    </w:p>
    <w:p w:rsidR="001C216F" w:rsidRPr="001C216F" w:rsidRDefault="001C216F" w:rsidP="001C216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1C216F" w:rsidRPr="006F6482" w:rsidRDefault="001C216F" w:rsidP="001C216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7B1FB7" w:rsidRPr="006F6482" w:rsidRDefault="007806ED" w:rsidP="006C6D89">
      <w:pPr>
        <w:spacing w:line="360" w:lineRule="auto"/>
        <w:rPr>
          <w:rFonts w:ascii="宋体" w:eastAsia="宋体" w:hAnsi="宋体"/>
          <w:sz w:val="24"/>
          <w:szCs w:val="24"/>
        </w:rPr>
      </w:pPr>
      <w:r w:rsidRPr="006F6482">
        <w:rPr>
          <w:rFonts w:ascii="宋体" w:eastAsia="宋体" w:hAnsi="宋体" w:hint="eastAsia"/>
          <w:sz w:val="24"/>
          <w:szCs w:val="24"/>
        </w:rPr>
        <w:t xml:space="preserve">    </w:t>
      </w:r>
    </w:p>
    <w:p w:rsidR="0025165F" w:rsidRPr="006F6482" w:rsidRDefault="0025165F" w:rsidP="006C6D89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25165F" w:rsidRPr="006F6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775" w:rsidRDefault="005D3775" w:rsidP="001C216F">
      <w:r>
        <w:separator/>
      </w:r>
    </w:p>
  </w:endnote>
  <w:endnote w:type="continuationSeparator" w:id="0">
    <w:p w:rsidR="005D3775" w:rsidRDefault="005D3775" w:rsidP="001C2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775" w:rsidRDefault="005D3775" w:rsidP="001C216F">
      <w:r>
        <w:separator/>
      </w:r>
    </w:p>
  </w:footnote>
  <w:footnote w:type="continuationSeparator" w:id="0">
    <w:p w:rsidR="005D3775" w:rsidRDefault="005D3775" w:rsidP="001C216F">
      <w:r>
        <w:continuationSeparator/>
      </w:r>
    </w:p>
  </w:footnote>
  <w:footnote w:id="1">
    <w:p w:rsidR="001C216F" w:rsidRPr="001C216F" w:rsidRDefault="001C216F" w:rsidP="001C216F">
      <w:pPr>
        <w:pStyle w:val="a7"/>
        <w:ind w:left="360"/>
        <w:rPr>
          <w:rFonts w:ascii="黑体" w:eastAsia="黑体" w:hAnsi="黑体" w:hint="eastAsia"/>
          <w:sz w:val="21"/>
          <w:szCs w:val="21"/>
        </w:rPr>
      </w:pPr>
      <w:r>
        <w:rPr>
          <w:rStyle w:val="ab"/>
        </w:rPr>
        <w:footnoteRef/>
      </w:r>
      <w:r>
        <w:t xml:space="preserve"> </w:t>
      </w:r>
      <w:r w:rsidRPr="001C216F">
        <w:rPr>
          <w:rFonts w:ascii="黑体" w:eastAsia="黑体" w:hAnsi="黑体" w:cs="Arial"/>
          <w:color w:val="000000"/>
          <w:sz w:val="21"/>
          <w:szCs w:val="21"/>
          <w:shd w:val="clear" w:color="auto" w:fill="FFFFFF"/>
        </w:rPr>
        <w:t>傅东华</w:t>
      </w:r>
      <w:r w:rsidRPr="001C216F">
        <w:rPr>
          <w:rFonts w:ascii="黑体" w:eastAsia="黑体" w:hAnsi="黑体" w:cs="Arial" w:hint="eastAsia"/>
          <w:color w:val="000000"/>
          <w:sz w:val="21"/>
          <w:szCs w:val="21"/>
          <w:shd w:val="clear" w:color="auto" w:fill="FFFFFF"/>
        </w:rPr>
        <w:t>，字源【M】</w:t>
      </w:r>
      <w:r w:rsidRPr="001C216F">
        <w:rPr>
          <w:rFonts w:ascii="黑体" w:eastAsia="黑体" w:hAnsi="黑体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黑体" w:eastAsia="黑体" w:hAnsi="黑体" w:cs="Arial"/>
          <w:color w:val="000000"/>
          <w:sz w:val="21"/>
          <w:szCs w:val="21"/>
          <w:shd w:val="clear" w:color="auto" w:fill="FFFFFF"/>
        </w:rPr>
        <w:t>207</w:t>
      </w:r>
      <w:r>
        <w:rPr>
          <w:rFonts w:ascii="黑体" w:eastAsia="黑体" w:hAnsi="黑体" w:cs="Arial" w:hint="eastAsia"/>
          <w:color w:val="000000"/>
          <w:sz w:val="21"/>
          <w:szCs w:val="21"/>
          <w:shd w:val="clear" w:color="auto" w:fill="FFFFFF"/>
        </w:rPr>
        <w:t>页.</w:t>
      </w:r>
      <w:r w:rsidRPr="001C216F">
        <w:rPr>
          <w:rFonts w:ascii="黑体" w:eastAsia="黑体" w:hAnsi="黑体" w:cs="Arial"/>
          <w:color w:val="333333"/>
          <w:sz w:val="21"/>
          <w:szCs w:val="21"/>
          <w:shd w:val="clear" w:color="auto" w:fill="FFFFFF"/>
        </w:rPr>
        <w:t>艺文印书馆</w:t>
      </w:r>
      <w:r>
        <w:rPr>
          <w:rFonts w:ascii="黑体" w:eastAsia="黑体" w:hAnsi="黑体" w:cs="Arial" w:hint="eastAsia"/>
          <w:color w:val="333333"/>
          <w:sz w:val="21"/>
          <w:szCs w:val="21"/>
          <w:shd w:val="clear" w:color="auto" w:fill="FFFFFF"/>
        </w:rPr>
        <w:t>,1985</w:t>
      </w:r>
    </w:p>
    <w:p w:rsidR="001C216F" w:rsidRPr="001C216F" w:rsidRDefault="001C216F">
      <w:pPr>
        <w:pStyle w:val="a9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32D83"/>
    <w:multiLevelType w:val="hybridMultilevel"/>
    <w:tmpl w:val="F4DC44BA"/>
    <w:lvl w:ilvl="0" w:tplc="024A2CAA">
      <w:start w:val="1"/>
      <w:numFmt w:val="japaneseCounting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3F387B20"/>
    <w:multiLevelType w:val="hybridMultilevel"/>
    <w:tmpl w:val="B95EE3B8"/>
    <w:lvl w:ilvl="0" w:tplc="FA728638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1077F"/>
    <w:multiLevelType w:val="hybridMultilevel"/>
    <w:tmpl w:val="3B4425E0"/>
    <w:lvl w:ilvl="0" w:tplc="933A89C2">
      <w:start w:val="1"/>
      <w:numFmt w:val="japaneseCounting"/>
      <w:lvlText w:val="%1．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54532B4F"/>
    <w:multiLevelType w:val="hybridMultilevel"/>
    <w:tmpl w:val="E83E40D6"/>
    <w:lvl w:ilvl="0" w:tplc="8B187F8E">
      <w:start w:val="2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521DF9"/>
    <w:multiLevelType w:val="hybridMultilevel"/>
    <w:tmpl w:val="DF6CC72C"/>
    <w:lvl w:ilvl="0" w:tplc="54EE972C">
      <w:start w:val="2"/>
      <w:numFmt w:val="japaneseCounting"/>
      <w:lvlText w:val="%1．"/>
      <w:lvlJc w:val="left"/>
      <w:pPr>
        <w:ind w:left="1145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0322D6"/>
    <w:multiLevelType w:val="hybridMultilevel"/>
    <w:tmpl w:val="517465BE"/>
    <w:lvl w:ilvl="0" w:tplc="F77E4EB2">
      <w:start w:val="1"/>
      <w:numFmt w:val="ideographEnclosedCircle"/>
      <w:lvlText w:val="%1"/>
      <w:lvlJc w:val="left"/>
      <w:pPr>
        <w:ind w:left="360" w:hanging="360"/>
      </w:pPr>
      <w:rPr>
        <w:rFonts w:asciiTheme="minorHAnsi" w:eastAsiaTheme="minorEastAsia" w:hAnsiTheme="minorHAns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CD4A49"/>
    <w:multiLevelType w:val="hybridMultilevel"/>
    <w:tmpl w:val="ECA407FC"/>
    <w:lvl w:ilvl="0" w:tplc="83362ADE">
      <w:start w:val="1"/>
      <w:numFmt w:val="decimalEnclosedCircle"/>
      <w:lvlText w:val="%1"/>
      <w:lvlJc w:val="left"/>
      <w:pPr>
        <w:ind w:left="720" w:hanging="360"/>
      </w:pPr>
      <w:rPr>
        <w:rFonts w:asciiTheme="minorHAnsi" w:eastAsiaTheme="minorEastAsia" w:hAnsiTheme="minorHAns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59A5D9E"/>
    <w:multiLevelType w:val="hybridMultilevel"/>
    <w:tmpl w:val="A0960944"/>
    <w:lvl w:ilvl="0" w:tplc="D18C85CE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E5"/>
    <w:rsid w:val="0008523F"/>
    <w:rsid w:val="00114233"/>
    <w:rsid w:val="0014466B"/>
    <w:rsid w:val="001C216F"/>
    <w:rsid w:val="00201E64"/>
    <w:rsid w:val="0025165F"/>
    <w:rsid w:val="002A7CD7"/>
    <w:rsid w:val="002F57D9"/>
    <w:rsid w:val="003A3BC1"/>
    <w:rsid w:val="004D01E5"/>
    <w:rsid w:val="00501461"/>
    <w:rsid w:val="00503340"/>
    <w:rsid w:val="005D3775"/>
    <w:rsid w:val="00650C2E"/>
    <w:rsid w:val="00692A6E"/>
    <w:rsid w:val="006A0DA5"/>
    <w:rsid w:val="006C6D89"/>
    <w:rsid w:val="006F6482"/>
    <w:rsid w:val="0071491A"/>
    <w:rsid w:val="007744E7"/>
    <w:rsid w:val="007806ED"/>
    <w:rsid w:val="00791FD0"/>
    <w:rsid w:val="00792F7F"/>
    <w:rsid w:val="00793F95"/>
    <w:rsid w:val="007B1FB7"/>
    <w:rsid w:val="00805E04"/>
    <w:rsid w:val="00881651"/>
    <w:rsid w:val="0088614E"/>
    <w:rsid w:val="008D55D7"/>
    <w:rsid w:val="009224FE"/>
    <w:rsid w:val="009A3125"/>
    <w:rsid w:val="00A37354"/>
    <w:rsid w:val="00B44E3E"/>
    <w:rsid w:val="00B6799A"/>
    <w:rsid w:val="00BC0970"/>
    <w:rsid w:val="00D44F88"/>
    <w:rsid w:val="00E4270C"/>
    <w:rsid w:val="00FF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FE19"/>
  <w15:chartTrackingRefBased/>
  <w15:docId w15:val="{08772F9A-B842-4F17-B089-AC4770EF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65F"/>
    <w:pPr>
      <w:ind w:firstLineChars="200" w:firstLine="420"/>
    </w:pPr>
  </w:style>
  <w:style w:type="table" w:styleId="a4">
    <w:name w:val="Table Grid"/>
    <w:basedOn w:val="a1"/>
    <w:uiPriority w:val="39"/>
    <w:rsid w:val="0025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C2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216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2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216F"/>
    <w:rPr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1C216F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1C216F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1C21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9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81297-EC26-4E0B-BB47-F04C6F4AE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453</Words>
  <Characters>2587</Characters>
  <Application>Microsoft Office Word</Application>
  <DocSecurity>0</DocSecurity>
  <Lines>21</Lines>
  <Paragraphs>6</Paragraphs>
  <ScaleCrop>false</ScaleCrop>
  <Company>Microsoft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2020-02-05T04:09:00Z</dcterms:created>
  <dcterms:modified xsi:type="dcterms:W3CDTF">2020-02-22T07:52:00Z</dcterms:modified>
</cp:coreProperties>
</file>