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1例重型多形性红斑患儿的护理</w:t>
      </w:r>
    </w:p>
    <w:p>
      <w:pPr>
        <w:spacing w:line="360" w:lineRule="auto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陈洁  杨华 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成都大学附属医院儿科</w:t>
      </w:r>
    </w:p>
    <w:p>
      <w:pPr>
        <w:snapToGrid/>
        <w:spacing w:beforeAutospacing="0" w:afterAutospacing="0" w:line="400" w:lineRule="exact"/>
        <w:ind w:left="0" w:leftChars="0" w:right="0" w:rightChars="0" w:firstLine="43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Times New Roman" w:eastAsia="楷体"/>
          <w:b/>
          <w:bCs/>
          <w:i w:val="0"/>
          <w:sz w:val="21"/>
          <w:szCs w:val="36"/>
          <w:lang w:val="en-US" w:eastAsia="zh-CN"/>
        </w:rPr>
        <w:t>关键词</w:t>
      </w:r>
      <w:r>
        <w:rPr>
          <w:rFonts w:hint="eastAsia" w:ascii="Times New Roman" w:eastAsia="楷体"/>
          <w:b/>
          <w:bCs w:val="0"/>
          <w:i w:val="0"/>
          <w:sz w:val="21"/>
          <w:szCs w:val="36"/>
          <w:lang w:val="en-US" w:eastAsia="zh-CN"/>
        </w:rPr>
        <w:t>：</w:t>
      </w:r>
      <w:r>
        <w:rPr>
          <w:rFonts w:hint="eastAsia" w:ascii="Times New Roman" w:eastAsia="楷体"/>
          <w:b w:val="0"/>
          <w:bCs w:val="0"/>
          <w:i w:val="0"/>
          <w:sz w:val="21"/>
          <w:szCs w:val="36"/>
          <w:lang w:val="en-US" w:eastAsia="zh-CN"/>
        </w:rPr>
        <w:t>多形性红斑；患儿；护理</w:t>
      </w:r>
    </w:p>
    <w:p>
      <w:pPr>
        <w:spacing w:line="360" w:lineRule="auto"/>
        <w:ind w:firstLine="480" w:firstLineChars="2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重型多形性红斑是一组与免疫有关的急性皮肤炎症性疾病，起病急骤，有自限性，粘膜和皮肤可同时发病或先后发病，也可单发于皮肤或粘膜。除有全身皮肤黏膜出现多形性红斑、水泡、血泡、糜烂水肿、表皮坏死外，部分脏器可受累，多数患者伴有严重的全身性反应，如高热、畏寒、脓毒血症等，如不进行及时有效的治疗和科学的护理，病情恶化，死亡率很高[1]。本院儿科于2019年1月30日收治1例重型多形性红斑患儿，经对症治疗及护理，患儿好转出院。现将临床护理总结如下。</w:t>
      </w:r>
    </w:p>
    <w:p>
      <w:pPr>
        <w:snapToGrid/>
        <w:spacing w:before="240" w:beforeLines="100" w:beforeAutospacing="0" w:after="240" w:afterLines="10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 w:val="0"/>
          <w:bCs/>
          <w:sz w:val="30"/>
          <w:szCs w:val="36"/>
          <w:lang w:val="en-US" w:eastAsia="zh-CN"/>
        </w:rPr>
      </w:pPr>
      <w:r>
        <w:rPr>
          <w:rFonts w:hint="eastAsia" w:ascii="Times New Roman" w:eastAsia="黑体"/>
          <w:b w:val="0"/>
          <w:bCs/>
          <w:sz w:val="30"/>
          <w:szCs w:val="36"/>
          <w:lang w:val="en-US" w:eastAsia="zh-CN"/>
        </w:rPr>
        <w:t>1病例介绍</w:t>
      </w:r>
    </w:p>
    <w:p>
      <w:pPr>
        <w:snapToGrid/>
        <w:spacing w:beforeAutospacing="0" w:afterAutospacing="0" w:line="400" w:lineRule="exact"/>
        <w:ind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，女，7岁，因“咳嗽3天，发热、皮疹伴口腔溃疡1天”于2019年1月30日入院。患儿3天前无明显诱因出现咳嗽，呈阵性咳嗽，口唇出现红肿，伴鼻塞明显，无发热、皮疹，自行口服止咳药物（具体不详）后，咳嗽咳痰无好转，1天前，患儿出现全身散在红色斑丘疹及丘疱疹，以躯干为主，大小不一，部分有破溃，未见溢脓，口唇红肿溃烂明显，伴口唇及口腔粘膜白色分泌物，伴张口困难及口臭，有发热，最高体温39.2℃，入院当日晨间咳出少许献血1次，入院查体：体温39.6℃，心率138次/分，呼吸28次/分，精神稍差，呼吸急促，全身散在红色斑丘疹及丘疱疹，以躯干为主，结膜充血，双眼有少许黄色分泌物，口唇红肿、破溃，口唇及口腔粘膜见黄白色分泌物，不易拭去，有口臭，入院后经口腔科、眼科、皮肤科等多科会诊协助治疗，给予大剂量甲强龙抗炎、大剂量人丙种球蛋白支持治疗、阿莫西林克拉维酸钾抗感染、磷酸肌酸钠营养心肌、水溶性维生素促进创面愈合、补液等对症治疗。患儿入院后第7天，口唇红肿溃烂较前好转，脓性分泌物较前减少，晨起漱口吐出清凉液体，未见明显脓性分泌物，能进食少量流食，体温正常，入院后第15天，全身丘疹及斑丘疹较前好转，少许破溃结痂，疱疹外晕皮肤呈红色融合成片，无新增皮疹，能张口说话，无口臭，进食较前增加，双眼仍有少许黄色分泌物，入院后第21天，患者病情趋于稳定，全身皮疹及斑丘疹破溃处基本结痂，视物清楚，进食佳。住院50天后患儿出院。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</w:p>
    <w:p>
      <w:pPr>
        <w:snapToGrid/>
        <w:spacing w:before="240" w:beforeLines="100" w:beforeAutospacing="0" w:after="240" w:afterLines="10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 w:val="0"/>
          <w:bCs/>
          <w:sz w:val="30"/>
          <w:szCs w:val="36"/>
          <w:lang w:val="en-US" w:eastAsia="zh-CN"/>
        </w:rPr>
      </w:pPr>
      <w:r>
        <w:rPr>
          <w:rFonts w:hint="eastAsia" w:ascii="Times New Roman" w:eastAsia="黑体"/>
          <w:b w:val="0"/>
          <w:bCs/>
          <w:sz w:val="30"/>
          <w:szCs w:val="36"/>
          <w:lang w:val="en-US" w:eastAsia="zh-CN"/>
        </w:rPr>
        <w:t>2护  理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2.1消毒隔离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置于带空调的单间病房，保持病房温度22-26℃、湿度50%-60%，每天应用空气消毒机消毒至少4次，每天通风2次，床单元及病房内设施用500mg/L的含氯消毒液擦拭2次，地面湿拖2次。严格执行保护性隔离，专人护理，进出病房须穿隔离衣，戴口罩、帽子，所有医疗仪器设备专用，所有医务人员在进行操作前必需严格执行七步洗手法洗手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2.2心理护理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双眼分泌物较多，视物不清，张嘴困难，不易进食，全身痛痒，不能接受突如其来的生活改变，脾气烦躁易怒，加强对患儿的心理疏导，多关心安慰患儿，同时主管医生向患儿家属解释治疗方案，消除顾虑，协助患儿配合治疗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2.3呼吸道护理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患儿有气促，口腔内有大量脓性分泌物，且呼吸道分泌物多，气管内壁脱痂，有气道堵塞的危险，护理人员及时清理呼吸道的分泌物以保持呼吸道通畅。床旁常备气切用物及呼吸机。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2.4皮肤黏膜的护理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全身皮疹，部分破溃，床上用品均需经过高压灭菌消毒，保持床单元干燥无杂屑，及时更换脏被服，严格每2小时翻身，给予水床，减少皮肤受压，预防压疮的发生。患儿局部皮疹融合成水疱，大小不一，直径超过2mm的水疱用无菌注射器进行抽吸，破溃流脓创面使用莫匹罗星软膏及夫西地酸乳膏涂抹，未破溃处使用炉甘石洗剂涂摸，保持皮肤清洁干燥，避免感染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2.5口腔护理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患儿口唇红肿，口腔粘膜及口唇大面积破溃，渗血、流脓，张嘴困难，予以康复新液及碳酸氢钠含漱；维生素AD滴剂涂口唇患处；聚维酮碘液1:10稀释后漱口，1:5稀释后湿敷、清洗口腔黏膜；地塞米松湿敷嘴唇。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2.6眼部护理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患儿双眼结膜充血，有少许黄色分泌物，视物不清，给予普拉洛分滴眼液滴眼，每2小时一次，予妥布霉素地塞米松滴眼液滴眼，每6小时一次，予红霉素眼膏滴眼，每晚睡前一次。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2.7饮食护理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患儿因疼痛不愿张口，进食困难，鼓励患儿进食，选用温度适宜的高热量富含维生素的易消化流质饮食。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2.8高热的护理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主要采用物理降温，预防冻伤，寒战时注意保暖，汗多时及时更换衣被，保持皮肤清洁干燥，体温持续超过38.5℃，遵医嘱口服布洛芬，一日不超过4次。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2.9静脉通道的护理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患儿皮损严重，穿刺困难。我们谨慎选择血管，动作轻柔，避免带来新的创伤，注意保护血管，避免反复穿刺，保证药物的及时输注及疗效。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2.10严密的病情观察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患儿入院予以特级护理，制定周密的护理计划，持续心电监护及血氧饱和度监测，严格监测患儿生命体征，严格记录24小时出入量，床旁常备气切、呼吸机等抢救仪器设备。</w:t>
      </w:r>
    </w:p>
    <w:p>
      <w:pPr>
        <w:snapToGrid/>
        <w:spacing w:before="240" w:beforeLines="100" w:beforeAutospacing="0" w:afterAutospacing="0" w:line="400" w:lineRule="exact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</w:pPr>
      <w:r>
        <w:rPr>
          <w:rFonts w:hint="eastAsia" w:ascii="Times New Roman" w:eastAsia="黑体"/>
          <w:b w:val="0"/>
          <w:bCs/>
          <w:sz w:val="28"/>
          <w:szCs w:val="32"/>
          <w:lang w:val="en-US" w:eastAsia="zh-CN"/>
        </w:rPr>
        <w:t>2.11健康教育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指导患儿多休息，饮食清淡，避免摄入刺激性食物，谨慎用药，如出现皮疹，及时就诊。</w:t>
      </w:r>
    </w:p>
    <w:p>
      <w:pPr>
        <w:snapToGrid/>
        <w:spacing w:beforeAutospacing="0" w:afterAutospacing="0" w:line="400" w:lineRule="exact"/>
        <w:ind w:left="0" w:leftChars="0" w:firstLine="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</w:p>
    <w:p>
      <w:pPr>
        <w:snapToGrid/>
        <w:spacing w:before="240" w:beforeLines="100" w:beforeAutospacing="0" w:after="240" w:afterLines="10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 w:val="0"/>
          <w:bCs/>
          <w:sz w:val="30"/>
          <w:szCs w:val="36"/>
          <w:lang w:val="en-US" w:eastAsia="zh-CN"/>
        </w:rPr>
      </w:pPr>
      <w:r>
        <w:rPr>
          <w:rFonts w:hint="eastAsia" w:ascii="Times New Roman" w:eastAsia="黑体"/>
          <w:b w:val="0"/>
          <w:bCs/>
          <w:sz w:val="30"/>
          <w:szCs w:val="36"/>
          <w:lang w:val="en-US" w:eastAsia="zh-CN"/>
        </w:rPr>
        <w:t>3总  结</w:t>
      </w:r>
    </w:p>
    <w:p>
      <w:pPr>
        <w:snapToGrid/>
        <w:spacing w:beforeAutospacing="0" w:afterAutospacing="0" w:line="400" w:lineRule="exact"/>
        <w:ind w:left="0" w:leftChars="0" w:firstLine="480" w:firstLineChars="200"/>
        <w:jc w:val="both"/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eastAsia="+中文正文"/>
          <w:b w:val="0"/>
          <w:bCs w:val="0"/>
          <w:sz w:val="24"/>
          <w:szCs w:val="32"/>
          <w:lang w:val="en-US" w:eastAsia="zh-CN"/>
        </w:rPr>
        <w:t>重型多形性红斑临床少见，该病起病急，病情发展迅速，若不及时治疗，危及患儿生命。多数患儿全身大面积斑丘疹及疱疹，大部分破溃，护理难度大，因此，护理人员应做到精心细致，严密观察病情，加强各项护理，保证患儿营养供给，预防窒息、感染等并发症的发生。</w:t>
      </w:r>
    </w:p>
    <w:p>
      <w:pPr>
        <w:snapToGrid/>
        <w:spacing w:before="240" w:beforeLines="100" w:beforeAutospacing="0" w:after="240" w:afterLines="100" w:afterAutospacing="0" w:line="360" w:lineRule="auto"/>
        <w:ind w:left="0" w:leftChars="0" w:right="0" w:rightChars="0" w:firstLine="0" w:firstLineChars="0"/>
        <w:jc w:val="center"/>
        <w:rPr>
          <w:rFonts w:hint="eastAsia" w:ascii="Times New Roman" w:eastAsia="黑体"/>
          <w:b w:val="0"/>
          <w:bCs w:val="0"/>
          <w:sz w:val="30"/>
          <w:szCs w:val="28"/>
          <w:lang w:val="en-US" w:eastAsia="zh-CN"/>
        </w:rPr>
      </w:pPr>
      <w:r>
        <w:rPr>
          <w:rFonts w:hint="eastAsia" w:ascii="Times New Roman" w:eastAsia="黑体"/>
          <w:b w:val="0"/>
          <w:bCs w:val="0"/>
          <w:sz w:val="30"/>
          <w:szCs w:val="28"/>
          <w:lang w:val="en-US" w:eastAsia="zh-CN"/>
        </w:rPr>
        <w:t>参考文献</w:t>
      </w:r>
    </w:p>
    <w:p>
      <w:pPr>
        <w:snapToGrid/>
        <w:spacing w:beforeAutospacing="0" w:afterAutospacing="0" w:line="400" w:lineRule="exact"/>
        <w:ind w:right="0" w:rightChars="0"/>
        <w:jc w:val="both"/>
        <w:rPr>
          <w:rFonts w:hint="default" w:ascii="Times New Roman" w:eastAsia="宋体"/>
          <w:b w:val="0"/>
          <w:bCs w:val="0"/>
          <w:sz w:val="21"/>
          <w:szCs w:val="15"/>
          <w:lang w:val="en-US" w:eastAsia="zh-CN"/>
        </w:rPr>
      </w:pPr>
      <w:r>
        <w:rPr>
          <w:rFonts w:hint="eastAsia" w:ascii="Times New Roman" w:eastAsia="宋体"/>
          <w:b w:val="0"/>
          <w:bCs w:val="0"/>
          <w:sz w:val="21"/>
          <w:szCs w:val="15"/>
          <w:lang w:val="en-US" w:eastAsia="zh-CN"/>
        </w:rPr>
        <w:t>[1]胡亚美，江载芳，诸福棠.实用儿科学[M].7版.北京：人民卫生出版社，2005:691-692.</w:t>
      </w:r>
    </w:p>
    <w:p>
      <w:pPr>
        <w:snapToGrid/>
        <w:spacing w:beforeAutospacing="0" w:afterAutospacing="0" w:line="400" w:lineRule="exact"/>
        <w:ind w:right="0" w:rightChars="0"/>
        <w:jc w:val="both"/>
        <w:rPr>
          <w:rFonts w:hint="eastAsia" w:ascii="Times New Roman" w:eastAsia="宋体"/>
          <w:b w:val="0"/>
          <w:bCs w:val="0"/>
          <w:sz w:val="21"/>
          <w:szCs w:val="15"/>
          <w:lang w:val="en-US" w:eastAsia="zh-CN"/>
        </w:rPr>
      </w:pPr>
      <w:r>
        <w:rPr>
          <w:rFonts w:hint="eastAsia" w:ascii="Times New Roman" w:eastAsia="宋体"/>
          <w:b w:val="0"/>
          <w:bCs w:val="0"/>
          <w:sz w:val="21"/>
          <w:szCs w:val="15"/>
          <w:lang w:val="en-US" w:eastAsia="zh-CN"/>
        </w:rPr>
        <w:t>[2]吴志华</w:t>
      </w:r>
      <w:r>
        <w:rPr>
          <w:rFonts w:hint="eastAsia" w:ascii="Times New Roman"/>
          <w:b w:val="0"/>
          <w:bCs w:val="0"/>
          <w:sz w:val="21"/>
          <w:szCs w:val="15"/>
          <w:lang w:val="en-US" w:eastAsia="zh-CN"/>
        </w:rPr>
        <w:t>.</w:t>
      </w:r>
      <w:r>
        <w:rPr>
          <w:rFonts w:hint="eastAsia" w:ascii="Times New Roman" w:eastAsia="宋体"/>
          <w:b w:val="0"/>
          <w:bCs w:val="0"/>
          <w:sz w:val="21"/>
          <w:szCs w:val="15"/>
          <w:lang w:val="en-US" w:eastAsia="zh-CN"/>
        </w:rPr>
        <w:t>现代皮肤病学[M].广州：广东人民出版社，2000:184-199.</w:t>
      </w:r>
    </w:p>
    <w:p>
      <w:pPr>
        <w:snapToGrid/>
        <w:spacing w:beforeAutospacing="0" w:afterAutospacing="0" w:line="400" w:lineRule="exact"/>
        <w:ind w:right="0" w:rightChars="0"/>
        <w:jc w:val="both"/>
        <w:rPr>
          <w:rFonts w:hint="default" w:ascii="Times New Roman" w:eastAsia="宋体"/>
          <w:b w:val="0"/>
          <w:bCs w:val="0"/>
          <w:sz w:val="21"/>
          <w:szCs w:val="15"/>
          <w:lang w:val="en-US" w:eastAsia="zh-CN"/>
        </w:rPr>
      </w:pPr>
      <w:r>
        <w:rPr>
          <w:rFonts w:hint="eastAsia" w:ascii="Times New Roman" w:eastAsia="宋体"/>
          <w:b w:val="0"/>
          <w:bCs w:val="0"/>
          <w:sz w:val="21"/>
          <w:szCs w:val="15"/>
          <w:lang w:val="en-US" w:eastAsia="zh-CN"/>
        </w:rPr>
        <w:t>[3]徐雪芳</w:t>
      </w:r>
      <w:r>
        <w:rPr>
          <w:rFonts w:hint="eastAsia" w:ascii="Times New Roman"/>
          <w:b w:val="0"/>
          <w:bCs w:val="0"/>
          <w:sz w:val="21"/>
          <w:szCs w:val="15"/>
          <w:lang w:val="en-US" w:eastAsia="zh-CN"/>
        </w:rPr>
        <w:t>.</w:t>
      </w:r>
      <w:r>
        <w:rPr>
          <w:rFonts w:hint="eastAsia" w:ascii="Times New Roman" w:eastAsia="宋体"/>
          <w:b w:val="0"/>
          <w:bCs w:val="0"/>
          <w:sz w:val="21"/>
          <w:szCs w:val="15"/>
          <w:lang w:val="en-US" w:eastAsia="zh-CN"/>
        </w:rPr>
        <w:t>1例重型多形性红斑型药疹的护理[J].齐齐哈尔医学院学报，2003,24（2）：233.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7DFD"/>
    <w:rsid w:val="0A2B52A1"/>
    <w:rsid w:val="16312F5C"/>
    <w:rsid w:val="33803F81"/>
    <w:rsid w:val="342F77E2"/>
    <w:rsid w:val="3A4836E6"/>
    <w:rsid w:val="3EC31474"/>
    <w:rsid w:val="3F9F62C2"/>
    <w:rsid w:val="598F06A1"/>
    <w:rsid w:val="66737509"/>
    <w:rsid w:val="765E6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圆滚滚的胖嘟嘟</cp:lastModifiedBy>
  <dcterms:modified xsi:type="dcterms:W3CDTF">2020-02-24T07:15:32Z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