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Chars="1000" w:firstLine="420" w:firstLineChars="200"/>
        <w:jc w:val="both"/>
        <w:rPr>
          <w:rFonts w:hint="eastAsia"/>
          <w:lang w:eastAsia="zh-CN"/>
        </w:rPr>
      </w:pPr>
      <w:r>
        <w:rPr>
          <w:rFonts w:hint="eastAsia"/>
          <w:lang w:eastAsia="zh-CN"/>
        </w:rPr>
        <w:t>浅析《摩奴法典》中的种姓制度</w:t>
      </w:r>
    </w:p>
    <w:p>
      <w:pPr>
        <w:ind w:leftChars="1000" w:firstLine="1470" w:firstLineChars="700"/>
        <w:jc w:val="both"/>
        <w:rPr>
          <w:rFonts w:hint="eastAsia"/>
          <w:lang w:val="en-US" w:eastAsia="zh-CN"/>
        </w:rPr>
      </w:pPr>
      <w:r>
        <w:rPr>
          <w:rFonts w:hint="eastAsia"/>
          <w:lang w:val="en-US" w:eastAsia="zh-CN"/>
        </w:rPr>
        <w:t>张蓝天</w:t>
      </w:r>
    </w:p>
    <w:p>
      <w:pPr>
        <w:ind w:leftChars="1000" w:firstLine="420" w:firstLineChars="200"/>
        <w:jc w:val="both"/>
        <w:rPr>
          <w:rFonts w:hint="eastAsia"/>
          <w:lang w:val="en-US" w:eastAsia="zh-CN"/>
        </w:rPr>
      </w:pPr>
      <w:r>
        <w:rPr>
          <w:rFonts w:hint="eastAsia"/>
          <w:lang w:val="en-US" w:eastAsia="zh-CN"/>
        </w:rPr>
        <w:t>（首都经济贸易大学，北京 100071）</w:t>
      </w:r>
    </w:p>
    <w:p>
      <w:pPr>
        <w:ind w:firstLine="422" w:firstLineChars="200"/>
        <w:rPr>
          <w:rFonts w:hint="eastAsia"/>
          <w:lang w:eastAsia="zh-CN"/>
        </w:rPr>
      </w:pPr>
      <w:r>
        <w:rPr>
          <w:rFonts w:hint="eastAsia"/>
          <w:b/>
          <w:bCs/>
          <w:lang w:eastAsia="zh-CN"/>
        </w:rPr>
        <w:t>摘要</w:t>
      </w:r>
      <w:r>
        <w:rPr>
          <w:rFonts w:hint="eastAsia"/>
          <w:lang w:eastAsia="zh-CN"/>
        </w:rPr>
        <w:t>：马克思曾经说种姓制度是“印度进步和强盛道路的基本障碍”，可见种姓制度对于印度的影响之深。古代印度社会具有两大基本内容：婆罗门教和种姓制度。因此，古代印度法律也具有相对应的两大基本特征：一是与神奇奥秘的宗教教义融为一体，二是以等级森严的种姓制度为核心。古代印度法律的代表作即为《摩奴法典》，从《摩奴法典》中我们可以一窥印度的种姓制度以及它的深远影响。</w:t>
      </w:r>
    </w:p>
    <w:p>
      <w:pPr>
        <w:ind w:firstLine="422" w:firstLineChars="200"/>
        <w:rPr>
          <w:rFonts w:hint="eastAsia"/>
          <w:b w:val="0"/>
          <w:bCs w:val="0"/>
          <w:lang w:eastAsia="zh-CN"/>
        </w:rPr>
      </w:pPr>
      <w:r>
        <w:rPr>
          <w:rFonts w:hint="eastAsia"/>
          <w:b/>
          <w:bCs/>
          <w:lang w:eastAsia="zh-CN"/>
        </w:rPr>
        <w:t>关键词：</w:t>
      </w:r>
      <w:r>
        <w:rPr>
          <w:rFonts w:hint="eastAsia"/>
          <w:b w:val="0"/>
          <w:bCs w:val="0"/>
          <w:lang w:eastAsia="zh-CN"/>
        </w:rPr>
        <w:t>古代印度；宗教；《摩奴法典》；种姓制度</w:t>
      </w:r>
    </w:p>
    <w:p>
      <w:pPr>
        <w:ind w:firstLine="420" w:firstLineChars="200"/>
        <w:rPr>
          <w:rFonts w:hint="default"/>
          <w:b w:val="0"/>
          <w:bCs w:val="0"/>
          <w:lang w:val="en-US" w:eastAsia="zh-CN"/>
        </w:rPr>
      </w:pPr>
    </w:p>
    <w:p>
      <w:pPr>
        <w:ind w:firstLine="422" w:firstLineChars="200"/>
        <w:rPr>
          <w:rFonts w:hint="eastAsia"/>
          <w:b/>
          <w:bCs/>
          <w:lang w:eastAsia="zh-CN"/>
        </w:rPr>
      </w:pPr>
      <w:r>
        <w:rPr>
          <w:rFonts w:hint="eastAsia"/>
          <w:b/>
          <w:bCs/>
          <w:lang w:eastAsia="zh-CN"/>
        </w:rPr>
        <w:t>一、具有宗教色彩的《摩奴法典》</w:t>
      </w:r>
    </w:p>
    <w:p>
      <w:pPr>
        <w:ind w:firstLine="420" w:firstLineChars="200"/>
        <w:rPr>
          <w:rFonts w:hint="eastAsia"/>
          <w:lang w:eastAsia="zh-CN"/>
        </w:rPr>
      </w:pPr>
      <w:r>
        <w:rPr>
          <w:rFonts w:hint="eastAsia"/>
          <w:lang w:eastAsia="zh-CN"/>
        </w:rPr>
        <w:t>《摩奴法典》具有浓厚的宗教神话色彩。相传护世神毗湿奴通过冥想创造了创世神梵天，而后宇宙出现了灭世神湿婆。创世神梵天创造了世间万物，并写出吠陀经作为维护世间运转的法则。吠陀经共有四部，分为：《梨俱吠陀》《沙摩吠陀》《耶柔吠陀》《阿闼婆吠陀》，其中以《梨俱吠陀》最早也最为著名，并且《梨俱吠陀》已经出现了种姓制度的雏形。梵天创造了世间万物后，如同西方基督教《圣经》里诺亚方舟的情节一样，人们逐渐变得傲慢起来，开始对神不敬，于是灭世神湿婆想要跳起灭世之舞毁灭这个世界。然而，护世神毗湿奴为了维护世界不被毁灭前去劝说湿婆，后又化身灵鱼魔羯前去人间寻找救世主。</w:t>
      </w:r>
    </w:p>
    <w:p>
      <w:pPr>
        <w:ind w:firstLine="420" w:firstLineChars="200"/>
        <w:rPr>
          <w:rFonts w:hint="eastAsia"/>
          <w:lang w:eastAsia="zh-CN"/>
        </w:rPr>
      </w:pPr>
      <w:r>
        <w:rPr>
          <w:rFonts w:hint="eastAsia"/>
          <w:lang w:eastAsia="zh-CN"/>
        </w:rPr>
        <w:t>这天，日神的儿子摩奴在河边修行，突然在他面前出现了一条小鱼。小鱼对摩奴说“亲爱的尊者，这周边都是凶猛的大鱼，您把我救起养在您家的鱼缸里吧，”善良的摩奴听从了小鱼的话救起了小鱼把他养在了小小的鱼缸里。第二天小鱼长到鱼缸装不起他，于是摩奴把他养在了浴缸里里，又过了一天，小鱼大到浴缸装不下，这时摩奴把他养在了池塘里。结果第三天，池塘也装不下小鱼了，摩奴意识到这条鱼就是毗湿奴在人间的化身，于是把他放归大海。此时，灵鱼魔羯说话了，“善良的摩奴，世间将要遭到一场大洪水，你要赶紧去造一艘船，带上世间所有物种的雌雄各一只，乘船前往喜马拉雅山待洪水退去，重新建立世间。”于是摩奴便听从了毗湿奴的话，待洪水退去，百废待兴，重新建立世间。因而摩奴在印度神话中又被称为“人类始祖”。而相传《摩奴法典》便是由这位人类始祖所做，可见《摩奴法典》本身就具有极强的神话色彩以及其举足轻重的历史地位。</w:t>
      </w:r>
    </w:p>
    <w:p>
      <w:pPr>
        <w:tabs>
          <w:tab w:val="left" w:pos="6598"/>
        </w:tabs>
        <w:ind w:firstLine="422" w:firstLineChars="200"/>
        <w:rPr>
          <w:rFonts w:hint="eastAsia"/>
          <w:lang w:eastAsia="zh-CN"/>
        </w:rPr>
      </w:pPr>
      <w:r>
        <w:rPr>
          <w:rFonts w:hint="eastAsia"/>
          <w:b/>
          <w:bCs/>
          <w:lang w:eastAsia="zh-CN"/>
        </w:rPr>
        <w:t>二、历史上的《摩奴法典》</w:t>
      </w:r>
      <w:r>
        <w:rPr>
          <w:rFonts w:hint="eastAsia"/>
          <w:lang w:eastAsia="zh-CN"/>
        </w:rPr>
        <w:tab/>
      </w:r>
    </w:p>
    <w:p>
      <w:pPr>
        <w:ind w:firstLine="420" w:firstLineChars="200"/>
        <w:rPr>
          <w:rFonts w:hint="eastAsia"/>
          <w:lang w:eastAsia="zh-CN"/>
        </w:rPr>
      </w:pPr>
      <w:r>
        <w:rPr>
          <w:rFonts w:hint="eastAsia"/>
          <w:lang w:eastAsia="zh-CN"/>
        </w:rPr>
        <w:t>关于《摩奴法典》诞生的时间，学术界一直都有争议，但大多数学者比较赞同的观点是，《摩奴法典》诞生于公元前2世纪到公元2世纪之间。《摩奴法典》经过后世不断地增添、修改，在古代印度成为解决法律纠纷的重要依据。</w:t>
      </w:r>
    </w:p>
    <w:p>
      <w:pPr>
        <w:ind w:firstLine="420" w:firstLineChars="200"/>
        <w:rPr>
          <w:rFonts w:hint="eastAsia"/>
          <w:lang w:val="en-US" w:eastAsia="zh-CN"/>
        </w:rPr>
      </w:pPr>
      <w:r>
        <w:rPr>
          <w:rFonts w:hint="eastAsia"/>
          <w:lang w:eastAsia="zh-CN"/>
        </w:rPr>
        <w:t>《摩奴法典》总共1</w:t>
      </w:r>
      <w:r>
        <w:rPr>
          <w:rFonts w:hint="eastAsia"/>
          <w:lang w:val="en-US" w:eastAsia="zh-CN"/>
        </w:rPr>
        <w:t>2卷，2684颂，“颂”在这里就是“条”的意思。《摩奴法典》总共分为两个部分：第一部分为第一卷的创世说和第二到第六卷通过婆罗门一生的四阶段，制定他们应当遵守的行为规范；第二部分分为第七到十一卷的论述国王及国家的职责与职能和第十二卷的叙述因果报应、转世与解脱。</w:t>
      </w:r>
    </w:p>
    <w:p>
      <w:pPr>
        <w:ind w:firstLine="422" w:firstLineChars="200"/>
        <w:rPr>
          <w:rFonts w:hint="eastAsia"/>
          <w:b/>
          <w:bCs/>
          <w:lang w:val="en-US" w:eastAsia="zh-CN"/>
        </w:rPr>
      </w:pPr>
      <w:r>
        <w:rPr>
          <w:rFonts w:hint="eastAsia"/>
          <w:b/>
          <w:bCs/>
          <w:lang w:val="en-US" w:eastAsia="zh-CN"/>
        </w:rPr>
        <w:t>三、《摩奴法典》中的种姓制度</w:t>
      </w:r>
    </w:p>
    <w:p>
      <w:pPr>
        <w:ind w:firstLine="420" w:firstLineChars="200"/>
        <w:rPr>
          <w:rFonts w:hint="eastAsia"/>
          <w:lang w:val="en-US" w:eastAsia="zh-CN"/>
        </w:rPr>
      </w:pPr>
      <w:r>
        <w:rPr>
          <w:rFonts w:hint="eastAsia"/>
          <w:lang w:val="en-US" w:eastAsia="zh-CN"/>
        </w:rPr>
        <w:t>《摩奴法典》在第一卷第102颂里面就说到“为将婆罗门的义务与其他种姓的义务以适当顺序加以区分，生于自在神的魔奴特编纂了此法典”。由此可见《摩奴法典》的作用就是规范各种性的行为义务。在第一卷第31颂中可以看到法典宣扬“种姓神创”，该颂宣称“为了繁衍人类，他（梵天）从自己的口、臂、腿、足创造了婆罗门、刹帝利、吠舍和首陀罗”“人自肚脐以上被宣布为比较清洁的部分，而口被自在神宣布为最洁净的部分”“婆罗门因从最高贵的肢体所生，理应为一切物的主人”。从这里可以看出，古代印度以法典的形式为各种性划分了等级同时赋予神的色彩。</w:t>
      </w:r>
      <w:bookmarkStart w:id="0" w:name="_GoBack"/>
      <w:bookmarkEnd w:id="0"/>
    </w:p>
    <w:p>
      <w:pPr>
        <w:ind w:firstLine="420" w:firstLineChars="200"/>
        <w:rPr>
          <w:rFonts w:hint="eastAsia"/>
          <w:lang w:val="en-US" w:eastAsia="zh-CN"/>
        </w:rPr>
      </w:pPr>
      <w:r>
        <w:rPr>
          <w:rFonts w:hint="eastAsia"/>
          <w:lang w:val="en-US" w:eastAsia="zh-CN"/>
        </w:rPr>
        <w:t>《摩奴法典》在实体法和诉讼法中都体现了严格的种姓制度。</w:t>
      </w:r>
    </w:p>
    <w:p>
      <w:pPr>
        <w:ind w:firstLine="420" w:firstLineChars="200"/>
        <w:rPr>
          <w:rFonts w:hint="eastAsia" w:cstheme="minorBidi"/>
          <w:kern w:val="2"/>
          <w:sz w:val="21"/>
          <w:szCs w:val="24"/>
          <w:lang w:val="en-US" w:eastAsia="zh-CN" w:bidi="ar-SA"/>
        </w:rPr>
      </w:pPr>
      <w:r>
        <w:rPr>
          <w:rFonts w:hint="eastAsia"/>
          <w:lang w:val="en-US" w:eastAsia="zh-CN"/>
        </w:rPr>
        <w:t>在财产方面，法典宣布“国王为大地的主人”“婆罗门可以问心无愧地将其奴隶首陀罗的财产据为己有。”不仅是婆罗门，刹帝利和吠舍的私有财产也收到法律的保护，只有最低等级的吠舍不能享有私人财产。在债权上也是给予高种姓以特殊保护，对各种姓收取的利息从婆罗门开始依次递增。在婚姻家庭方面，女性地位低下。《摩奴法典》规定“妇女、子女在家庭中的地位等同于奴隶”。并且如果婆罗门吃了妇女和首陀罗的剩饭“应该只吃水煮大麦粥七昼夜”，以清洗污浊。在婚姻缔结上，实行种姓内婚，婆罗门、刹帝利、吠舍可在本种姓</w:t>
      </w:r>
      <w:r>
        <w:rPr>
          <w:rFonts w:hint="eastAsia" w:cstheme="minorBidi"/>
          <w:kern w:val="2"/>
          <w:sz w:val="21"/>
          <w:szCs w:val="24"/>
          <w:lang w:val="en-US" w:eastAsia="zh-CN" w:bidi="ar-SA"/>
        </w:rPr>
        <w:t>以及下级种姓中按等级顺序各娶一名妻子，但对于首陀罗和妇女而言则实行“一夫一妻制”。对于跨种姓的婚姻则是允许指高种姓男子娶低种姓女子，即“顺婚”，高种姓女子嫁低种姓男子是被禁止的，称为“逆婚”。“逆婚”所生的子女将会称为比首陀罗地位还要低下的贱民。在刑法上同样推崇严格的种姓制度，刑罚的轻重区别于犯罪人和受害人的不同种姓。高种姓的犯罪一般以罚金了事，而对于低种姓的犯罪则刑罚十分严酷。</w:t>
      </w:r>
    </w:p>
    <w:p>
      <w:pPr>
        <w:ind w:firstLine="420" w:firstLineChars="200"/>
        <w:rPr>
          <w:rFonts w:hint="eastAsia" w:cstheme="minorBidi"/>
          <w:kern w:val="2"/>
          <w:sz w:val="21"/>
          <w:szCs w:val="24"/>
          <w:lang w:val="en-US" w:eastAsia="zh-CN" w:bidi="ar-SA"/>
        </w:rPr>
      </w:pPr>
      <w:r>
        <w:rPr>
          <w:rFonts w:hint="eastAsia" w:cstheme="minorBidi"/>
          <w:kern w:val="2"/>
          <w:sz w:val="21"/>
          <w:szCs w:val="24"/>
          <w:lang w:val="en-US" w:eastAsia="zh-CN" w:bidi="ar-SA"/>
        </w:rPr>
        <w:t>在诉讼法方面，古代印度并没有严格意义上的诉讼法，在审判方面实行神判和人判，而神判不适用于婆罗门和刹帝利，而首陀罗及奴隶没有起诉和举证的权利。这同样是为了维护高种姓的统治地位。</w:t>
      </w:r>
    </w:p>
    <w:p>
      <w:pPr>
        <w:ind w:firstLine="422" w:firstLineChars="200"/>
        <w:rPr>
          <w:rFonts w:hint="eastAsia" w:cstheme="minorBidi"/>
          <w:b/>
          <w:bCs/>
          <w:kern w:val="2"/>
          <w:sz w:val="21"/>
          <w:szCs w:val="24"/>
          <w:lang w:val="en-US" w:eastAsia="zh-CN" w:bidi="ar-SA"/>
        </w:rPr>
      </w:pPr>
      <w:r>
        <w:rPr>
          <w:rFonts w:hint="eastAsia" w:cstheme="minorBidi"/>
          <w:b/>
          <w:bCs/>
          <w:kern w:val="2"/>
          <w:sz w:val="21"/>
          <w:szCs w:val="24"/>
          <w:lang w:val="en-US" w:eastAsia="zh-CN" w:bidi="ar-SA"/>
        </w:rPr>
        <w:t>四、后世影响</w:t>
      </w:r>
    </w:p>
    <w:p>
      <w:pPr>
        <w:ind w:firstLine="420" w:firstLineChars="200"/>
        <w:rPr>
          <w:rFonts w:hint="eastAsia" w:cstheme="minorBidi"/>
          <w:kern w:val="2"/>
          <w:sz w:val="21"/>
          <w:szCs w:val="24"/>
          <w:lang w:val="en-US" w:eastAsia="zh-CN" w:bidi="ar-SA"/>
        </w:rPr>
      </w:pPr>
      <w:r>
        <w:rPr>
          <w:rFonts w:hint="eastAsia" w:cstheme="minorBidi"/>
          <w:kern w:val="2"/>
          <w:sz w:val="21"/>
          <w:szCs w:val="24"/>
          <w:lang w:val="en-US" w:eastAsia="zh-CN" w:bidi="ar-SA"/>
        </w:rPr>
        <w:t>《摩奴法典》对古代印度影响深远，一直是古代印度解决争端的重要法律依据，不管是在公元八世纪阿拉伯人带着伊斯兰教侵入印度还是在近代英国对印度的殖民都没有撼动《摩奴法典》在印度的统治地位。而《摩奴法典》中严格规定地种姓制度即使早已被印度政府以现代法律的形式废除，但时至今日印度的各方各面仍深深受着该制度的影响，在印度存续了几千年的种姓制度一时很难在人们的思想中废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C41F1E"/>
    <w:rsid w:val="16BD7B96"/>
    <w:rsid w:val="224A0BD8"/>
    <w:rsid w:val="3B00282F"/>
    <w:rsid w:val="45E52B96"/>
    <w:rsid w:val="49CD63D4"/>
    <w:rsid w:val="4E972E02"/>
    <w:rsid w:val="55F334E1"/>
    <w:rsid w:val="5A4D2677"/>
    <w:rsid w:val="6A614EE0"/>
    <w:rsid w:val="7EA739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2020-01-09T18:26:00Z</dcterms:created>
  <dc:creator>iPad</dc:creator>
  <cp:lastModifiedBy>阮郎</cp:lastModifiedBy>
  <dcterms:modified xsi:type="dcterms:W3CDTF">2020-02-24T12:53:19Z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