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20B" w:rsidRDefault="00D3620B">
      <w:pPr>
        <w:spacing w:line="460" w:lineRule="exact"/>
        <w:ind w:left="284"/>
        <w:jc w:val="left"/>
        <w:rPr>
          <w:rFonts w:ascii="Times New Roman" w:hAnsi="Times New Roman" w:cs="Times New Roman" w:hint="eastAsia"/>
          <w:b/>
          <w:color w:val="FF0000"/>
          <w:sz w:val="24"/>
          <w:szCs w:val="24"/>
        </w:rPr>
      </w:pPr>
      <w:bookmarkStart w:id="0" w:name="OLE_LINK5"/>
    </w:p>
    <w:p w:rsidR="00D3620B" w:rsidRDefault="00D3620B">
      <w:pPr>
        <w:spacing w:line="276" w:lineRule="auto"/>
        <w:jc w:val="center"/>
        <w:rPr>
          <w:rFonts w:ascii="Times New Roman" w:hAnsi="Times New Roman" w:cs="Times New Roman"/>
          <w:b/>
          <w:color w:val="000000"/>
          <w:sz w:val="28"/>
          <w:szCs w:val="21"/>
          <w:shd w:val="clear" w:color="auto" w:fill="FFFFFF"/>
        </w:rPr>
      </w:pPr>
    </w:p>
    <w:p w:rsidR="00D3620B" w:rsidRPr="00BA3C8C" w:rsidRDefault="00BA3C8C">
      <w:pPr>
        <w:spacing w:line="276" w:lineRule="auto"/>
        <w:jc w:val="center"/>
        <w:rPr>
          <w:rFonts w:ascii="Times New Roman" w:hAnsi="Times New Roman" w:cs="Times New Roman"/>
          <w:b/>
          <w:color w:val="000000" w:themeColor="text1"/>
          <w:sz w:val="28"/>
          <w:szCs w:val="21"/>
          <w:shd w:val="clear" w:color="auto" w:fill="FFFFFF"/>
        </w:rPr>
      </w:pPr>
      <w:r w:rsidRPr="00BA3C8C">
        <w:rPr>
          <w:rFonts w:ascii="Times New Roman" w:hAnsi="Times New Roman" w:cs="Times New Roman"/>
          <w:b/>
          <w:color w:val="000000" w:themeColor="text1"/>
          <w:sz w:val="28"/>
          <w:szCs w:val="21"/>
          <w:shd w:val="clear" w:color="auto" w:fill="FFFFFF"/>
        </w:rPr>
        <w:t>预防性化疗</w:t>
      </w:r>
      <w:r w:rsidRPr="00BA3C8C">
        <w:rPr>
          <w:rFonts w:ascii="Times New Roman" w:hAnsi="Times New Roman" w:cs="Times New Roman" w:hint="eastAsia"/>
          <w:b/>
          <w:color w:val="000000" w:themeColor="text1"/>
          <w:sz w:val="28"/>
          <w:szCs w:val="21"/>
          <w:shd w:val="clear" w:color="auto" w:fill="FFFFFF"/>
        </w:rPr>
        <w:t>在</w:t>
      </w:r>
      <w:r w:rsidRPr="00BA3C8C">
        <w:rPr>
          <w:rFonts w:ascii="Times New Roman" w:hAnsi="Times New Roman" w:cs="Times New Roman"/>
          <w:b/>
          <w:color w:val="000000" w:themeColor="text1"/>
          <w:sz w:val="28"/>
          <w:szCs w:val="21"/>
          <w:shd w:val="clear" w:color="auto" w:fill="FFFFFF"/>
        </w:rPr>
        <w:t>恶性葡萄胎中老年妇女</w:t>
      </w:r>
      <w:r w:rsidRPr="00BA3C8C">
        <w:rPr>
          <w:rFonts w:ascii="Times New Roman" w:hAnsi="Times New Roman" w:cs="Times New Roman" w:hint="eastAsia"/>
          <w:b/>
          <w:color w:val="000000" w:themeColor="text1"/>
          <w:sz w:val="28"/>
          <w:szCs w:val="21"/>
          <w:shd w:val="clear" w:color="auto" w:fill="FFFFFF"/>
        </w:rPr>
        <w:t>中的疗效分析</w:t>
      </w:r>
    </w:p>
    <w:p w:rsidR="00D3620B" w:rsidRPr="002F4D47" w:rsidRDefault="00BA3C8C">
      <w:pPr>
        <w:spacing w:line="276" w:lineRule="auto"/>
        <w:jc w:val="center"/>
        <w:rPr>
          <w:rFonts w:ascii="Times New Roman" w:hAnsi="Times New Roman" w:cs="Times New Roman"/>
          <w:b/>
          <w:color w:val="000000" w:themeColor="text1"/>
          <w:sz w:val="28"/>
          <w:szCs w:val="21"/>
          <w:shd w:val="clear" w:color="auto" w:fill="FFFFFF"/>
        </w:rPr>
      </w:pPr>
      <w:r w:rsidRPr="00BA3C8C">
        <w:rPr>
          <w:rFonts w:ascii="Times New Roman" w:hAnsi="Times New Roman" w:cs="Times New Roman" w:hint="eastAsia"/>
          <w:b/>
          <w:color w:val="000000" w:themeColor="text1"/>
          <w:sz w:val="28"/>
          <w:szCs w:val="21"/>
          <w:shd w:val="clear" w:color="auto" w:fill="FFFFFF"/>
        </w:rPr>
        <w:t>魏明</w:t>
      </w:r>
      <w:r w:rsidRPr="00BA3C8C">
        <w:rPr>
          <w:rFonts w:ascii="Times New Roman" w:hAnsi="Times New Roman" w:cs="Times New Roman" w:hint="eastAsia"/>
          <w:b/>
          <w:color w:val="000000" w:themeColor="text1"/>
          <w:sz w:val="28"/>
          <w:szCs w:val="21"/>
          <w:shd w:val="clear" w:color="auto" w:fill="FFFFFF"/>
        </w:rPr>
        <w:t xml:space="preserve"> </w:t>
      </w:r>
    </w:p>
    <w:p w:rsidR="00D3620B" w:rsidRDefault="00BA3C8C">
      <w:pPr>
        <w:jc w:val="left"/>
        <w:rPr>
          <w:rFonts w:ascii="宋体" w:hAnsi="宋体"/>
          <w:szCs w:val="21"/>
        </w:rPr>
      </w:pPr>
      <w:r>
        <w:rPr>
          <w:rFonts w:ascii="宋体" w:hAnsi="宋体" w:hint="eastAsia"/>
          <w:szCs w:val="21"/>
        </w:rPr>
        <w:t xml:space="preserve">魏明，1982年8月16日，女，出生于河南省洛阳市，硕士研究生学历，主治医师，主要研究方向高危妊娠及难产的预防和诊治，女性生殖内分泌，计划生育及妇女保健等，工作单位:洛阳市妇女儿童医疗保健中心，15538880916，471000，邮寄地址:河南省洛阳市洛龙区通衢路206号洛阳市妇女儿童医疗保健中心产三科 </w:t>
      </w:r>
      <w:bookmarkStart w:id="1" w:name="_GoBack"/>
      <w:bookmarkEnd w:id="1"/>
    </w:p>
    <w:p w:rsidR="00D3620B" w:rsidRPr="00BA3C8C" w:rsidRDefault="00BA3C8C">
      <w:pPr>
        <w:spacing w:line="276" w:lineRule="auto"/>
        <w:rPr>
          <w:rFonts w:ascii="Times New Roman" w:hAnsi="Times New Roman" w:cs="Times New Roman"/>
          <w:color w:val="000000" w:themeColor="text1"/>
          <w:szCs w:val="21"/>
        </w:rPr>
      </w:pPr>
      <w:bookmarkStart w:id="2" w:name="OLE_LINK10"/>
      <w:r>
        <w:rPr>
          <w:rFonts w:ascii="Times New Roman" w:hAnsi="Times New Roman" w:cs="Times New Roman"/>
          <w:szCs w:val="21"/>
        </w:rPr>
        <w:t>【摘要】目的</w:t>
      </w:r>
      <w:r w:rsidRPr="00BA3C8C">
        <w:rPr>
          <w:rFonts w:ascii="Times New Roman" w:hAnsi="Times New Roman" w:cs="Times New Roman"/>
          <w:color w:val="000000" w:themeColor="text1"/>
          <w:szCs w:val="21"/>
        </w:rPr>
        <w:t xml:space="preserve"> </w:t>
      </w:r>
      <w:r w:rsidRPr="00BA3C8C">
        <w:rPr>
          <w:rFonts w:ascii="Times New Roman" w:hAnsi="Times New Roman" w:cs="Times New Roman"/>
          <w:color w:val="000000" w:themeColor="text1"/>
          <w:szCs w:val="21"/>
        </w:rPr>
        <w:t>探讨</w:t>
      </w:r>
      <w:r w:rsidRPr="00BA3C8C">
        <w:rPr>
          <w:rFonts w:ascii="Times New Roman" w:hAnsi="Times New Roman" w:cs="Times New Roman"/>
          <w:color w:val="000000" w:themeColor="text1"/>
          <w:szCs w:val="21"/>
          <w:shd w:val="clear" w:color="auto" w:fill="FFFFFF"/>
        </w:rPr>
        <w:t>预防性化疗</w:t>
      </w:r>
      <w:r w:rsidRPr="00BA3C8C">
        <w:rPr>
          <w:rFonts w:ascii="Times New Roman" w:hAnsi="Times New Roman" w:cs="Times New Roman" w:hint="eastAsia"/>
          <w:color w:val="000000" w:themeColor="text1"/>
          <w:szCs w:val="21"/>
          <w:shd w:val="clear" w:color="auto" w:fill="FFFFFF"/>
        </w:rPr>
        <w:t>在</w:t>
      </w:r>
      <w:r w:rsidRPr="00BA3C8C">
        <w:rPr>
          <w:rFonts w:ascii="Times New Roman" w:hAnsi="Times New Roman" w:cs="Times New Roman"/>
          <w:color w:val="000000" w:themeColor="text1"/>
          <w:szCs w:val="21"/>
          <w:shd w:val="clear" w:color="auto" w:fill="FFFFFF"/>
        </w:rPr>
        <w:t>恶性葡萄胎中老年</w:t>
      </w:r>
      <w:r w:rsidRPr="00BA3C8C">
        <w:rPr>
          <w:rFonts w:ascii="Times New Roman" w:hAnsi="Times New Roman" w:cs="Times New Roman" w:hint="eastAsia"/>
          <w:color w:val="000000" w:themeColor="text1"/>
          <w:szCs w:val="21"/>
          <w:shd w:val="clear" w:color="auto" w:fill="FFFFFF"/>
        </w:rPr>
        <w:t>妇女中的疗效</w:t>
      </w:r>
      <w:r w:rsidRPr="00BA3C8C">
        <w:rPr>
          <w:rFonts w:ascii="Times New Roman" w:hAnsi="Times New Roman" w:cs="Times New Roman"/>
          <w:color w:val="000000" w:themeColor="text1"/>
          <w:szCs w:val="21"/>
          <w:shd w:val="clear" w:color="auto" w:fill="FFFFFF"/>
        </w:rPr>
        <w:t>。</w:t>
      </w:r>
      <w:r w:rsidRPr="00BA3C8C">
        <w:rPr>
          <w:rFonts w:ascii="Times New Roman" w:hAnsi="Times New Roman" w:cs="Times New Roman"/>
          <w:color w:val="000000" w:themeColor="text1"/>
          <w:szCs w:val="21"/>
        </w:rPr>
        <w:t>方法</w:t>
      </w:r>
      <w:r w:rsidRPr="00BA3C8C">
        <w:rPr>
          <w:rFonts w:ascii="Times New Roman" w:hAnsi="Times New Roman" w:cs="Times New Roman"/>
          <w:color w:val="000000" w:themeColor="text1"/>
          <w:szCs w:val="21"/>
        </w:rPr>
        <w:t xml:space="preserve"> </w:t>
      </w:r>
      <w:r w:rsidRPr="00BA3C8C">
        <w:rPr>
          <w:rFonts w:ascii="Times New Roman" w:hAnsi="Times New Roman" w:cs="Times New Roman" w:hint="eastAsia"/>
          <w:color w:val="000000" w:themeColor="text1"/>
          <w:szCs w:val="21"/>
        </w:rPr>
        <w:t>选取</w:t>
      </w:r>
      <w:r w:rsidRPr="00BA3C8C">
        <w:rPr>
          <w:rFonts w:ascii="Times New Roman" w:hAnsi="Times New Roman" w:cs="Times New Roman" w:hint="eastAsia"/>
          <w:color w:val="000000" w:themeColor="text1"/>
          <w:szCs w:val="21"/>
        </w:rPr>
        <w:t>2010</w:t>
      </w:r>
      <w:r w:rsidRPr="00BA3C8C">
        <w:rPr>
          <w:rFonts w:ascii="Times New Roman" w:hAnsi="Times New Roman" w:cs="Times New Roman" w:hint="eastAsia"/>
          <w:color w:val="000000" w:themeColor="text1"/>
          <w:szCs w:val="21"/>
        </w:rPr>
        <w:t>年</w:t>
      </w:r>
      <w:r w:rsidRPr="00BA3C8C">
        <w:rPr>
          <w:rFonts w:ascii="Times New Roman" w:hAnsi="Times New Roman" w:cs="Times New Roman" w:hint="eastAsia"/>
          <w:color w:val="000000" w:themeColor="text1"/>
          <w:szCs w:val="21"/>
        </w:rPr>
        <w:t>1</w:t>
      </w:r>
      <w:r w:rsidRPr="00BA3C8C">
        <w:rPr>
          <w:rFonts w:ascii="Times New Roman" w:hAnsi="Times New Roman" w:cs="Times New Roman" w:hint="eastAsia"/>
          <w:color w:val="000000" w:themeColor="text1"/>
          <w:szCs w:val="21"/>
        </w:rPr>
        <w:t>月</w:t>
      </w:r>
      <w:r w:rsidRPr="00BA3C8C">
        <w:rPr>
          <w:rFonts w:ascii="Times New Roman" w:hAnsi="Times New Roman" w:cs="Times New Roman" w:hint="eastAsia"/>
          <w:color w:val="000000" w:themeColor="text1"/>
          <w:szCs w:val="21"/>
        </w:rPr>
        <w:t>-2012</w:t>
      </w:r>
      <w:r w:rsidRPr="00BA3C8C">
        <w:rPr>
          <w:rFonts w:ascii="Times New Roman" w:hAnsi="Times New Roman" w:cs="Times New Roman" w:hint="eastAsia"/>
          <w:color w:val="000000" w:themeColor="text1"/>
          <w:szCs w:val="21"/>
        </w:rPr>
        <w:t>年</w:t>
      </w:r>
      <w:r w:rsidRPr="00BA3C8C">
        <w:rPr>
          <w:rFonts w:ascii="Times New Roman" w:hAnsi="Times New Roman" w:cs="Times New Roman" w:hint="eastAsia"/>
          <w:color w:val="000000" w:themeColor="text1"/>
          <w:szCs w:val="21"/>
        </w:rPr>
        <w:t>6</w:t>
      </w:r>
      <w:r w:rsidRPr="00BA3C8C">
        <w:rPr>
          <w:rFonts w:ascii="Times New Roman" w:hAnsi="Times New Roman" w:cs="Times New Roman" w:hint="eastAsia"/>
          <w:color w:val="000000" w:themeColor="text1"/>
          <w:szCs w:val="21"/>
        </w:rPr>
        <w:t>月本院收治的</w:t>
      </w:r>
      <w:r w:rsidRPr="00BA3C8C">
        <w:rPr>
          <w:rFonts w:ascii="Times New Roman" w:hAnsi="Times New Roman" w:cs="Times New Roman"/>
          <w:color w:val="000000" w:themeColor="text1"/>
          <w:szCs w:val="21"/>
        </w:rPr>
        <w:t>62</w:t>
      </w:r>
      <w:r w:rsidRPr="00BA3C8C">
        <w:rPr>
          <w:rFonts w:ascii="Times New Roman" w:hAnsi="Times New Roman" w:cs="Times New Roman"/>
          <w:color w:val="000000" w:themeColor="text1"/>
          <w:szCs w:val="21"/>
        </w:rPr>
        <w:t>例葡萄胎患者</w:t>
      </w:r>
      <w:r w:rsidRPr="00BA3C8C">
        <w:rPr>
          <w:rFonts w:ascii="Times New Roman" w:hAnsi="Times New Roman" w:cs="Times New Roman" w:hint="eastAsia"/>
          <w:color w:val="000000" w:themeColor="text1"/>
          <w:szCs w:val="21"/>
        </w:rPr>
        <w:t>，根据患者是否出现预防性化疗</w:t>
      </w:r>
      <w:proofErr w:type="gramStart"/>
      <w:r w:rsidRPr="00BA3C8C">
        <w:rPr>
          <w:rFonts w:ascii="Times New Roman" w:hAnsi="Times New Roman" w:cs="Times New Roman" w:hint="eastAsia"/>
          <w:color w:val="000000" w:themeColor="text1"/>
          <w:szCs w:val="21"/>
        </w:rPr>
        <w:t>指征将所有</w:t>
      </w:r>
      <w:proofErr w:type="gramEnd"/>
      <w:r w:rsidRPr="00BA3C8C">
        <w:rPr>
          <w:rFonts w:ascii="Times New Roman" w:hAnsi="Times New Roman" w:cs="Times New Roman" w:hint="eastAsia"/>
          <w:color w:val="000000" w:themeColor="text1"/>
          <w:szCs w:val="21"/>
        </w:rPr>
        <w:t>患者分为对照组（</w:t>
      </w:r>
      <w:r w:rsidRPr="00BA3C8C">
        <w:rPr>
          <w:rFonts w:ascii="Times New Roman" w:hAnsi="Times New Roman" w:cs="Times New Roman" w:hint="eastAsia"/>
          <w:color w:val="000000" w:themeColor="text1"/>
          <w:szCs w:val="21"/>
        </w:rPr>
        <w:t>n=46</w:t>
      </w:r>
      <w:r w:rsidRPr="00BA3C8C">
        <w:rPr>
          <w:rFonts w:ascii="Times New Roman" w:hAnsi="Times New Roman" w:cs="Times New Roman" w:hint="eastAsia"/>
          <w:color w:val="000000" w:themeColor="text1"/>
          <w:szCs w:val="21"/>
        </w:rPr>
        <w:t>）与观察组（</w:t>
      </w:r>
      <w:r w:rsidRPr="00BA3C8C">
        <w:rPr>
          <w:rFonts w:ascii="Times New Roman" w:hAnsi="Times New Roman" w:cs="Times New Roman" w:hint="eastAsia"/>
          <w:color w:val="000000" w:themeColor="text1"/>
          <w:szCs w:val="21"/>
        </w:rPr>
        <w:t>n=16</w:t>
      </w:r>
      <w:r w:rsidRPr="00BA3C8C">
        <w:rPr>
          <w:rFonts w:ascii="Times New Roman" w:hAnsi="Times New Roman" w:cs="Times New Roman" w:hint="eastAsia"/>
          <w:color w:val="000000" w:themeColor="text1"/>
          <w:szCs w:val="21"/>
        </w:rPr>
        <w:t>）。</w:t>
      </w:r>
      <w:proofErr w:type="gramStart"/>
      <w:r w:rsidRPr="00BA3C8C">
        <w:rPr>
          <w:rFonts w:ascii="Times New Roman" w:hAnsi="Times New Roman" w:cs="Times New Roman" w:hint="eastAsia"/>
          <w:color w:val="000000" w:themeColor="text1"/>
          <w:szCs w:val="21"/>
        </w:rPr>
        <w:t>对照组行清宫</w:t>
      </w:r>
      <w:proofErr w:type="gramEnd"/>
      <w:r w:rsidRPr="00BA3C8C">
        <w:rPr>
          <w:rFonts w:ascii="Times New Roman" w:hAnsi="Times New Roman" w:cs="Times New Roman" w:hint="eastAsia"/>
          <w:color w:val="000000" w:themeColor="text1"/>
          <w:szCs w:val="21"/>
        </w:rPr>
        <w:t>术治疗，观察组患者在此基础上接受预防性化疗。观察并比较</w:t>
      </w:r>
      <w:r w:rsidRPr="00BA3C8C">
        <w:rPr>
          <w:rFonts w:ascii="Times New Roman" w:hAnsi="Times New Roman" w:cs="Times New Roman"/>
          <w:color w:val="000000" w:themeColor="text1"/>
          <w:szCs w:val="21"/>
        </w:rPr>
        <w:t>两组临床疗效、化疗疗程、人绒毛膜促性腺激素（</w:t>
      </w:r>
      <w:r w:rsidRPr="00BA3C8C">
        <w:rPr>
          <w:rFonts w:ascii="Times New Roman" w:hAnsi="Times New Roman" w:cs="Times New Roman"/>
          <w:color w:val="000000" w:themeColor="text1"/>
          <w:szCs w:val="21"/>
        </w:rPr>
        <w:t>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）下降至正常水平的时间及复发、转移、异常阴道流血和死亡情况。结果</w:t>
      </w:r>
      <w:r w:rsidRPr="00BA3C8C">
        <w:rPr>
          <w:rFonts w:ascii="Times New Roman" w:hAnsi="Times New Roman" w:cs="Times New Roman"/>
          <w:color w:val="000000" w:themeColor="text1"/>
          <w:szCs w:val="21"/>
        </w:rPr>
        <w:t xml:space="preserve"> </w:t>
      </w:r>
      <w:r w:rsidRPr="00BA3C8C">
        <w:rPr>
          <w:rFonts w:ascii="Times New Roman" w:hAnsi="Times New Roman" w:cs="Times New Roman"/>
          <w:color w:val="000000" w:themeColor="text1"/>
          <w:szCs w:val="21"/>
        </w:rPr>
        <w:t>两组</w:t>
      </w:r>
      <w:r w:rsidRPr="00BA3C8C">
        <w:rPr>
          <w:rFonts w:ascii="Times New Roman" w:hAnsi="Times New Roman" w:cs="Times New Roman"/>
          <w:color w:val="000000" w:themeColor="text1"/>
          <w:szCs w:val="21"/>
        </w:rPr>
        <w:t>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降至正常</w:t>
      </w:r>
      <w:r w:rsidRPr="00BA3C8C">
        <w:rPr>
          <w:rFonts w:ascii="Times New Roman" w:hAnsi="Times New Roman" w:cs="Times New Roman" w:hint="eastAsia"/>
          <w:color w:val="000000" w:themeColor="text1"/>
          <w:szCs w:val="21"/>
        </w:rPr>
        <w:t>时间</w:t>
      </w:r>
      <w:r w:rsidRPr="00BA3C8C">
        <w:rPr>
          <w:rFonts w:ascii="Times New Roman" w:hAnsi="Times New Roman" w:cs="Times New Roman"/>
          <w:color w:val="000000" w:themeColor="text1"/>
          <w:szCs w:val="21"/>
        </w:rPr>
        <w:t>、巩固化疗疗程数和治疗性化疗疗程数比较差异均无统计学意义（</w:t>
      </w:r>
      <w:r w:rsidRPr="00BA3C8C">
        <w:rPr>
          <w:rFonts w:ascii="Times New Roman" w:hAnsi="Times New Roman" w:cs="Times New Roman"/>
          <w:color w:val="000000" w:themeColor="text1"/>
          <w:szCs w:val="21"/>
        </w:rPr>
        <w:t>P&gt;0.05</w:t>
      </w:r>
      <w:r w:rsidRPr="00BA3C8C">
        <w:rPr>
          <w:rFonts w:ascii="Times New Roman" w:hAnsi="Times New Roman" w:cs="Times New Roman"/>
          <w:color w:val="000000" w:themeColor="text1"/>
          <w:szCs w:val="21"/>
        </w:rPr>
        <w:t>）</w:t>
      </w:r>
      <w:r w:rsidRPr="00BA3C8C">
        <w:rPr>
          <w:rFonts w:ascii="Times New Roman" w:hAnsi="Times New Roman" w:cs="Times New Roman" w:hint="eastAsia"/>
          <w:color w:val="000000" w:themeColor="text1"/>
          <w:szCs w:val="21"/>
        </w:rPr>
        <w:t>；观察组患者</w:t>
      </w:r>
      <w:r w:rsidRPr="00BA3C8C">
        <w:rPr>
          <w:rFonts w:ascii="Times New Roman" w:hAnsi="Times New Roman" w:cs="Times New Roman"/>
          <w:color w:val="000000" w:themeColor="text1"/>
          <w:szCs w:val="21"/>
        </w:rPr>
        <w:t>总化疗疗程</w:t>
      </w:r>
      <w:proofErr w:type="gramStart"/>
      <w:r w:rsidRPr="00BA3C8C">
        <w:rPr>
          <w:rFonts w:ascii="Times New Roman" w:hAnsi="Times New Roman" w:cs="Times New Roman"/>
          <w:color w:val="000000" w:themeColor="text1"/>
          <w:szCs w:val="21"/>
        </w:rPr>
        <w:t>数显著</w:t>
      </w:r>
      <w:proofErr w:type="gramEnd"/>
      <w:r w:rsidRPr="00BA3C8C">
        <w:rPr>
          <w:rFonts w:ascii="Times New Roman" w:hAnsi="Times New Roman" w:cs="Times New Roman"/>
          <w:color w:val="000000" w:themeColor="text1"/>
          <w:szCs w:val="21"/>
        </w:rPr>
        <w:t>高于对照组</w:t>
      </w:r>
      <w:r w:rsidRPr="00BA3C8C">
        <w:rPr>
          <w:rFonts w:ascii="Times New Roman" w:hAnsi="Times New Roman" w:cs="Times New Roman" w:hint="eastAsia"/>
          <w:color w:val="000000" w:themeColor="text1"/>
          <w:szCs w:val="21"/>
        </w:rPr>
        <w:t>，但比较差异无统计学意义</w:t>
      </w:r>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P&gt;0.05</w:t>
      </w:r>
      <w:r w:rsidRPr="00BA3C8C">
        <w:rPr>
          <w:rFonts w:ascii="Times New Roman" w:hAnsi="Times New Roman" w:cs="Times New Roman"/>
          <w:color w:val="000000" w:themeColor="text1"/>
          <w:szCs w:val="21"/>
        </w:rPr>
        <w:t>）</w:t>
      </w:r>
      <w:r w:rsidRPr="00BA3C8C">
        <w:rPr>
          <w:rFonts w:ascii="Times New Roman" w:hAnsi="Times New Roman" w:cs="Times New Roman" w:hint="eastAsia"/>
          <w:color w:val="000000" w:themeColor="text1"/>
          <w:szCs w:val="21"/>
        </w:rPr>
        <w:t>；观察组</w:t>
      </w:r>
      <w:r w:rsidRPr="00BA3C8C">
        <w:rPr>
          <w:rFonts w:ascii="Times New Roman" w:hAnsi="Times New Roman" w:cs="Times New Roman"/>
          <w:color w:val="000000" w:themeColor="text1"/>
          <w:szCs w:val="21"/>
        </w:rPr>
        <w:t>和对照</w:t>
      </w:r>
      <w:proofErr w:type="gramStart"/>
      <w:r w:rsidRPr="00BA3C8C">
        <w:rPr>
          <w:rFonts w:ascii="Times New Roman" w:hAnsi="Times New Roman" w:cs="Times New Roman"/>
          <w:color w:val="000000" w:themeColor="text1"/>
          <w:szCs w:val="21"/>
        </w:rPr>
        <w:t>组</w:t>
      </w:r>
      <w:r w:rsidRPr="00BA3C8C">
        <w:rPr>
          <w:rFonts w:ascii="Times New Roman" w:hAnsi="Times New Roman" w:cs="Times New Roman" w:hint="eastAsia"/>
          <w:color w:val="000000" w:themeColor="text1"/>
          <w:szCs w:val="21"/>
        </w:rPr>
        <w:t>完全</w:t>
      </w:r>
      <w:proofErr w:type="gramEnd"/>
      <w:r w:rsidRPr="00BA3C8C">
        <w:rPr>
          <w:rFonts w:ascii="Times New Roman" w:hAnsi="Times New Roman" w:cs="Times New Roman" w:hint="eastAsia"/>
          <w:color w:val="000000" w:themeColor="text1"/>
          <w:szCs w:val="21"/>
        </w:rPr>
        <w:t>缓解</w:t>
      </w:r>
      <w:r w:rsidRPr="00BA3C8C">
        <w:rPr>
          <w:rFonts w:ascii="Times New Roman" w:hAnsi="Times New Roman" w:cs="Times New Roman"/>
          <w:color w:val="000000" w:themeColor="text1"/>
          <w:szCs w:val="21"/>
        </w:rPr>
        <w:t>率分别为</w:t>
      </w:r>
      <w:r w:rsidRPr="00BA3C8C">
        <w:rPr>
          <w:rFonts w:ascii="Times New Roman" w:hAnsi="Times New Roman" w:cs="Times New Roman"/>
          <w:color w:val="000000" w:themeColor="text1"/>
          <w:szCs w:val="21"/>
        </w:rPr>
        <w:t>93.75%</w:t>
      </w:r>
      <w:r w:rsidRPr="00BA3C8C">
        <w:rPr>
          <w:rFonts w:ascii="Times New Roman" w:hAnsi="Times New Roman" w:cs="Times New Roman"/>
          <w:color w:val="000000" w:themeColor="text1"/>
          <w:szCs w:val="21"/>
        </w:rPr>
        <w:t>和</w:t>
      </w:r>
      <w:r w:rsidRPr="00BA3C8C">
        <w:rPr>
          <w:rFonts w:ascii="Times New Roman" w:hAnsi="Times New Roman" w:cs="Times New Roman"/>
          <w:color w:val="000000" w:themeColor="text1"/>
          <w:szCs w:val="21"/>
        </w:rPr>
        <w:t>95.65%</w:t>
      </w:r>
      <w:r w:rsidRPr="00BA3C8C">
        <w:rPr>
          <w:rFonts w:ascii="Times New Roman" w:hAnsi="Times New Roman" w:cs="Times New Roman"/>
          <w:color w:val="000000" w:themeColor="text1"/>
          <w:szCs w:val="21"/>
        </w:rPr>
        <w:t>，两组临床疗效比较差异无统计学意义（</w:t>
      </w:r>
      <w:r w:rsidRPr="00BA3C8C">
        <w:rPr>
          <w:rFonts w:ascii="Times New Roman" w:hAnsi="Times New Roman" w:cs="Times New Roman"/>
          <w:color w:val="000000" w:themeColor="text1"/>
          <w:szCs w:val="21"/>
        </w:rPr>
        <w:t>P&gt;0.05</w:t>
      </w:r>
      <w:r w:rsidRPr="00BA3C8C">
        <w:rPr>
          <w:rFonts w:ascii="Times New Roman" w:hAnsi="Times New Roman" w:cs="Times New Roman"/>
          <w:color w:val="000000" w:themeColor="text1"/>
          <w:szCs w:val="21"/>
        </w:rPr>
        <w:t>）</w:t>
      </w:r>
      <w:r w:rsidRPr="00BA3C8C">
        <w:rPr>
          <w:rFonts w:ascii="Times New Roman" w:hAnsi="Times New Roman" w:cs="Times New Roman" w:hint="eastAsia"/>
          <w:color w:val="000000" w:themeColor="text1"/>
          <w:szCs w:val="21"/>
        </w:rPr>
        <w:t>；</w:t>
      </w:r>
      <w:r w:rsidRPr="00BA3C8C">
        <w:rPr>
          <w:rFonts w:ascii="Times New Roman" w:hAnsi="Times New Roman" w:cs="Times New Roman"/>
          <w:color w:val="000000" w:themeColor="text1"/>
          <w:szCs w:val="21"/>
        </w:rPr>
        <w:t>两组复发、转移、异常阴道流血率比较差异均无统计学意义（</w:t>
      </w:r>
      <w:r w:rsidRPr="00BA3C8C">
        <w:rPr>
          <w:rFonts w:ascii="Times New Roman" w:hAnsi="Times New Roman" w:cs="Times New Roman"/>
          <w:color w:val="000000" w:themeColor="text1"/>
          <w:szCs w:val="21"/>
        </w:rPr>
        <w:t>P&gt;0.05</w:t>
      </w:r>
      <w:r w:rsidRPr="00BA3C8C">
        <w:rPr>
          <w:rFonts w:ascii="Times New Roman" w:hAnsi="Times New Roman" w:cs="Times New Roman"/>
          <w:color w:val="000000" w:themeColor="text1"/>
          <w:szCs w:val="21"/>
        </w:rPr>
        <w:t>），两组均未发生死亡病例。结论</w:t>
      </w:r>
      <w:r w:rsidRPr="00BA3C8C">
        <w:rPr>
          <w:rFonts w:ascii="Times New Roman" w:hAnsi="Times New Roman" w:cs="Times New Roman"/>
          <w:color w:val="000000" w:themeColor="text1"/>
          <w:szCs w:val="21"/>
        </w:rPr>
        <w:t xml:space="preserve"> </w:t>
      </w:r>
      <w:r w:rsidRPr="00BA3C8C">
        <w:rPr>
          <w:rFonts w:ascii="Times New Roman" w:hAnsi="Times New Roman" w:cs="Times New Roman"/>
          <w:color w:val="000000" w:themeColor="text1"/>
          <w:szCs w:val="21"/>
        </w:rPr>
        <w:t>鉴于中老年葡萄胎患者并未从预防性化疗中明显临床获益，且存在诸多潜在风险，建议对仅具有年龄</w:t>
      </w:r>
      <w:r w:rsidRPr="00BA3C8C">
        <w:rPr>
          <w:rFonts w:ascii="Times New Roman" w:hAnsi="Times New Roman" w:cs="Times New Roman"/>
          <w:color w:val="000000" w:themeColor="text1"/>
          <w:szCs w:val="21"/>
        </w:rPr>
        <w:t>&gt;40</w:t>
      </w:r>
      <w:r w:rsidRPr="00BA3C8C">
        <w:rPr>
          <w:rFonts w:ascii="Times New Roman" w:hAnsi="Times New Roman" w:cs="Times New Roman"/>
          <w:color w:val="000000" w:themeColor="text1"/>
          <w:szCs w:val="21"/>
        </w:rPr>
        <w:t>岁一项高危因素的葡萄胎患者不进行预防性化疗，而应密切随访监测血清</w:t>
      </w:r>
      <w:r w:rsidRPr="00BA3C8C">
        <w:rPr>
          <w:rFonts w:ascii="Times New Roman" w:hAnsi="Times New Roman" w:cs="Times New Roman"/>
          <w:color w:val="000000" w:themeColor="text1"/>
          <w:szCs w:val="21"/>
        </w:rPr>
        <w:t>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水平，确诊为侵蚀性葡萄胎后再进行化疗治疗。</w:t>
      </w:r>
    </w:p>
    <w:p w:rsidR="00D3620B" w:rsidRPr="00BA3C8C" w:rsidRDefault="00BA3C8C">
      <w:pPr>
        <w:spacing w:line="276" w:lineRule="auto"/>
        <w:rPr>
          <w:rFonts w:ascii="Times New Roman" w:hAnsi="Times New Roman" w:cs="Times New Roman"/>
          <w:color w:val="000000" w:themeColor="text1"/>
          <w:szCs w:val="21"/>
          <w:shd w:val="clear" w:color="auto" w:fill="FFFFFF"/>
        </w:rPr>
      </w:pPr>
      <w:r w:rsidRPr="00BA3C8C">
        <w:rPr>
          <w:rFonts w:ascii="Times New Roman" w:hAnsi="Times New Roman" w:cs="Times New Roman"/>
          <w:color w:val="000000" w:themeColor="text1"/>
          <w:szCs w:val="21"/>
        </w:rPr>
        <w:t>【关键词】</w:t>
      </w:r>
      <w:r w:rsidRPr="00BA3C8C">
        <w:rPr>
          <w:rFonts w:ascii="Times New Roman" w:hAnsi="Times New Roman" w:cs="Times New Roman"/>
          <w:color w:val="000000" w:themeColor="text1"/>
          <w:szCs w:val="21"/>
          <w:shd w:val="clear" w:color="auto" w:fill="FFFFFF"/>
        </w:rPr>
        <w:t>葡萄胎；</w:t>
      </w:r>
      <w:r w:rsidRPr="00BA3C8C">
        <w:rPr>
          <w:rFonts w:ascii="Times New Roman" w:hAnsi="Times New Roman" w:cs="Times New Roman" w:hint="eastAsia"/>
          <w:color w:val="000000" w:themeColor="text1"/>
          <w:szCs w:val="21"/>
          <w:shd w:val="clear" w:color="auto" w:fill="FFFFFF"/>
        </w:rPr>
        <w:t>清宫术；</w:t>
      </w:r>
      <w:r w:rsidRPr="00BA3C8C">
        <w:rPr>
          <w:rFonts w:ascii="Times New Roman" w:hAnsi="Times New Roman" w:cs="Times New Roman"/>
          <w:color w:val="000000" w:themeColor="text1"/>
          <w:szCs w:val="21"/>
          <w:shd w:val="clear" w:color="auto" w:fill="FFFFFF"/>
        </w:rPr>
        <w:t>预防性化疗；</w:t>
      </w:r>
      <w:r w:rsidRPr="00BA3C8C">
        <w:rPr>
          <w:rFonts w:ascii="Times New Roman" w:hAnsi="Times New Roman" w:cs="Times New Roman" w:hint="eastAsia"/>
          <w:color w:val="000000" w:themeColor="text1"/>
          <w:szCs w:val="21"/>
          <w:shd w:val="clear" w:color="auto" w:fill="FFFFFF"/>
        </w:rPr>
        <w:t>疗效</w:t>
      </w:r>
    </w:p>
    <w:p w:rsidR="00D3620B" w:rsidRPr="00BA3C8C" w:rsidRDefault="00D3620B">
      <w:pPr>
        <w:spacing w:line="276" w:lineRule="auto"/>
        <w:rPr>
          <w:rFonts w:ascii="Times New Roman" w:hAnsi="Times New Roman" w:cs="Times New Roman"/>
          <w:color w:val="000000" w:themeColor="text1"/>
          <w:szCs w:val="21"/>
        </w:rPr>
      </w:pPr>
    </w:p>
    <w:bookmarkEnd w:id="0"/>
    <w:p w:rsidR="00D3620B" w:rsidRPr="00BA3C8C" w:rsidRDefault="00BA3C8C">
      <w:pPr>
        <w:spacing w:line="276" w:lineRule="auto"/>
        <w:rPr>
          <w:rFonts w:ascii="Times New Roman" w:hAnsi="Times New Roman" w:cs="Times New Roman"/>
          <w:color w:val="000000" w:themeColor="text1"/>
          <w:szCs w:val="21"/>
        </w:rPr>
      </w:pPr>
      <w:r w:rsidRPr="00BA3C8C">
        <w:rPr>
          <w:rFonts w:ascii="Times New Roman" w:hAnsi="Times New Roman" w:cs="Times New Roman" w:hint="eastAsia"/>
          <w:b/>
          <w:color w:val="000000" w:themeColor="text1"/>
          <w:sz w:val="28"/>
          <w:szCs w:val="21"/>
        </w:rPr>
        <w:t>Therapeutic effect of preventive chemotherapy in elderly women with malignant mole</w:t>
      </w:r>
    </w:p>
    <w:p w:rsidR="00D3620B" w:rsidRPr="00BA3C8C" w:rsidRDefault="00BA3C8C">
      <w:pPr>
        <w:spacing w:line="276" w:lineRule="auto"/>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Abstract</w:t>
      </w:r>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 xml:space="preserve"> Objective To investigate the effect of prophylactic chemotherapy on the survival of the elderly women with malignant mole. Methods </w:t>
      </w:r>
      <w:r w:rsidRPr="00BA3C8C">
        <w:rPr>
          <w:rFonts w:ascii="Times New Roman" w:hAnsi="Times New Roman" w:cs="Times New Roman" w:hint="eastAsia"/>
          <w:color w:val="000000" w:themeColor="text1"/>
          <w:szCs w:val="21"/>
        </w:rPr>
        <w:t xml:space="preserve">A total of 62 patients with </w:t>
      </w:r>
      <w:proofErr w:type="spellStart"/>
      <w:r w:rsidRPr="00BA3C8C">
        <w:rPr>
          <w:rFonts w:ascii="Times New Roman" w:hAnsi="Times New Roman" w:cs="Times New Roman" w:hint="eastAsia"/>
          <w:color w:val="000000" w:themeColor="text1"/>
          <w:szCs w:val="21"/>
        </w:rPr>
        <w:t>hydatidiform</w:t>
      </w:r>
      <w:proofErr w:type="spellEnd"/>
      <w:r w:rsidRPr="00BA3C8C">
        <w:rPr>
          <w:rFonts w:ascii="Times New Roman" w:hAnsi="Times New Roman" w:cs="Times New Roman" w:hint="eastAsia"/>
          <w:color w:val="000000" w:themeColor="text1"/>
          <w:szCs w:val="21"/>
        </w:rPr>
        <w:t xml:space="preserve"> mole admitted to our hospital from January 2010 to June 2012 were selected, and. all patients were divided into control group (n=46) and observation group (n=16) according to whether patients had prophylactic chemotherapy </w:t>
      </w:r>
      <w:proofErr w:type="spellStart"/>
      <w:r w:rsidRPr="00BA3C8C">
        <w:rPr>
          <w:rFonts w:ascii="Times New Roman" w:hAnsi="Times New Roman" w:cs="Times New Roman" w:hint="eastAsia"/>
          <w:color w:val="000000" w:themeColor="text1"/>
          <w:szCs w:val="21"/>
        </w:rPr>
        <w:t>indications.The</w:t>
      </w:r>
      <w:proofErr w:type="spellEnd"/>
      <w:r w:rsidRPr="00BA3C8C">
        <w:rPr>
          <w:rFonts w:ascii="Times New Roman" w:hAnsi="Times New Roman" w:cs="Times New Roman" w:hint="eastAsia"/>
          <w:color w:val="000000" w:themeColor="text1"/>
          <w:szCs w:val="21"/>
        </w:rPr>
        <w:t xml:space="preserve"> control group was given uterine curettage, and the observation group was given preventive chemotherapy on this basis of the control </w:t>
      </w:r>
      <w:proofErr w:type="spellStart"/>
      <w:r w:rsidRPr="00BA3C8C">
        <w:rPr>
          <w:rFonts w:ascii="Times New Roman" w:hAnsi="Times New Roman" w:cs="Times New Roman" w:hint="eastAsia"/>
          <w:color w:val="000000" w:themeColor="text1"/>
          <w:szCs w:val="21"/>
        </w:rPr>
        <w:t>group</w:t>
      </w:r>
      <w:r w:rsidRPr="00BA3C8C">
        <w:rPr>
          <w:rFonts w:ascii="Times New Roman" w:hAnsi="Times New Roman" w:cs="Times New Roman"/>
          <w:color w:val="000000" w:themeColor="text1"/>
          <w:szCs w:val="21"/>
        </w:rPr>
        <w:t>.</w:t>
      </w:r>
      <w:r w:rsidRPr="00BA3C8C">
        <w:rPr>
          <w:rFonts w:ascii="Times New Roman" w:hAnsi="Times New Roman" w:cs="Times New Roman" w:hint="eastAsia"/>
          <w:color w:val="000000" w:themeColor="text1"/>
          <w:szCs w:val="21"/>
        </w:rPr>
        <w:t>The</w:t>
      </w:r>
      <w:proofErr w:type="spellEnd"/>
      <w:r w:rsidRPr="00BA3C8C">
        <w:rPr>
          <w:rFonts w:ascii="Times New Roman" w:hAnsi="Times New Roman" w:cs="Times New Roman" w:hint="eastAsia"/>
          <w:color w:val="000000" w:themeColor="text1"/>
          <w:szCs w:val="21"/>
        </w:rPr>
        <w:t xml:space="preserve"> clinical efficacy, chemotherapy course, time of human chorionic gonadotropin (</w:t>
      </w:r>
      <w:r w:rsidRPr="00BA3C8C">
        <w:rPr>
          <w:rFonts w:ascii="Times New Roman" w:hAnsi="Times New Roman" w:cs="Times New Roman" w:hint="eastAsia"/>
          <w:color w:val="000000" w:themeColor="text1"/>
          <w:szCs w:val="21"/>
        </w:rPr>
        <w:t>β</w:t>
      </w:r>
      <w:r w:rsidRPr="00BA3C8C">
        <w:rPr>
          <w:rFonts w:ascii="Times New Roman" w:hAnsi="Times New Roman" w:cs="Times New Roman" w:hint="eastAsia"/>
          <w:color w:val="000000" w:themeColor="text1"/>
          <w:szCs w:val="21"/>
        </w:rPr>
        <w:t>-</w:t>
      </w:r>
      <w:proofErr w:type="spellStart"/>
      <w:r w:rsidRPr="00BA3C8C">
        <w:rPr>
          <w:rFonts w:ascii="Times New Roman" w:hAnsi="Times New Roman" w:cs="Times New Roman" w:hint="eastAsia"/>
          <w:color w:val="000000" w:themeColor="text1"/>
          <w:szCs w:val="21"/>
        </w:rPr>
        <w:t>hCG</w:t>
      </w:r>
      <w:proofErr w:type="spellEnd"/>
      <w:r w:rsidRPr="00BA3C8C">
        <w:rPr>
          <w:rFonts w:ascii="Times New Roman" w:hAnsi="Times New Roman" w:cs="Times New Roman" w:hint="eastAsia"/>
          <w:color w:val="000000" w:themeColor="text1"/>
          <w:szCs w:val="21"/>
        </w:rPr>
        <w:t>) decreased to normal level, recurrence, metastasis, abnormal vaginal bleeding and death were observed and compared.</w:t>
      </w:r>
      <w:r w:rsidRPr="00BA3C8C">
        <w:rPr>
          <w:rFonts w:ascii="Times New Roman" w:hAnsi="Times New Roman" w:cs="Times New Roman"/>
          <w:color w:val="000000" w:themeColor="text1"/>
          <w:szCs w:val="21"/>
        </w:rPr>
        <w:t xml:space="preserve"> </w:t>
      </w:r>
      <w:r w:rsidRPr="00BA3C8C">
        <w:rPr>
          <w:rFonts w:ascii="Times New Roman" w:hAnsi="Times New Roman" w:cs="Times New Roman"/>
          <w:b/>
          <w:bCs/>
          <w:color w:val="000000" w:themeColor="text1"/>
          <w:szCs w:val="21"/>
        </w:rPr>
        <w:t>Results</w:t>
      </w:r>
      <w:r w:rsidRPr="00BA3C8C">
        <w:rPr>
          <w:rFonts w:ascii="Times New Roman" w:hAnsi="Times New Roman" w:cs="Times New Roman"/>
          <w:color w:val="000000" w:themeColor="text1"/>
          <w:szCs w:val="21"/>
        </w:rPr>
        <w:t xml:space="preserve"> There was no significant difference between the 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 xml:space="preserve"> dropped to the normal week, the number of curing chemotherapy and the number of therapeutic chemotherapy (P&gt; 0.05)</w:t>
      </w:r>
      <w:r w:rsidRPr="00BA3C8C">
        <w:rPr>
          <w:rFonts w:ascii="Times New Roman" w:hAnsi="Times New Roman" w:cs="Times New Roman" w:hint="eastAsia"/>
          <w:color w:val="000000" w:themeColor="text1"/>
          <w:szCs w:val="21"/>
        </w:rPr>
        <w:t xml:space="preserve">;the total number of chemotherapy courses in the observation group was </w:t>
      </w:r>
      <w:r w:rsidRPr="00BA3C8C">
        <w:rPr>
          <w:rFonts w:ascii="Times New Roman" w:hAnsi="Times New Roman" w:cs="Times New Roman" w:hint="eastAsia"/>
          <w:color w:val="000000" w:themeColor="text1"/>
          <w:szCs w:val="21"/>
        </w:rPr>
        <w:lastRenderedPageBreak/>
        <w:t>significantly higher than that in the control group, but the difference was not statistically significant (P&gt;0.05);</w:t>
      </w:r>
      <w:r w:rsidRPr="00BA3C8C">
        <w:rPr>
          <w:rFonts w:ascii="Times New Roman" w:hAnsi="Times New Roman" w:cs="Times New Roman"/>
          <w:color w:val="000000" w:themeColor="text1"/>
          <w:szCs w:val="21"/>
        </w:rPr>
        <w:t xml:space="preserve"> </w:t>
      </w:r>
      <w:r w:rsidRPr="00BA3C8C">
        <w:rPr>
          <w:rFonts w:ascii="Times New Roman" w:hAnsi="Times New Roman" w:cs="Times New Roman" w:hint="eastAsia"/>
          <w:color w:val="000000" w:themeColor="text1"/>
          <w:szCs w:val="21"/>
        </w:rPr>
        <w:t>t</w:t>
      </w:r>
      <w:r w:rsidRPr="00BA3C8C">
        <w:rPr>
          <w:rFonts w:ascii="Times New Roman" w:hAnsi="Times New Roman" w:cs="Times New Roman"/>
          <w:color w:val="000000" w:themeColor="text1"/>
          <w:szCs w:val="21"/>
        </w:rPr>
        <w:t xml:space="preserve">he SCR rates in prophylactic chemotherapy group and control group were 93.75% and 95.65%, </w:t>
      </w:r>
      <w:r w:rsidRPr="00BA3C8C">
        <w:rPr>
          <w:rFonts w:ascii="Times New Roman" w:hAnsi="Times New Roman" w:cs="Times New Roman" w:hint="eastAsia"/>
          <w:color w:val="000000" w:themeColor="text1"/>
          <w:szCs w:val="21"/>
        </w:rPr>
        <w:t>t</w:t>
      </w:r>
      <w:r w:rsidRPr="00BA3C8C">
        <w:rPr>
          <w:rFonts w:ascii="Times New Roman" w:hAnsi="Times New Roman" w:cs="Times New Roman"/>
          <w:color w:val="000000" w:themeColor="text1"/>
          <w:szCs w:val="21"/>
        </w:rPr>
        <w:t>here was no significant difference in clinical curative effect between the two groups (P&gt; 0.05)</w:t>
      </w:r>
      <w:r w:rsidRPr="00BA3C8C">
        <w:rPr>
          <w:rFonts w:ascii="Times New Roman" w:hAnsi="Times New Roman" w:cs="Times New Roman" w:hint="eastAsia"/>
          <w:color w:val="000000" w:themeColor="text1"/>
          <w:szCs w:val="21"/>
        </w:rPr>
        <w:t>;t</w:t>
      </w:r>
      <w:r w:rsidRPr="00BA3C8C">
        <w:rPr>
          <w:rFonts w:ascii="Times New Roman" w:hAnsi="Times New Roman" w:cs="Times New Roman"/>
          <w:color w:val="000000" w:themeColor="text1"/>
          <w:szCs w:val="21"/>
        </w:rPr>
        <w:t xml:space="preserve">here was no significant difference in recurrence, metastasis and abnormal vaginal bleeding between the two groups (P&gt; 0.05), and no deaths occurred in both groups. Conclusions In view of the fact that middle-aged and older patients with moles do not have a significant clinical benefit from prophylactic chemotherapy and that there are many potential risks, it is recommended that patients with </w:t>
      </w:r>
      <w:proofErr w:type="spellStart"/>
      <w:r w:rsidRPr="00BA3C8C">
        <w:rPr>
          <w:rFonts w:ascii="Times New Roman" w:hAnsi="Times New Roman" w:cs="Times New Roman"/>
          <w:color w:val="000000" w:themeColor="text1"/>
          <w:szCs w:val="21"/>
        </w:rPr>
        <w:t>hydatidiform</w:t>
      </w:r>
      <w:proofErr w:type="spellEnd"/>
      <w:r w:rsidRPr="00BA3C8C">
        <w:rPr>
          <w:rFonts w:ascii="Times New Roman" w:hAnsi="Times New Roman" w:cs="Times New Roman"/>
          <w:color w:val="000000" w:themeColor="text1"/>
          <w:szCs w:val="21"/>
        </w:rPr>
        <w:t xml:space="preserve"> moles who have a high risk of age&gt; 40 years are not treated with prophylactic chemotherapy but should be close follow-up monitoring of serum 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 xml:space="preserve"> levels, diagnosed as aggressive </w:t>
      </w:r>
      <w:proofErr w:type="spellStart"/>
      <w:r w:rsidRPr="00BA3C8C">
        <w:rPr>
          <w:rFonts w:ascii="Times New Roman" w:hAnsi="Times New Roman" w:cs="Times New Roman"/>
          <w:color w:val="000000" w:themeColor="text1"/>
          <w:szCs w:val="21"/>
        </w:rPr>
        <w:t>hydatidiform</w:t>
      </w:r>
      <w:proofErr w:type="spellEnd"/>
      <w:r w:rsidRPr="00BA3C8C">
        <w:rPr>
          <w:rFonts w:ascii="Times New Roman" w:hAnsi="Times New Roman" w:cs="Times New Roman"/>
          <w:color w:val="000000" w:themeColor="text1"/>
          <w:szCs w:val="21"/>
        </w:rPr>
        <w:t xml:space="preserve"> mole and then chemotherapy.</w:t>
      </w:r>
    </w:p>
    <w:p w:rsidR="00D3620B" w:rsidRPr="00BA3C8C" w:rsidRDefault="00BA3C8C">
      <w:pPr>
        <w:spacing w:line="276" w:lineRule="auto"/>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Key words</w:t>
      </w:r>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 xml:space="preserve"> </w:t>
      </w:r>
      <w:proofErr w:type="spellStart"/>
      <w:r w:rsidRPr="00BA3C8C">
        <w:rPr>
          <w:rFonts w:ascii="Times New Roman" w:hAnsi="Times New Roman" w:cs="Times New Roman"/>
          <w:color w:val="000000" w:themeColor="text1"/>
          <w:szCs w:val="21"/>
        </w:rPr>
        <w:t>Hydatidiform</w:t>
      </w:r>
      <w:proofErr w:type="spellEnd"/>
      <w:r w:rsidRPr="00BA3C8C">
        <w:rPr>
          <w:rFonts w:ascii="Times New Roman" w:hAnsi="Times New Roman" w:cs="Times New Roman"/>
          <w:color w:val="000000" w:themeColor="text1"/>
          <w:szCs w:val="21"/>
        </w:rPr>
        <w:t xml:space="preserve"> mole; </w:t>
      </w:r>
      <w:r w:rsidRPr="00BA3C8C">
        <w:rPr>
          <w:rFonts w:ascii="Times New Roman" w:hAnsi="Times New Roman" w:cs="Times New Roman" w:hint="eastAsia"/>
          <w:color w:val="000000" w:themeColor="text1"/>
          <w:szCs w:val="21"/>
        </w:rPr>
        <w:t xml:space="preserve">Uterine </w:t>
      </w:r>
      <w:proofErr w:type="spellStart"/>
      <w:r w:rsidRPr="00BA3C8C">
        <w:rPr>
          <w:rFonts w:ascii="Times New Roman" w:hAnsi="Times New Roman" w:cs="Times New Roman" w:hint="eastAsia"/>
          <w:color w:val="000000" w:themeColor="text1"/>
          <w:szCs w:val="21"/>
        </w:rPr>
        <w:t>curettage</w:t>
      </w:r>
      <w:proofErr w:type="gramStart"/>
      <w:r w:rsidRPr="00BA3C8C">
        <w:rPr>
          <w:rFonts w:ascii="Times New Roman" w:hAnsi="Times New Roman" w:cs="Times New Roman" w:hint="eastAsia"/>
          <w:color w:val="000000" w:themeColor="text1"/>
          <w:szCs w:val="21"/>
        </w:rPr>
        <w:t>;</w:t>
      </w:r>
      <w:r w:rsidRPr="00BA3C8C">
        <w:rPr>
          <w:rFonts w:ascii="Times New Roman" w:hAnsi="Times New Roman" w:cs="Times New Roman"/>
          <w:color w:val="000000" w:themeColor="text1"/>
          <w:szCs w:val="21"/>
        </w:rPr>
        <w:t>Prophylactic</w:t>
      </w:r>
      <w:proofErr w:type="spellEnd"/>
      <w:proofErr w:type="gramEnd"/>
      <w:r w:rsidRPr="00BA3C8C">
        <w:rPr>
          <w:rFonts w:ascii="Times New Roman" w:hAnsi="Times New Roman" w:cs="Times New Roman"/>
          <w:color w:val="000000" w:themeColor="text1"/>
          <w:szCs w:val="21"/>
        </w:rPr>
        <w:t xml:space="preserve"> </w:t>
      </w:r>
      <w:proofErr w:type="spellStart"/>
      <w:r w:rsidRPr="00BA3C8C">
        <w:rPr>
          <w:rFonts w:ascii="Times New Roman" w:hAnsi="Times New Roman" w:cs="Times New Roman"/>
          <w:color w:val="000000" w:themeColor="text1"/>
          <w:szCs w:val="21"/>
        </w:rPr>
        <w:t>chemotherapy;</w:t>
      </w:r>
      <w:r w:rsidRPr="00BA3C8C">
        <w:rPr>
          <w:rFonts w:ascii="Times New Roman" w:hAnsi="Times New Roman" w:cs="Times New Roman" w:hint="eastAsia"/>
          <w:color w:val="000000" w:themeColor="text1"/>
          <w:szCs w:val="21"/>
        </w:rPr>
        <w:t>Effect</w:t>
      </w:r>
      <w:proofErr w:type="spellEnd"/>
    </w:p>
    <w:p w:rsidR="00D3620B" w:rsidRPr="00BA3C8C" w:rsidRDefault="00BA3C8C">
      <w:pPr>
        <w:spacing w:line="276" w:lineRule="auto"/>
        <w:ind w:firstLineChars="200" w:firstLine="42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葡萄胎又被称为水泡</w:t>
      </w:r>
      <w:proofErr w:type="gramStart"/>
      <w:r w:rsidRPr="00BA3C8C">
        <w:rPr>
          <w:rFonts w:ascii="Times New Roman" w:hAnsi="Times New Roman" w:cs="Times New Roman"/>
          <w:color w:val="000000" w:themeColor="text1"/>
          <w:szCs w:val="21"/>
        </w:rPr>
        <w:t>状胎块</w:t>
      </w:r>
      <w:proofErr w:type="gramEnd"/>
      <w:r w:rsidRPr="00BA3C8C">
        <w:rPr>
          <w:rFonts w:ascii="Times New Roman" w:hAnsi="Times New Roman" w:cs="Times New Roman"/>
          <w:color w:val="000000" w:themeColor="text1"/>
          <w:szCs w:val="21"/>
        </w:rPr>
        <w:t>，是一种常见的妊娠滋养细胞疾病，一般属良性病变，可分为部分性葡萄胎和完全性葡萄胎两种类型</w:t>
      </w:r>
      <w:r w:rsidRPr="00BA3C8C">
        <w:rPr>
          <w:rFonts w:ascii="Times New Roman" w:hAnsi="Times New Roman" w:cs="Times New Roman"/>
          <w:color w:val="000000" w:themeColor="text1"/>
          <w:szCs w:val="21"/>
          <w:vertAlign w:val="superscript"/>
        </w:rPr>
        <w:t>[1]</w:t>
      </w:r>
      <w:r w:rsidRPr="00BA3C8C">
        <w:rPr>
          <w:rFonts w:ascii="Times New Roman" w:hAnsi="Times New Roman" w:cs="Times New Roman"/>
          <w:color w:val="000000" w:themeColor="text1"/>
          <w:szCs w:val="21"/>
        </w:rPr>
        <w:t>。多数葡萄胎属于良性病变，但约有</w:t>
      </w:r>
      <w:r w:rsidRPr="00BA3C8C">
        <w:rPr>
          <w:rFonts w:ascii="Times New Roman" w:hAnsi="Times New Roman" w:cs="Times New Roman"/>
          <w:color w:val="000000" w:themeColor="text1"/>
          <w:szCs w:val="21"/>
        </w:rPr>
        <w:t>10%~20%</w:t>
      </w:r>
      <w:r w:rsidRPr="00BA3C8C">
        <w:rPr>
          <w:rFonts w:ascii="Times New Roman" w:hAnsi="Times New Roman" w:cs="Times New Roman"/>
          <w:color w:val="000000" w:themeColor="text1"/>
          <w:szCs w:val="21"/>
        </w:rPr>
        <w:t>的葡萄胎存在恶变为妊娠滋养细胞肿瘤的可能，如绒毛膜癌、侵蚀性葡萄胎等恶性病变</w:t>
      </w:r>
      <w:r w:rsidRPr="00BA3C8C">
        <w:rPr>
          <w:rFonts w:ascii="Times New Roman" w:hAnsi="Times New Roman" w:cs="Times New Roman"/>
          <w:color w:val="000000" w:themeColor="text1"/>
          <w:szCs w:val="21"/>
          <w:vertAlign w:val="superscript"/>
        </w:rPr>
        <w:t>[2]</w:t>
      </w:r>
      <w:r w:rsidRPr="00BA3C8C">
        <w:rPr>
          <w:rFonts w:ascii="Times New Roman" w:hAnsi="Times New Roman" w:cs="Times New Roman"/>
          <w:color w:val="000000" w:themeColor="text1"/>
          <w:szCs w:val="21"/>
        </w:rPr>
        <w:t>。自</w:t>
      </w:r>
      <w:r w:rsidRPr="00BA3C8C">
        <w:rPr>
          <w:rFonts w:ascii="Times New Roman" w:hAnsi="Times New Roman" w:cs="Times New Roman"/>
          <w:color w:val="000000" w:themeColor="text1"/>
          <w:szCs w:val="21"/>
        </w:rPr>
        <w:t>1996</w:t>
      </w:r>
      <w:r w:rsidRPr="00BA3C8C">
        <w:rPr>
          <w:rFonts w:ascii="Times New Roman" w:hAnsi="Times New Roman" w:cs="Times New Roman"/>
          <w:color w:val="000000" w:themeColor="text1"/>
          <w:szCs w:val="21"/>
        </w:rPr>
        <w:t>年预防性化疗用于存在高危因素的葡萄胎患者以来，其被广泛应用，现已经成为预防葡萄胎恶变的重要措施之一</w:t>
      </w:r>
      <w:r w:rsidRPr="00BA3C8C">
        <w:rPr>
          <w:rFonts w:ascii="Times New Roman" w:hAnsi="Times New Roman" w:cs="Times New Roman"/>
          <w:color w:val="000000" w:themeColor="text1"/>
          <w:szCs w:val="21"/>
          <w:vertAlign w:val="superscript"/>
        </w:rPr>
        <w:t>[3]</w:t>
      </w:r>
      <w:r w:rsidRPr="00BA3C8C">
        <w:rPr>
          <w:rFonts w:ascii="Times New Roman" w:hAnsi="Times New Roman" w:cs="Times New Roman"/>
          <w:color w:val="000000" w:themeColor="text1"/>
          <w:szCs w:val="21"/>
        </w:rPr>
        <w:t>。然而，葡萄胎患者是否能从预防性化疗中获益还存在一定的争议，特别是对中老年妇女的预后改善是否存在益处还不得而知。本研究对</w:t>
      </w:r>
      <w:r w:rsidRPr="00BA3C8C">
        <w:rPr>
          <w:rFonts w:ascii="Times New Roman" w:hAnsi="Times New Roman" w:cs="Times New Roman"/>
          <w:color w:val="000000" w:themeColor="text1"/>
          <w:szCs w:val="21"/>
        </w:rPr>
        <w:t>2010</w:t>
      </w:r>
      <w:r w:rsidRPr="00BA3C8C">
        <w:rPr>
          <w:rFonts w:ascii="Times New Roman" w:hAnsi="Times New Roman" w:cs="Times New Roman"/>
          <w:color w:val="000000" w:themeColor="text1"/>
          <w:szCs w:val="21"/>
        </w:rPr>
        <w:t>年</w:t>
      </w:r>
      <w:r w:rsidRPr="00BA3C8C">
        <w:rPr>
          <w:rFonts w:ascii="Times New Roman" w:hAnsi="Times New Roman" w:cs="Times New Roman"/>
          <w:color w:val="000000" w:themeColor="text1"/>
          <w:szCs w:val="21"/>
        </w:rPr>
        <w:t>1</w:t>
      </w:r>
      <w:r w:rsidRPr="00BA3C8C">
        <w:rPr>
          <w:rFonts w:ascii="Times New Roman" w:hAnsi="Times New Roman" w:cs="Times New Roman"/>
          <w:color w:val="000000" w:themeColor="text1"/>
          <w:szCs w:val="21"/>
        </w:rPr>
        <w:t>月</w:t>
      </w:r>
      <w:r w:rsidRPr="00BA3C8C">
        <w:rPr>
          <w:rFonts w:ascii="Times New Roman" w:hAnsi="Times New Roman" w:cs="Times New Roman"/>
          <w:color w:val="000000" w:themeColor="text1"/>
          <w:szCs w:val="21"/>
        </w:rPr>
        <w:t>~2012</w:t>
      </w:r>
      <w:r w:rsidRPr="00BA3C8C">
        <w:rPr>
          <w:rFonts w:ascii="Times New Roman" w:hAnsi="Times New Roman" w:cs="Times New Roman"/>
          <w:color w:val="000000" w:themeColor="text1"/>
          <w:szCs w:val="21"/>
        </w:rPr>
        <w:t>年</w:t>
      </w:r>
      <w:r w:rsidRPr="00BA3C8C">
        <w:rPr>
          <w:rFonts w:ascii="Times New Roman" w:hAnsi="Times New Roman" w:cs="Times New Roman"/>
          <w:color w:val="000000" w:themeColor="text1"/>
          <w:szCs w:val="21"/>
        </w:rPr>
        <w:t>6</w:t>
      </w:r>
      <w:r w:rsidRPr="00BA3C8C">
        <w:rPr>
          <w:rFonts w:ascii="Times New Roman" w:hAnsi="Times New Roman" w:cs="Times New Roman"/>
          <w:color w:val="000000" w:themeColor="text1"/>
          <w:szCs w:val="21"/>
        </w:rPr>
        <w:t>月收治的</w:t>
      </w:r>
      <w:r w:rsidRPr="00BA3C8C">
        <w:rPr>
          <w:rFonts w:ascii="Times New Roman" w:hAnsi="Times New Roman" w:cs="Times New Roman"/>
          <w:color w:val="000000" w:themeColor="text1"/>
          <w:szCs w:val="21"/>
        </w:rPr>
        <w:t>62</w:t>
      </w:r>
      <w:r w:rsidRPr="00BA3C8C">
        <w:rPr>
          <w:rFonts w:ascii="Times New Roman" w:hAnsi="Times New Roman" w:cs="Times New Roman"/>
          <w:color w:val="000000" w:themeColor="text1"/>
          <w:szCs w:val="21"/>
        </w:rPr>
        <w:t>例葡萄胎患者临床资料进行回顾性分析，旨在</w:t>
      </w:r>
      <w:r w:rsidRPr="00BA3C8C">
        <w:rPr>
          <w:rFonts w:ascii="Times New Roman" w:hAnsi="Times New Roman" w:cs="Times New Roman" w:hint="eastAsia"/>
          <w:color w:val="000000" w:themeColor="text1"/>
          <w:szCs w:val="21"/>
        </w:rPr>
        <w:t>为预防</w:t>
      </w:r>
      <w:r w:rsidRPr="00BA3C8C">
        <w:rPr>
          <w:rFonts w:ascii="Times New Roman" w:hAnsi="Times New Roman" w:cs="Times New Roman"/>
          <w:color w:val="000000" w:themeColor="text1"/>
          <w:szCs w:val="21"/>
        </w:rPr>
        <w:t>葡萄胎恶变提供参考依据。</w:t>
      </w:r>
    </w:p>
    <w:p w:rsidR="00D3620B" w:rsidRPr="00BA3C8C" w:rsidRDefault="00BA3C8C">
      <w:pPr>
        <w:spacing w:line="276" w:lineRule="auto"/>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 xml:space="preserve">1. </w:t>
      </w:r>
      <w:r w:rsidRPr="00BA3C8C">
        <w:rPr>
          <w:rFonts w:ascii="Times New Roman" w:hAnsi="Times New Roman" w:cs="Times New Roman"/>
          <w:color w:val="000000" w:themeColor="text1"/>
          <w:szCs w:val="21"/>
        </w:rPr>
        <w:t>资料与方法</w:t>
      </w:r>
    </w:p>
    <w:p w:rsidR="00D3620B" w:rsidRPr="00BA3C8C" w:rsidRDefault="00BA3C8C">
      <w:pPr>
        <w:spacing w:line="276" w:lineRule="auto"/>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 xml:space="preserve">1.1 </w:t>
      </w:r>
      <w:r w:rsidRPr="00BA3C8C">
        <w:rPr>
          <w:rFonts w:ascii="Times New Roman" w:hAnsi="Times New Roman" w:cs="Times New Roman"/>
          <w:color w:val="000000" w:themeColor="text1"/>
          <w:szCs w:val="21"/>
        </w:rPr>
        <w:t>临床资料</w:t>
      </w:r>
    </w:p>
    <w:p w:rsidR="00D3620B" w:rsidRPr="00BA3C8C" w:rsidRDefault="00BA3C8C">
      <w:pPr>
        <w:spacing w:line="276" w:lineRule="auto"/>
        <w:ind w:firstLineChars="200" w:firstLine="42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选取我院</w:t>
      </w:r>
      <w:r w:rsidRPr="00BA3C8C">
        <w:rPr>
          <w:rFonts w:ascii="Times New Roman" w:hAnsi="Times New Roman" w:cs="Times New Roman"/>
          <w:color w:val="000000" w:themeColor="text1"/>
          <w:szCs w:val="21"/>
        </w:rPr>
        <w:t>2010</w:t>
      </w:r>
      <w:r w:rsidRPr="00BA3C8C">
        <w:rPr>
          <w:rFonts w:ascii="Times New Roman" w:hAnsi="Times New Roman" w:cs="Times New Roman"/>
          <w:color w:val="000000" w:themeColor="text1"/>
          <w:szCs w:val="21"/>
        </w:rPr>
        <w:t>年</w:t>
      </w:r>
      <w:r w:rsidRPr="00BA3C8C">
        <w:rPr>
          <w:rFonts w:ascii="Times New Roman" w:hAnsi="Times New Roman" w:cs="Times New Roman"/>
          <w:color w:val="000000" w:themeColor="text1"/>
          <w:szCs w:val="21"/>
        </w:rPr>
        <w:t>1</w:t>
      </w:r>
      <w:r w:rsidRPr="00BA3C8C">
        <w:rPr>
          <w:rFonts w:ascii="Times New Roman" w:hAnsi="Times New Roman" w:cs="Times New Roman"/>
          <w:color w:val="000000" w:themeColor="text1"/>
          <w:szCs w:val="21"/>
        </w:rPr>
        <w:t>月</w:t>
      </w:r>
      <w:r w:rsidRPr="00BA3C8C">
        <w:rPr>
          <w:rFonts w:ascii="Times New Roman" w:hAnsi="Times New Roman" w:cs="Times New Roman"/>
          <w:color w:val="000000" w:themeColor="text1"/>
          <w:szCs w:val="21"/>
        </w:rPr>
        <w:t>~2012</w:t>
      </w:r>
      <w:r w:rsidRPr="00BA3C8C">
        <w:rPr>
          <w:rFonts w:ascii="Times New Roman" w:hAnsi="Times New Roman" w:cs="Times New Roman"/>
          <w:color w:val="000000" w:themeColor="text1"/>
          <w:szCs w:val="21"/>
        </w:rPr>
        <w:t>年</w:t>
      </w:r>
      <w:r w:rsidRPr="00BA3C8C">
        <w:rPr>
          <w:rFonts w:ascii="Times New Roman" w:hAnsi="Times New Roman" w:cs="Times New Roman"/>
          <w:color w:val="000000" w:themeColor="text1"/>
          <w:szCs w:val="21"/>
        </w:rPr>
        <w:t>6</w:t>
      </w:r>
      <w:r w:rsidRPr="00BA3C8C">
        <w:rPr>
          <w:rFonts w:ascii="Times New Roman" w:hAnsi="Times New Roman" w:cs="Times New Roman"/>
          <w:color w:val="000000" w:themeColor="text1"/>
          <w:szCs w:val="21"/>
        </w:rPr>
        <w:t>月收治的</w:t>
      </w:r>
      <w:r w:rsidRPr="00BA3C8C">
        <w:rPr>
          <w:rFonts w:ascii="Times New Roman" w:hAnsi="Times New Roman" w:cs="Times New Roman"/>
          <w:color w:val="000000" w:themeColor="text1"/>
          <w:szCs w:val="21"/>
        </w:rPr>
        <w:t>62</w:t>
      </w:r>
      <w:r w:rsidRPr="00BA3C8C">
        <w:rPr>
          <w:rFonts w:ascii="Times New Roman" w:hAnsi="Times New Roman" w:cs="Times New Roman"/>
          <w:color w:val="000000" w:themeColor="text1"/>
          <w:szCs w:val="21"/>
        </w:rPr>
        <w:t>例葡萄胎患者为研究对象</w:t>
      </w:r>
      <w:r w:rsidRPr="00BA3C8C">
        <w:rPr>
          <w:rFonts w:ascii="Times New Roman" w:hAnsi="Times New Roman" w:cs="Times New Roman" w:hint="eastAsia"/>
          <w:color w:val="000000" w:themeColor="text1"/>
          <w:szCs w:val="21"/>
        </w:rPr>
        <w:t>，所有患者根据是否具有预防性化疗指</w:t>
      </w:r>
      <w:proofErr w:type="gramStart"/>
      <w:r w:rsidRPr="00BA3C8C">
        <w:rPr>
          <w:rFonts w:ascii="Times New Roman" w:hAnsi="Times New Roman" w:cs="Times New Roman" w:hint="eastAsia"/>
          <w:color w:val="000000" w:themeColor="text1"/>
          <w:szCs w:val="21"/>
        </w:rPr>
        <w:t>征分为</w:t>
      </w:r>
      <w:proofErr w:type="gramEnd"/>
      <w:r w:rsidRPr="00BA3C8C">
        <w:rPr>
          <w:rFonts w:ascii="Times New Roman" w:hAnsi="Times New Roman" w:cs="Times New Roman" w:hint="eastAsia"/>
          <w:color w:val="000000" w:themeColor="text1"/>
          <w:szCs w:val="21"/>
        </w:rPr>
        <w:t>对照组和观察组，预防性化疗指征如下：（</w:t>
      </w:r>
      <w:r w:rsidRPr="00BA3C8C">
        <w:rPr>
          <w:rFonts w:ascii="Times New Roman" w:hAnsi="Times New Roman" w:cs="Times New Roman" w:hint="eastAsia"/>
          <w:color w:val="000000" w:themeColor="text1"/>
          <w:szCs w:val="21"/>
        </w:rPr>
        <w:t>1</w:t>
      </w:r>
      <w:r w:rsidRPr="00BA3C8C">
        <w:rPr>
          <w:rFonts w:ascii="Times New Roman" w:hAnsi="Times New Roman" w:cs="Times New Roman" w:hint="eastAsia"/>
          <w:color w:val="000000" w:themeColor="text1"/>
          <w:szCs w:val="21"/>
        </w:rPr>
        <w:t>）血清β</w:t>
      </w:r>
      <w:r w:rsidRPr="00BA3C8C">
        <w:rPr>
          <w:rFonts w:ascii="Times New Roman" w:hAnsi="Times New Roman" w:cs="Times New Roman" w:hint="eastAsia"/>
          <w:color w:val="000000" w:themeColor="text1"/>
          <w:szCs w:val="21"/>
        </w:rPr>
        <w:t>-</w:t>
      </w:r>
      <w:proofErr w:type="spellStart"/>
      <w:r w:rsidRPr="00BA3C8C">
        <w:rPr>
          <w:rFonts w:ascii="Times New Roman" w:hAnsi="Times New Roman" w:cs="Times New Roman" w:hint="eastAsia"/>
          <w:color w:val="000000" w:themeColor="text1"/>
          <w:szCs w:val="21"/>
        </w:rPr>
        <w:t>hCG</w:t>
      </w:r>
      <w:proofErr w:type="spellEnd"/>
      <w:r w:rsidRPr="00BA3C8C">
        <w:rPr>
          <w:rFonts w:ascii="Times New Roman" w:hAnsi="Times New Roman" w:cs="Times New Roman" w:hint="eastAsia"/>
          <w:color w:val="000000" w:themeColor="text1"/>
          <w:szCs w:val="21"/>
        </w:rPr>
        <w:t>水平大于</w:t>
      </w:r>
      <w:r w:rsidRPr="00BA3C8C">
        <w:rPr>
          <w:rFonts w:ascii="Times New Roman" w:hAnsi="Times New Roman" w:cs="Times New Roman" w:hint="eastAsia"/>
          <w:color w:val="000000" w:themeColor="text1"/>
          <w:szCs w:val="21"/>
        </w:rPr>
        <w:t>10</w:t>
      </w:r>
      <w:r w:rsidRPr="00BA3C8C">
        <w:rPr>
          <w:rFonts w:ascii="Times New Roman" w:hAnsi="Times New Roman" w:cs="Times New Roman" w:hint="eastAsia"/>
          <w:color w:val="000000" w:themeColor="text1"/>
          <w:szCs w:val="21"/>
          <w:vertAlign w:val="superscript"/>
        </w:rPr>
        <w:t>5</w:t>
      </w:r>
      <w:r w:rsidRPr="00BA3C8C">
        <w:rPr>
          <w:rFonts w:ascii="Times New Roman" w:hAnsi="Times New Roman" w:cs="Times New Roman" w:hint="eastAsia"/>
          <w:color w:val="000000" w:themeColor="text1"/>
          <w:szCs w:val="21"/>
        </w:rPr>
        <w:t>u/L</w:t>
      </w:r>
      <w:r w:rsidRPr="00BA3C8C">
        <w:rPr>
          <w:rFonts w:ascii="Times New Roman" w:hAnsi="Times New Roman" w:cs="Times New Roman" w:hint="eastAsia"/>
          <w:color w:val="000000" w:themeColor="text1"/>
          <w:szCs w:val="21"/>
        </w:rPr>
        <w:t>；（</w:t>
      </w:r>
      <w:r w:rsidRPr="00BA3C8C">
        <w:rPr>
          <w:rFonts w:ascii="Times New Roman" w:hAnsi="Times New Roman" w:cs="Times New Roman" w:hint="eastAsia"/>
          <w:color w:val="000000" w:themeColor="text1"/>
          <w:szCs w:val="21"/>
        </w:rPr>
        <w:t>2</w:t>
      </w:r>
      <w:r w:rsidRPr="00BA3C8C">
        <w:rPr>
          <w:rFonts w:ascii="Times New Roman" w:hAnsi="Times New Roman" w:cs="Times New Roman" w:hint="eastAsia"/>
          <w:color w:val="000000" w:themeColor="text1"/>
          <w:szCs w:val="21"/>
        </w:rPr>
        <w:t>）年龄超过</w:t>
      </w:r>
      <w:r w:rsidRPr="00BA3C8C">
        <w:rPr>
          <w:rFonts w:ascii="Times New Roman" w:hAnsi="Times New Roman" w:cs="Times New Roman" w:hint="eastAsia"/>
          <w:color w:val="000000" w:themeColor="text1"/>
          <w:szCs w:val="21"/>
        </w:rPr>
        <w:t>40</w:t>
      </w:r>
      <w:r w:rsidRPr="00BA3C8C">
        <w:rPr>
          <w:rFonts w:ascii="Times New Roman" w:hAnsi="Times New Roman" w:cs="Times New Roman" w:hint="eastAsia"/>
          <w:color w:val="000000" w:themeColor="text1"/>
          <w:szCs w:val="21"/>
        </w:rPr>
        <w:t>岁；（</w:t>
      </w:r>
      <w:r w:rsidRPr="00BA3C8C">
        <w:rPr>
          <w:rFonts w:ascii="Times New Roman" w:hAnsi="Times New Roman" w:cs="Times New Roman" w:hint="eastAsia"/>
          <w:color w:val="000000" w:themeColor="text1"/>
          <w:szCs w:val="21"/>
        </w:rPr>
        <w:t>3</w:t>
      </w:r>
      <w:r w:rsidRPr="00BA3C8C">
        <w:rPr>
          <w:rFonts w:ascii="Times New Roman" w:hAnsi="Times New Roman" w:cs="Times New Roman" w:hint="eastAsia"/>
          <w:color w:val="000000" w:themeColor="text1"/>
          <w:szCs w:val="21"/>
        </w:rPr>
        <w:t>）子宫大小大于相应停经月份；（</w:t>
      </w:r>
      <w:r w:rsidRPr="00BA3C8C">
        <w:rPr>
          <w:rFonts w:ascii="Times New Roman" w:hAnsi="Times New Roman" w:cs="Times New Roman" w:hint="eastAsia"/>
          <w:color w:val="000000" w:themeColor="text1"/>
          <w:szCs w:val="21"/>
        </w:rPr>
        <w:t>4</w:t>
      </w:r>
      <w:r w:rsidRPr="00BA3C8C">
        <w:rPr>
          <w:rFonts w:ascii="Times New Roman" w:hAnsi="Times New Roman" w:cs="Times New Roman" w:hint="eastAsia"/>
          <w:color w:val="000000" w:themeColor="text1"/>
          <w:szCs w:val="21"/>
        </w:rPr>
        <w:t>）卵巢</w:t>
      </w:r>
      <w:proofErr w:type="gramStart"/>
      <w:r w:rsidRPr="00BA3C8C">
        <w:rPr>
          <w:rFonts w:ascii="Times New Roman" w:hAnsi="Times New Roman" w:cs="Times New Roman" w:hint="eastAsia"/>
          <w:color w:val="000000" w:themeColor="text1"/>
          <w:szCs w:val="21"/>
        </w:rPr>
        <w:t>黄素化囊肿</w:t>
      </w:r>
      <w:proofErr w:type="gramEnd"/>
      <w:r w:rsidRPr="00BA3C8C">
        <w:rPr>
          <w:rFonts w:ascii="Times New Roman" w:hAnsi="Times New Roman" w:cs="Times New Roman" w:hint="eastAsia"/>
          <w:color w:val="000000" w:themeColor="text1"/>
          <w:szCs w:val="21"/>
        </w:rPr>
        <w:t>大于</w:t>
      </w:r>
      <w:r w:rsidRPr="00BA3C8C">
        <w:rPr>
          <w:rFonts w:ascii="Times New Roman" w:hAnsi="Times New Roman" w:cs="Times New Roman" w:hint="eastAsia"/>
          <w:color w:val="000000" w:themeColor="text1"/>
          <w:szCs w:val="21"/>
        </w:rPr>
        <w:t>6cm</w:t>
      </w:r>
      <w:r w:rsidRPr="00BA3C8C">
        <w:rPr>
          <w:rFonts w:ascii="Times New Roman" w:hAnsi="Times New Roman" w:cs="Times New Roman" w:hint="eastAsia"/>
          <w:color w:val="000000" w:themeColor="text1"/>
          <w:szCs w:val="21"/>
        </w:rPr>
        <w:t>；（</w:t>
      </w:r>
      <w:r w:rsidRPr="00BA3C8C">
        <w:rPr>
          <w:rFonts w:ascii="Times New Roman" w:hAnsi="Times New Roman" w:cs="Times New Roman" w:hint="eastAsia"/>
          <w:color w:val="000000" w:themeColor="text1"/>
          <w:szCs w:val="21"/>
        </w:rPr>
        <w:t>5</w:t>
      </w:r>
      <w:r w:rsidRPr="00BA3C8C">
        <w:rPr>
          <w:rFonts w:ascii="Times New Roman" w:hAnsi="Times New Roman" w:cs="Times New Roman" w:hint="eastAsia"/>
          <w:color w:val="000000" w:themeColor="text1"/>
          <w:szCs w:val="21"/>
        </w:rPr>
        <w:t>）刮出的葡萄胎组织直径小于</w:t>
      </w:r>
      <w:r w:rsidRPr="00BA3C8C">
        <w:rPr>
          <w:rFonts w:ascii="Times New Roman" w:hAnsi="Times New Roman" w:cs="Times New Roman" w:hint="eastAsia"/>
          <w:color w:val="000000" w:themeColor="text1"/>
          <w:szCs w:val="21"/>
        </w:rPr>
        <w:t>0.2cm</w:t>
      </w:r>
      <w:r w:rsidRPr="00BA3C8C">
        <w:rPr>
          <w:rFonts w:ascii="Times New Roman" w:hAnsi="Times New Roman" w:cs="Times New Roman" w:hint="eastAsia"/>
          <w:color w:val="000000" w:themeColor="text1"/>
          <w:szCs w:val="21"/>
        </w:rPr>
        <w:t>；（</w:t>
      </w:r>
      <w:r w:rsidRPr="00BA3C8C">
        <w:rPr>
          <w:rFonts w:ascii="Times New Roman" w:hAnsi="Times New Roman" w:cs="Times New Roman" w:hint="eastAsia"/>
          <w:color w:val="000000" w:themeColor="text1"/>
          <w:szCs w:val="21"/>
        </w:rPr>
        <w:t>6</w:t>
      </w:r>
      <w:r w:rsidRPr="00BA3C8C">
        <w:rPr>
          <w:rFonts w:ascii="Times New Roman" w:hAnsi="Times New Roman" w:cs="Times New Roman" w:hint="eastAsia"/>
          <w:color w:val="000000" w:themeColor="text1"/>
          <w:szCs w:val="21"/>
        </w:rPr>
        <w:t>）葡萄胎反复；存在以上两项及两项以上的患者行预防性化疗。</w:t>
      </w:r>
      <w:r w:rsidRPr="00BA3C8C">
        <w:rPr>
          <w:rFonts w:ascii="Times New Roman" w:hAnsi="Times New Roman" w:cs="Times New Roman"/>
          <w:color w:val="000000" w:themeColor="text1"/>
          <w:szCs w:val="21"/>
        </w:rPr>
        <w:t>对照组</w:t>
      </w:r>
      <w:r w:rsidRPr="00BA3C8C">
        <w:rPr>
          <w:rFonts w:ascii="Times New Roman" w:hAnsi="Times New Roman" w:cs="Times New Roman" w:hint="eastAsia"/>
          <w:color w:val="000000" w:themeColor="text1"/>
          <w:szCs w:val="21"/>
        </w:rPr>
        <w:t>患者</w:t>
      </w:r>
      <w:r w:rsidRPr="00BA3C8C">
        <w:rPr>
          <w:rFonts w:ascii="Times New Roman" w:hAnsi="Times New Roman" w:cs="Times New Roman"/>
          <w:color w:val="000000" w:themeColor="text1"/>
          <w:szCs w:val="21"/>
        </w:rPr>
        <w:t>年龄</w:t>
      </w:r>
      <w:r w:rsidRPr="00BA3C8C">
        <w:rPr>
          <w:rFonts w:ascii="Times New Roman" w:hAnsi="Times New Roman" w:cs="Times New Roman"/>
          <w:color w:val="000000" w:themeColor="text1"/>
          <w:szCs w:val="21"/>
        </w:rPr>
        <w:t>41~76</w:t>
      </w:r>
      <w:r w:rsidRPr="00BA3C8C">
        <w:rPr>
          <w:rFonts w:ascii="Times New Roman" w:hAnsi="Times New Roman" w:cs="Times New Roman"/>
          <w:color w:val="000000" w:themeColor="text1"/>
          <w:szCs w:val="21"/>
        </w:rPr>
        <w:t>岁，平均（</w:t>
      </w:r>
      <w:r w:rsidRPr="00BA3C8C">
        <w:rPr>
          <w:rFonts w:ascii="Times New Roman" w:hAnsi="Times New Roman" w:cs="Times New Roman"/>
          <w:color w:val="000000" w:themeColor="text1"/>
          <w:szCs w:val="21"/>
        </w:rPr>
        <w:t>57.2±13.2</w:t>
      </w:r>
      <w:r w:rsidRPr="00BA3C8C">
        <w:rPr>
          <w:rFonts w:ascii="Times New Roman" w:hAnsi="Times New Roman" w:cs="Times New Roman"/>
          <w:color w:val="000000" w:themeColor="text1"/>
          <w:szCs w:val="21"/>
        </w:rPr>
        <w:t>）岁；子宫大小</w:t>
      </w:r>
      <w:r w:rsidRPr="00BA3C8C">
        <w:rPr>
          <w:rFonts w:ascii="Times New Roman" w:hAnsi="Times New Roman" w:cs="Times New Roman"/>
          <w:color w:val="000000" w:themeColor="text1"/>
          <w:szCs w:val="21"/>
        </w:rPr>
        <w:t>12</w:t>
      </w:r>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27cm</w:t>
      </w:r>
      <w:r w:rsidRPr="00BA3C8C">
        <w:rPr>
          <w:rFonts w:ascii="Times New Roman" w:hAnsi="Times New Roman" w:cs="Times New Roman"/>
          <w:color w:val="000000" w:themeColor="text1"/>
          <w:szCs w:val="21"/>
        </w:rPr>
        <w:t>，平均（</w:t>
      </w:r>
      <w:r w:rsidRPr="00BA3C8C">
        <w:rPr>
          <w:rFonts w:ascii="Times New Roman" w:hAnsi="Times New Roman" w:cs="Times New Roman"/>
          <w:color w:val="000000" w:themeColor="text1"/>
          <w:szCs w:val="21"/>
        </w:rPr>
        <w:t>21.2±5.3</w:t>
      </w:r>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cm</w:t>
      </w:r>
      <w:r w:rsidRPr="00BA3C8C">
        <w:rPr>
          <w:rFonts w:ascii="Times New Roman" w:hAnsi="Times New Roman" w:cs="Times New Roman"/>
          <w:color w:val="000000" w:themeColor="text1"/>
          <w:szCs w:val="21"/>
        </w:rPr>
        <w:t>；停经时间</w:t>
      </w:r>
      <w:r w:rsidRPr="00BA3C8C">
        <w:rPr>
          <w:rFonts w:ascii="Times New Roman" w:hAnsi="Times New Roman" w:cs="Times New Roman"/>
          <w:color w:val="000000" w:themeColor="text1"/>
          <w:szCs w:val="21"/>
        </w:rPr>
        <w:t>11</w:t>
      </w:r>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17</w:t>
      </w:r>
      <w:r w:rsidRPr="00BA3C8C">
        <w:rPr>
          <w:rFonts w:ascii="Times New Roman" w:hAnsi="Times New Roman" w:cs="Times New Roman"/>
          <w:color w:val="000000" w:themeColor="text1"/>
          <w:szCs w:val="21"/>
        </w:rPr>
        <w:t>周，平均（</w:t>
      </w:r>
      <w:r w:rsidRPr="00BA3C8C">
        <w:rPr>
          <w:rFonts w:ascii="Times New Roman" w:hAnsi="Times New Roman" w:cs="Times New Roman"/>
          <w:color w:val="000000" w:themeColor="text1"/>
          <w:szCs w:val="21"/>
        </w:rPr>
        <w:t>13.2±3.4</w:t>
      </w:r>
      <w:r w:rsidRPr="00BA3C8C">
        <w:rPr>
          <w:rFonts w:ascii="Times New Roman" w:hAnsi="Times New Roman" w:cs="Times New Roman"/>
          <w:color w:val="000000" w:themeColor="text1"/>
          <w:szCs w:val="21"/>
        </w:rPr>
        <w:t>）周</w:t>
      </w:r>
      <w:r w:rsidRPr="00BA3C8C">
        <w:rPr>
          <w:rFonts w:ascii="Times New Roman" w:hAnsi="Times New Roman" w:cs="Times New Roman" w:hint="eastAsia"/>
          <w:color w:val="000000" w:themeColor="text1"/>
          <w:szCs w:val="21"/>
        </w:rPr>
        <w:t>；观察组患者</w:t>
      </w:r>
      <w:r w:rsidRPr="00BA3C8C">
        <w:rPr>
          <w:rFonts w:ascii="Times New Roman" w:hAnsi="Times New Roman" w:cs="Times New Roman"/>
          <w:color w:val="000000" w:themeColor="text1"/>
          <w:szCs w:val="21"/>
        </w:rPr>
        <w:t>年龄</w:t>
      </w:r>
      <w:r w:rsidRPr="00BA3C8C">
        <w:rPr>
          <w:rFonts w:ascii="Times New Roman" w:hAnsi="Times New Roman" w:cs="Times New Roman"/>
          <w:color w:val="000000" w:themeColor="text1"/>
          <w:szCs w:val="21"/>
        </w:rPr>
        <w:t>43~74</w:t>
      </w:r>
      <w:r w:rsidRPr="00BA3C8C">
        <w:rPr>
          <w:rFonts w:ascii="Times New Roman" w:hAnsi="Times New Roman" w:cs="Times New Roman"/>
          <w:color w:val="000000" w:themeColor="text1"/>
          <w:szCs w:val="21"/>
        </w:rPr>
        <w:t>岁，平均（</w:t>
      </w:r>
      <w:r w:rsidRPr="00BA3C8C">
        <w:rPr>
          <w:rFonts w:ascii="Times New Roman" w:hAnsi="Times New Roman" w:cs="Times New Roman"/>
          <w:color w:val="000000" w:themeColor="text1"/>
          <w:szCs w:val="21"/>
        </w:rPr>
        <w:t>56.9±12.1</w:t>
      </w:r>
      <w:r w:rsidRPr="00BA3C8C">
        <w:rPr>
          <w:rFonts w:ascii="Times New Roman" w:hAnsi="Times New Roman" w:cs="Times New Roman"/>
          <w:color w:val="000000" w:themeColor="text1"/>
          <w:szCs w:val="21"/>
        </w:rPr>
        <w:t>）岁；子宫大小</w:t>
      </w:r>
      <w:r w:rsidRPr="00BA3C8C">
        <w:rPr>
          <w:rFonts w:ascii="Times New Roman" w:hAnsi="Times New Roman" w:cs="Times New Roman"/>
          <w:color w:val="000000" w:themeColor="text1"/>
          <w:szCs w:val="21"/>
        </w:rPr>
        <w:t>14</w:t>
      </w:r>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26cm</w:t>
      </w:r>
      <w:r w:rsidRPr="00BA3C8C">
        <w:rPr>
          <w:rFonts w:ascii="Times New Roman" w:hAnsi="Times New Roman" w:cs="Times New Roman"/>
          <w:color w:val="000000" w:themeColor="text1"/>
          <w:szCs w:val="21"/>
        </w:rPr>
        <w:t>，平均（</w:t>
      </w:r>
      <w:r w:rsidRPr="00BA3C8C">
        <w:rPr>
          <w:rFonts w:ascii="Times New Roman" w:hAnsi="Times New Roman" w:cs="Times New Roman"/>
          <w:color w:val="000000" w:themeColor="text1"/>
          <w:szCs w:val="21"/>
        </w:rPr>
        <w:t>20.9±5.1</w:t>
      </w:r>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cm</w:t>
      </w:r>
      <w:r w:rsidRPr="00BA3C8C">
        <w:rPr>
          <w:rFonts w:ascii="Times New Roman" w:hAnsi="Times New Roman" w:cs="Times New Roman"/>
          <w:color w:val="000000" w:themeColor="text1"/>
          <w:szCs w:val="21"/>
        </w:rPr>
        <w:t>；停经时间</w:t>
      </w:r>
      <w:r w:rsidRPr="00BA3C8C">
        <w:rPr>
          <w:rFonts w:ascii="Times New Roman" w:hAnsi="Times New Roman" w:cs="Times New Roman"/>
          <w:color w:val="000000" w:themeColor="text1"/>
          <w:szCs w:val="21"/>
        </w:rPr>
        <w:t>10</w:t>
      </w:r>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16</w:t>
      </w:r>
      <w:r w:rsidRPr="00BA3C8C">
        <w:rPr>
          <w:rFonts w:ascii="Times New Roman" w:hAnsi="Times New Roman" w:cs="Times New Roman"/>
          <w:color w:val="000000" w:themeColor="text1"/>
          <w:szCs w:val="21"/>
        </w:rPr>
        <w:t>周，平均（</w:t>
      </w:r>
      <w:r w:rsidRPr="00BA3C8C">
        <w:rPr>
          <w:rFonts w:ascii="Times New Roman" w:hAnsi="Times New Roman" w:cs="Times New Roman"/>
          <w:color w:val="000000" w:themeColor="text1"/>
          <w:szCs w:val="21"/>
        </w:rPr>
        <w:t>12.8±3.2</w:t>
      </w:r>
      <w:r w:rsidRPr="00BA3C8C">
        <w:rPr>
          <w:rFonts w:ascii="Times New Roman" w:hAnsi="Times New Roman" w:cs="Times New Roman"/>
          <w:color w:val="000000" w:themeColor="text1"/>
          <w:szCs w:val="21"/>
        </w:rPr>
        <w:t>）周。</w:t>
      </w:r>
      <w:bookmarkStart w:id="3" w:name="OLE_LINK200"/>
      <w:bookmarkStart w:id="4" w:name="_Hlk479748762"/>
      <w:bookmarkStart w:id="5" w:name="_Hlk479697342"/>
      <w:r w:rsidRPr="00BA3C8C">
        <w:rPr>
          <w:rFonts w:ascii="Times New Roman" w:hAnsi="Times New Roman" w:cs="Times New Roman"/>
          <w:color w:val="000000" w:themeColor="text1"/>
          <w:szCs w:val="21"/>
        </w:rPr>
        <w:t>两组患者</w:t>
      </w:r>
      <w:r w:rsidRPr="00BA3C8C">
        <w:rPr>
          <w:rFonts w:ascii="Times New Roman" w:hAnsi="Times New Roman" w:cs="Times New Roman" w:hint="eastAsia"/>
          <w:color w:val="000000" w:themeColor="text1"/>
          <w:szCs w:val="21"/>
        </w:rPr>
        <w:t>在年龄、子宫大小以及停经时间等方面</w:t>
      </w:r>
      <w:r w:rsidRPr="00BA3C8C">
        <w:rPr>
          <w:rFonts w:ascii="Times New Roman" w:hAnsi="Times New Roman" w:cs="Times New Roman"/>
          <w:color w:val="000000" w:themeColor="text1"/>
          <w:szCs w:val="21"/>
        </w:rPr>
        <w:t>比较差异无统计学意义（</w:t>
      </w:r>
      <w:r w:rsidRPr="00BA3C8C">
        <w:rPr>
          <w:rFonts w:ascii="Times New Roman" w:hAnsi="Times New Roman" w:cs="Times New Roman"/>
          <w:color w:val="000000" w:themeColor="text1"/>
          <w:szCs w:val="21"/>
        </w:rPr>
        <w:t>P&gt;0.05</w:t>
      </w:r>
      <w:r w:rsidRPr="00BA3C8C">
        <w:rPr>
          <w:rFonts w:ascii="Times New Roman" w:hAnsi="Times New Roman" w:cs="Times New Roman"/>
          <w:color w:val="000000" w:themeColor="text1"/>
          <w:szCs w:val="21"/>
        </w:rPr>
        <w:t>），具有可比性</w:t>
      </w:r>
      <w:bookmarkEnd w:id="3"/>
      <w:bookmarkEnd w:id="4"/>
      <w:r w:rsidRPr="00BA3C8C">
        <w:rPr>
          <w:rFonts w:ascii="Times New Roman" w:hAnsi="Times New Roman" w:cs="Times New Roman"/>
          <w:color w:val="000000" w:themeColor="text1"/>
          <w:szCs w:val="21"/>
        </w:rPr>
        <w:t>。</w:t>
      </w:r>
      <w:bookmarkEnd w:id="5"/>
      <w:r w:rsidRPr="00BA3C8C">
        <w:rPr>
          <w:rFonts w:ascii="Times New Roman" w:hAnsi="Times New Roman" w:cs="Times New Roman"/>
          <w:color w:val="000000" w:themeColor="text1"/>
          <w:szCs w:val="21"/>
        </w:rPr>
        <w:t>纳入标准：符合美国妇产科学会及国际妇产科联合会</w:t>
      </w:r>
      <w:r w:rsidRPr="00BA3C8C">
        <w:rPr>
          <w:rFonts w:ascii="Times New Roman" w:hAnsi="Times New Roman" w:cs="Times New Roman"/>
          <w:color w:val="000000" w:themeColor="text1"/>
          <w:szCs w:val="21"/>
        </w:rPr>
        <w:t>2009</w:t>
      </w:r>
      <w:r w:rsidRPr="00BA3C8C">
        <w:rPr>
          <w:rFonts w:ascii="Times New Roman" w:hAnsi="Times New Roman" w:cs="Times New Roman"/>
          <w:color w:val="000000" w:themeColor="text1"/>
          <w:szCs w:val="21"/>
        </w:rPr>
        <w:t>年制定的葡萄胎后妊娠滋养细胞肿瘤的诊断标准；年龄</w:t>
      </w:r>
      <w:r w:rsidRPr="00BA3C8C">
        <w:rPr>
          <w:rFonts w:ascii="Times New Roman" w:hAnsi="Times New Roman" w:cs="Times New Roman"/>
          <w:color w:val="000000" w:themeColor="text1"/>
          <w:szCs w:val="21"/>
        </w:rPr>
        <w:t>≥40</w:t>
      </w:r>
      <w:r w:rsidRPr="00BA3C8C">
        <w:rPr>
          <w:rFonts w:ascii="Times New Roman" w:hAnsi="Times New Roman" w:cs="Times New Roman"/>
          <w:color w:val="000000" w:themeColor="text1"/>
          <w:szCs w:val="21"/>
        </w:rPr>
        <w:t>岁。排除标准：葡萄胎残留、再次妊娠及卵巢</w:t>
      </w:r>
      <w:proofErr w:type="gramStart"/>
      <w:r w:rsidRPr="00BA3C8C">
        <w:rPr>
          <w:rFonts w:ascii="Times New Roman" w:hAnsi="Times New Roman" w:cs="Times New Roman"/>
          <w:color w:val="000000" w:themeColor="text1"/>
          <w:szCs w:val="21"/>
        </w:rPr>
        <w:t>黄素化囊肿</w:t>
      </w:r>
      <w:proofErr w:type="gramEnd"/>
      <w:r w:rsidRPr="00BA3C8C">
        <w:rPr>
          <w:rFonts w:ascii="Times New Roman" w:hAnsi="Times New Roman" w:cs="Times New Roman"/>
          <w:color w:val="000000" w:themeColor="text1"/>
          <w:szCs w:val="21"/>
        </w:rPr>
        <w:t>患者。</w:t>
      </w:r>
    </w:p>
    <w:p w:rsidR="00D3620B" w:rsidRPr="00BA3C8C" w:rsidRDefault="00BA3C8C">
      <w:pPr>
        <w:spacing w:line="276" w:lineRule="auto"/>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 xml:space="preserve">1.2 </w:t>
      </w:r>
      <w:r w:rsidRPr="00BA3C8C">
        <w:rPr>
          <w:rFonts w:ascii="Times New Roman" w:hAnsi="Times New Roman" w:cs="Times New Roman"/>
          <w:color w:val="000000" w:themeColor="text1"/>
          <w:szCs w:val="21"/>
        </w:rPr>
        <w:t>治疗方法</w:t>
      </w:r>
    </w:p>
    <w:p w:rsidR="00D3620B" w:rsidRPr="00BA3C8C" w:rsidRDefault="00BA3C8C">
      <w:pPr>
        <w:spacing w:line="276" w:lineRule="auto"/>
        <w:ind w:firstLineChars="200" w:firstLine="420"/>
        <w:rPr>
          <w:rFonts w:ascii="Times New Roman" w:hAnsi="Times New Roman" w:cs="Times New Roman"/>
          <w:color w:val="000000" w:themeColor="text1"/>
          <w:szCs w:val="21"/>
        </w:rPr>
      </w:pPr>
      <w:r w:rsidRPr="00BA3C8C">
        <w:rPr>
          <w:rFonts w:ascii="Times New Roman" w:hAnsi="Times New Roman" w:cs="Times New Roman" w:hint="eastAsia"/>
          <w:color w:val="000000" w:themeColor="text1"/>
          <w:szCs w:val="21"/>
        </w:rPr>
        <w:t>两组</w:t>
      </w:r>
      <w:r w:rsidRPr="00BA3C8C">
        <w:rPr>
          <w:rFonts w:ascii="Times New Roman" w:hAnsi="Times New Roman" w:cs="Times New Roman"/>
          <w:color w:val="000000" w:themeColor="text1"/>
          <w:szCs w:val="21"/>
        </w:rPr>
        <w:t>患者均在超声引导作用实施清宫术治疗</w:t>
      </w:r>
      <w:r w:rsidRPr="00BA3C8C">
        <w:rPr>
          <w:rFonts w:ascii="Times New Roman" w:hAnsi="Times New Roman" w:cs="Times New Roman" w:hint="eastAsia"/>
          <w:color w:val="000000" w:themeColor="text1"/>
          <w:szCs w:val="21"/>
        </w:rPr>
        <w:t>，手术前均进行</w:t>
      </w:r>
      <w:r w:rsidRPr="00BA3C8C">
        <w:rPr>
          <w:rFonts w:ascii="Times New Roman" w:hAnsi="Times New Roman" w:cs="Times New Roman"/>
          <w:color w:val="000000" w:themeColor="text1"/>
          <w:szCs w:val="21"/>
        </w:rPr>
        <w:t>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hint="eastAsia"/>
          <w:color w:val="000000" w:themeColor="text1"/>
          <w:szCs w:val="21"/>
        </w:rPr>
        <w:t>水平检测及盆腔超声检查；对照组患者仅接受清宫术治疗，观察</w:t>
      </w:r>
      <w:proofErr w:type="gramStart"/>
      <w:r w:rsidRPr="00BA3C8C">
        <w:rPr>
          <w:rFonts w:ascii="Times New Roman" w:hAnsi="Times New Roman" w:cs="Times New Roman" w:hint="eastAsia"/>
          <w:color w:val="000000" w:themeColor="text1"/>
          <w:szCs w:val="21"/>
        </w:rPr>
        <w:t>组</w:t>
      </w:r>
      <w:r w:rsidRPr="00BA3C8C">
        <w:rPr>
          <w:rFonts w:ascii="Times New Roman" w:hAnsi="Times New Roman" w:cs="Times New Roman"/>
          <w:color w:val="000000" w:themeColor="text1"/>
          <w:szCs w:val="21"/>
        </w:rPr>
        <w:t>在此</w:t>
      </w:r>
      <w:proofErr w:type="gramEnd"/>
      <w:r w:rsidRPr="00BA3C8C">
        <w:rPr>
          <w:rFonts w:ascii="Times New Roman" w:hAnsi="Times New Roman" w:cs="Times New Roman"/>
          <w:color w:val="000000" w:themeColor="text1"/>
          <w:szCs w:val="21"/>
        </w:rPr>
        <w:t>基础上</w:t>
      </w:r>
      <w:r w:rsidRPr="00BA3C8C">
        <w:rPr>
          <w:rFonts w:ascii="Times New Roman" w:hAnsi="Times New Roman" w:cs="Times New Roman" w:hint="eastAsia"/>
          <w:color w:val="000000" w:themeColor="text1"/>
          <w:szCs w:val="21"/>
        </w:rPr>
        <w:t>行预防性化疗，具体如下：患者接受清宫术前</w:t>
      </w:r>
      <w:r w:rsidRPr="00BA3C8C">
        <w:rPr>
          <w:rFonts w:ascii="Times New Roman" w:hAnsi="Times New Roman" w:cs="Times New Roman" w:hint="eastAsia"/>
          <w:color w:val="000000" w:themeColor="text1"/>
          <w:szCs w:val="21"/>
        </w:rPr>
        <w:t>3d</w:t>
      </w:r>
      <w:r w:rsidRPr="00BA3C8C">
        <w:rPr>
          <w:rFonts w:ascii="Times New Roman" w:hAnsi="Times New Roman" w:cs="Times New Roman" w:hint="eastAsia"/>
          <w:color w:val="000000" w:themeColor="text1"/>
          <w:szCs w:val="21"/>
        </w:rPr>
        <w:t>内进行预防性化疗，</w:t>
      </w:r>
      <w:r w:rsidRPr="00BA3C8C">
        <w:rPr>
          <w:rFonts w:ascii="Times New Roman" w:hAnsi="Times New Roman" w:cs="Times New Roman"/>
          <w:color w:val="000000" w:themeColor="text1"/>
          <w:szCs w:val="21"/>
        </w:rPr>
        <w:t>静脉滴注</w:t>
      </w:r>
      <w:r w:rsidRPr="00BA3C8C">
        <w:rPr>
          <w:rFonts w:ascii="Times New Roman" w:hAnsi="Times New Roman" w:cs="Times New Roman"/>
          <w:color w:val="000000" w:themeColor="text1"/>
          <w:szCs w:val="21"/>
        </w:rPr>
        <w:t>5-</w:t>
      </w:r>
      <w:r w:rsidRPr="00BA3C8C">
        <w:rPr>
          <w:rFonts w:ascii="Times New Roman" w:hAnsi="Times New Roman" w:cs="Times New Roman"/>
          <w:color w:val="000000" w:themeColor="text1"/>
          <w:szCs w:val="21"/>
        </w:rPr>
        <w:t>氟尿嘧啶</w:t>
      </w:r>
      <w:r w:rsidRPr="00BA3C8C">
        <w:rPr>
          <w:rFonts w:ascii="Times New Roman" w:hAnsi="Times New Roman" w:cs="Times New Roman" w:hint="eastAsia"/>
          <w:color w:val="000000" w:themeColor="text1"/>
          <w:szCs w:val="21"/>
        </w:rPr>
        <w:t>（上海旭东海普药液有限公司）</w:t>
      </w:r>
      <w:r w:rsidRPr="00BA3C8C">
        <w:rPr>
          <w:rFonts w:ascii="Times New Roman" w:hAnsi="Times New Roman" w:cs="Times New Roman"/>
          <w:color w:val="000000" w:themeColor="text1"/>
          <w:szCs w:val="21"/>
        </w:rPr>
        <w:t>28</w:t>
      </w:r>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30</w:t>
      </w:r>
      <w:r w:rsidRPr="00BA3C8C">
        <w:rPr>
          <w:rFonts w:ascii="Times New Roman" w:hAnsi="Times New Roman" w:cs="Times New Roman" w:hint="eastAsia"/>
          <w:color w:val="000000" w:themeColor="text1"/>
          <w:szCs w:val="21"/>
        </w:rPr>
        <w:t>mg</w:t>
      </w:r>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w:t>
      </w:r>
      <w:proofErr w:type="spellStart"/>
      <w:r w:rsidRPr="00BA3C8C">
        <w:rPr>
          <w:rFonts w:ascii="Times New Roman" w:hAnsi="Times New Roman" w:cs="Times New Roman"/>
          <w:color w:val="000000" w:themeColor="text1"/>
          <w:szCs w:val="21"/>
        </w:rPr>
        <w:t>kg·</w:t>
      </w:r>
      <w:r w:rsidRPr="00BA3C8C">
        <w:rPr>
          <w:rFonts w:ascii="Times New Roman" w:hAnsi="Times New Roman" w:cs="Times New Roman" w:hint="eastAsia"/>
          <w:color w:val="000000" w:themeColor="text1"/>
          <w:szCs w:val="21"/>
        </w:rPr>
        <w:t>d</w:t>
      </w:r>
      <w:proofErr w:type="spellEnd"/>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1</w:t>
      </w:r>
      <w:r w:rsidRPr="00BA3C8C">
        <w:rPr>
          <w:rFonts w:ascii="Times New Roman" w:hAnsi="Times New Roman" w:cs="Times New Roman"/>
          <w:color w:val="000000" w:themeColor="text1"/>
          <w:szCs w:val="21"/>
        </w:rPr>
        <w:t>个疗程为</w:t>
      </w:r>
      <w:r w:rsidRPr="00BA3C8C">
        <w:rPr>
          <w:rFonts w:ascii="Times New Roman" w:hAnsi="Times New Roman" w:cs="Times New Roman"/>
          <w:color w:val="000000" w:themeColor="text1"/>
          <w:szCs w:val="21"/>
        </w:rPr>
        <w:t>10</w:t>
      </w:r>
      <w:r w:rsidRPr="00BA3C8C">
        <w:rPr>
          <w:rFonts w:ascii="Times New Roman" w:hAnsi="Times New Roman" w:cs="Times New Roman" w:hint="eastAsia"/>
          <w:color w:val="000000" w:themeColor="text1"/>
          <w:szCs w:val="21"/>
        </w:rPr>
        <w:t>d</w:t>
      </w:r>
      <w:r w:rsidRPr="00BA3C8C">
        <w:rPr>
          <w:rFonts w:ascii="Times New Roman" w:hAnsi="Times New Roman" w:cs="Times New Roman"/>
          <w:color w:val="000000" w:themeColor="text1"/>
          <w:szCs w:val="21"/>
        </w:rPr>
        <w:t>，</w:t>
      </w:r>
      <w:r w:rsidRPr="00BA3C8C">
        <w:rPr>
          <w:rFonts w:ascii="Times New Roman" w:hAnsi="Times New Roman" w:cs="Times New Roman" w:hint="eastAsia"/>
          <w:color w:val="000000" w:themeColor="text1"/>
          <w:szCs w:val="21"/>
        </w:rPr>
        <w:t>若</w:t>
      </w:r>
      <w:r w:rsidRPr="00BA3C8C">
        <w:rPr>
          <w:rFonts w:ascii="Times New Roman" w:hAnsi="Times New Roman" w:cs="Times New Roman"/>
          <w:color w:val="000000" w:themeColor="text1"/>
          <w:szCs w:val="21"/>
        </w:rPr>
        <w:t>1</w:t>
      </w:r>
      <w:r w:rsidRPr="00BA3C8C">
        <w:rPr>
          <w:rFonts w:ascii="Times New Roman" w:hAnsi="Times New Roman" w:cs="Times New Roman"/>
          <w:color w:val="000000" w:themeColor="text1"/>
          <w:szCs w:val="21"/>
        </w:rPr>
        <w:t>个疗程后</w:t>
      </w:r>
      <w:r w:rsidRPr="00BA3C8C">
        <w:rPr>
          <w:rFonts w:ascii="Times New Roman" w:hAnsi="Times New Roman" w:cs="Times New Roman"/>
          <w:color w:val="000000" w:themeColor="text1"/>
          <w:szCs w:val="21"/>
        </w:rPr>
        <w:t>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仍未</w:t>
      </w:r>
      <w:r w:rsidRPr="00BA3C8C">
        <w:rPr>
          <w:rFonts w:ascii="Times New Roman" w:hAnsi="Times New Roman" w:cs="Times New Roman" w:hint="eastAsia"/>
          <w:color w:val="000000" w:themeColor="text1"/>
          <w:szCs w:val="21"/>
        </w:rPr>
        <w:t>下降或</w:t>
      </w:r>
      <w:r w:rsidRPr="00BA3C8C">
        <w:rPr>
          <w:rFonts w:ascii="Times New Roman" w:hAnsi="Times New Roman" w:cs="Times New Roman"/>
          <w:color w:val="000000" w:themeColor="text1"/>
          <w:szCs w:val="21"/>
        </w:rPr>
        <w:t>恢复正常</w:t>
      </w:r>
      <w:r w:rsidRPr="00BA3C8C">
        <w:rPr>
          <w:rFonts w:ascii="Times New Roman" w:hAnsi="Times New Roman" w:cs="Times New Roman" w:hint="eastAsia"/>
          <w:color w:val="000000" w:themeColor="text1"/>
          <w:szCs w:val="21"/>
        </w:rPr>
        <w:t>（</w:t>
      </w:r>
      <w:r w:rsidRPr="00BA3C8C">
        <w:rPr>
          <w:rFonts w:ascii="Times New Roman" w:hAnsi="Times New Roman" w:cs="Times New Roman"/>
          <w:color w:val="000000" w:themeColor="text1"/>
          <w:szCs w:val="21"/>
        </w:rPr>
        <w:t>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hint="eastAsia"/>
          <w:color w:val="000000" w:themeColor="text1"/>
          <w:szCs w:val="21"/>
        </w:rPr>
        <w:t>正常水平为小于</w:t>
      </w:r>
      <w:r w:rsidRPr="00BA3C8C">
        <w:rPr>
          <w:rFonts w:ascii="Times New Roman" w:hAnsi="Times New Roman" w:cs="Times New Roman" w:hint="eastAsia"/>
          <w:color w:val="000000" w:themeColor="text1"/>
          <w:szCs w:val="21"/>
        </w:rPr>
        <w:t>2u/L</w:t>
      </w:r>
      <w:r w:rsidRPr="00BA3C8C">
        <w:rPr>
          <w:rFonts w:ascii="Times New Roman" w:hAnsi="Times New Roman" w:cs="Times New Roman" w:hint="eastAsia"/>
          <w:color w:val="000000" w:themeColor="text1"/>
          <w:szCs w:val="21"/>
        </w:rPr>
        <w:t>）</w:t>
      </w:r>
      <w:r w:rsidRPr="00BA3C8C">
        <w:rPr>
          <w:rFonts w:ascii="Times New Roman" w:hAnsi="Times New Roman" w:cs="Times New Roman"/>
          <w:color w:val="000000" w:themeColor="text1"/>
          <w:szCs w:val="21"/>
        </w:rPr>
        <w:t>，</w:t>
      </w:r>
      <w:r w:rsidRPr="00BA3C8C">
        <w:rPr>
          <w:rFonts w:ascii="Times New Roman" w:hAnsi="Times New Roman" w:cs="Times New Roman" w:hint="eastAsia"/>
          <w:color w:val="000000" w:themeColor="text1"/>
          <w:szCs w:val="21"/>
        </w:rPr>
        <w:t>则再进行巩固性化疗及治疗性化疗。</w:t>
      </w:r>
    </w:p>
    <w:p w:rsidR="00D3620B" w:rsidRPr="00BA3C8C" w:rsidRDefault="00BA3C8C">
      <w:pPr>
        <w:spacing w:line="276" w:lineRule="auto"/>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 xml:space="preserve">1.3 </w:t>
      </w:r>
      <w:r w:rsidRPr="00BA3C8C">
        <w:rPr>
          <w:rFonts w:ascii="Times New Roman" w:hAnsi="Times New Roman" w:cs="Times New Roman"/>
          <w:color w:val="000000" w:themeColor="text1"/>
          <w:szCs w:val="21"/>
        </w:rPr>
        <w:t>观察指标</w:t>
      </w:r>
    </w:p>
    <w:p w:rsidR="00D3620B" w:rsidRPr="00BA3C8C" w:rsidRDefault="00BA3C8C">
      <w:pPr>
        <w:spacing w:line="276" w:lineRule="auto"/>
        <w:ind w:firstLineChars="200" w:firstLine="42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lastRenderedPageBreak/>
        <w:t>（</w:t>
      </w:r>
      <w:r w:rsidRPr="00BA3C8C">
        <w:rPr>
          <w:rFonts w:ascii="Times New Roman" w:hAnsi="Times New Roman" w:cs="Times New Roman"/>
          <w:color w:val="000000" w:themeColor="text1"/>
          <w:szCs w:val="21"/>
        </w:rPr>
        <w:t>1</w:t>
      </w:r>
      <w:r w:rsidRPr="00BA3C8C">
        <w:rPr>
          <w:rFonts w:ascii="Times New Roman" w:hAnsi="Times New Roman" w:cs="Times New Roman"/>
          <w:color w:val="000000" w:themeColor="text1"/>
          <w:szCs w:val="21"/>
        </w:rPr>
        <w:t>）临床疗效。每周定期检测</w:t>
      </w:r>
      <w:r w:rsidRPr="00BA3C8C">
        <w:rPr>
          <w:rFonts w:ascii="Times New Roman" w:hAnsi="Times New Roman" w:cs="Times New Roman"/>
          <w:color w:val="000000" w:themeColor="text1"/>
          <w:szCs w:val="21"/>
        </w:rPr>
        <w:t>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用于疗效评价，</w:t>
      </w:r>
      <w:r w:rsidRPr="00BA3C8C">
        <w:rPr>
          <w:rFonts w:ascii="Times New Roman" w:hAnsi="Times New Roman" w:cs="Times New Roman" w:hint="eastAsia"/>
          <w:color w:val="000000" w:themeColor="text1"/>
          <w:szCs w:val="21"/>
        </w:rPr>
        <w:t>持续检测</w:t>
      </w:r>
      <w:r w:rsidRPr="00BA3C8C">
        <w:rPr>
          <w:rFonts w:ascii="Times New Roman" w:hAnsi="Times New Roman" w:cs="Times New Roman" w:hint="eastAsia"/>
          <w:color w:val="000000" w:themeColor="text1"/>
          <w:szCs w:val="21"/>
        </w:rPr>
        <w:t>3</w:t>
      </w:r>
      <w:r w:rsidRPr="00BA3C8C">
        <w:rPr>
          <w:rFonts w:ascii="Times New Roman" w:hAnsi="Times New Roman" w:cs="Times New Roman" w:hint="eastAsia"/>
          <w:color w:val="000000" w:themeColor="text1"/>
          <w:szCs w:val="21"/>
        </w:rPr>
        <w:t>个月，</w:t>
      </w:r>
      <w:r w:rsidRPr="00BA3C8C">
        <w:rPr>
          <w:rFonts w:ascii="Times New Roman" w:hAnsi="Times New Roman" w:cs="Times New Roman"/>
          <w:color w:val="000000" w:themeColor="text1"/>
          <w:szCs w:val="21"/>
        </w:rPr>
        <w:t>分为完全缓解、部分缓解和无效三个等级。</w:t>
      </w:r>
      <w:r w:rsidRPr="00BA3C8C">
        <w:rPr>
          <w:rFonts w:ascii="Times New Roman" w:hAnsi="Times New Roman" w:cs="Times New Roman" w:hint="eastAsia"/>
          <w:color w:val="000000" w:themeColor="text1"/>
          <w:szCs w:val="21"/>
        </w:rPr>
        <w:t>完全缓解</w:t>
      </w:r>
      <w:r w:rsidRPr="00BA3C8C">
        <w:rPr>
          <w:rFonts w:ascii="Times New Roman" w:hAnsi="Times New Roman" w:cs="Times New Roman"/>
          <w:color w:val="000000" w:themeColor="text1"/>
          <w:szCs w:val="21"/>
        </w:rPr>
        <w:t>是指治疗后血清</w:t>
      </w:r>
      <w:r w:rsidRPr="00BA3C8C">
        <w:rPr>
          <w:rFonts w:ascii="Times New Roman" w:hAnsi="Times New Roman" w:cs="Times New Roman"/>
          <w:color w:val="000000" w:themeColor="text1"/>
          <w:szCs w:val="21"/>
        </w:rPr>
        <w:t>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水平降至正常水平，并至少持续</w:t>
      </w:r>
      <w:r w:rsidRPr="00BA3C8C">
        <w:rPr>
          <w:rFonts w:ascii="Times New Roman" w:hAnsi="Times New Roman" w:cs="Times New Roman"/>
          <w:color w:val="000000" w:themeColor="text1"/>
          <w:szCs w:val="21"/>
        </w:rPr>
        <w:t>4</w:t>
      </w:r>
      <w:r w:rsidRPr="00BA3C8C">
        <w:rPr>
          <w:rFonts w:ascii="Times New Roman" w:hAnsi="Times New Roman" w:cs="Times New Roman"/>
          <w:color w:val="000000" w:themeColor="text1"/>
          <w:szCs w:val="21"/>
        </w:rPr>
        <w:t>周；</w:t>
      </w:r>
      <w:r w:rsidRPr="00BA3C8C">
        <w:rPr>
          <w:rFonts w:ascii="Times New Roman" w:hAnsi="Times New Roman" w:cs="Times New Roman" w:hint="eastAsia"/>
          <w:color w:val="000000" w:themeColor="text1"/>
          <w:szCs w:val="21"/>
        </w:rPr>
        <w:t>部分缓解</w:t>
      </w:r>
      <w:r w:rsidRPr="00BA3C8C">
        <w:rPr>
          <w:rFonts w:ascii="Times New Roman" w:hAnsi="Times New Roman" w:cs="Times New Roman"/>
          <w:color w:val="000000" w:themeColor="text1"/>
          <w:szCs w:val="21"/>
        </w:rPr>
        <w:t>是指血清</w:t>
      </w:r>
      <w:r w:rsidRPr="00BA3C8C">
        <w:rPr>
          <w:rFonts w:ascii="Times New Roman" w:hAnsi="Times New Roman" w:cs="Times New Roman"/>
          <w:color w:val="000000" w:themeColor="text1"/>
          <w:szCs w:val="21"/>
        </w:rPr>
        <w:t>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水平下降</w:t>
      </w:r>
      <w:r w:rsidRPr="00BA3C8C">
        <w:rPr>
          <w:rFonts w:ascii="Times New Roman" w:hAnsi="Times New Roman" w:cs="Times New Roman"/>
          <w:color w:val="000000" w:themeColor="text1"/>
          <w:szCs w:val="21"/>
        </w:rPr>
        <w:t>&gt;</w:t>
      </w:r>
      <w:r w:rsidRPr="00BA3C8C">
        <w:rPr>
          <w:rFonts w:ascii="Times New Roman" w:hAnsi="Times New Roman" w:cs="Times New Roman"/>
          <w:color w:val="000000" w:themeColor="text1"/>
          <w:szCs w:val="21"/>
        </w:rPr>
        <w:t>超过</w:t>
      </w:r>
      <w:r w:rsidRPr="00BA3C8C">
        <w:rPr>
          <w:rFonts w:ascii="Times New Roman" w:hAnsi="Times New Roman" w:cs="Times New Roman"/>
          <w:color w:val="000000" w:themeColor="text1"/>
          <w:szCs w:val="21"/>
        </w:rPr>
        <w:t>50</w:t>
      </w:r>
      <w:r w:rsidRPr="00BA3C8C">
        <w:rPr>
          <w:rFonts w:ascii="Times New Roman" w:hAnsi="Times New Roman" w:cs="Times New Roman"/>
          <w:color w:val="000000" w:themeColor="text1"/>
          <w:szCs w:val="21"/>
        </w:rPr>
        <w:t>％，但未降至正常水平；</w:t>
      </w:r>
      <w:r w:rsidRPr="00BA3C8C">
        <w:rPr>
          <w:rFonts w:ascii="Times New Roman" w:hAnsi="Times New Roman" w:cs="Times New Roman" w:hint="eastAsia"/>
          <w:color w:val="000000" w:themeColor="text1"/>
          <w:szCs w:val="21"/>
        </w:rPr>
        <w:t>无效</w:t>
      </w:r>
      <w:r w:rsidRPr="00BA3C8C">
        <w:rPr>
          <w:rFonts w:ascii="Times New Roman" w:hAnsi="Times New Roman" w:cs="Times New Roman"/>
          <w:color w:val="000000" w:themeColor="text1"/>
          <w:szCs w:val="21"/>
        </w:rPr>
        <w:t>是指血清</w:t>
      </w:r>
      <w:r w:rsidRPr="00BA3C8C">
        <w:rPr>
          <w:rFonts w:ascii="Times New Roman" w:hAnsi="Times New Roman" w:cs="Times New Roman"/>
          <w:color w:val="000000" w:themeColor="text1"/>
          <w:szCs w:val="21"/>
        </w:rPr>
        <w:t>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水平未达以上标准。（</w:t>
      </w:r>
      <w:r w:rsidRPr="00BA3C8C">
        <w:rPr>
          <w:rFonts w:ascii="Times New Roman" w:hAnsi="Times New Roman" w:cs="Times New Roman"/>
          <w:color w:val="000000" w:themeColor="text1"/>
          <w:szCs w:val="21"/>
        </w:rPr>
        <w:t>2</w:t>
      </w:r>
      <w:r w:rsidRPr="00BA3C8C">
        <w:rPr>
          <w:rFonts w:ascii="Times New Roman" w:hAnsi="Times New Roman" w:cs="Times New Roman"/>
          <w:color w:val="000000" w:themeColor="text1"/>
          <w:szCs w:val="21"/>
        </w:rPr>
        <w:t>）随访。以化疗结束时间作为随访开始时间，以门诊或电话随访形式进行随访，随访截止日期为</w:t>
      </w:r>
      <w:r w:rsidRPr="00BA3C8C">
        <w:rPr>
          <w:rFonts w:ascii="Times New Roman" w:hAnsi="Times New Roman" w:cs="Times New Roman"/>
          <w:color w:val="000000" w:themeColor="text1"/>
          <w:szCs w:val="21"/>
        </w:rPr>
        <w:t>2017</w:t>
      </w:r>
      <w:r w:rsidRPr="00BA3C8C">
        <w:rPr>
          <w:rFonts w:ascii="Times New Roman" w:hAnsi="Times New Roman" w:cs="Times New Roman"/>
          <w:color w:val="000000" w:themeColor="text1"/>
          <w:szCs w:val="21"/>
        </w:rPr>
        <w:t>年</w:t>
      </w:r>
      <w:r w:rsidRPr="00BA3C8C">
        <w:rPr>
          <w:rFonts w:ascii="Times New Roman" w:hAnsi="Times New Roman" w:cs="Times New Roman"/>
          <w:color w:val="000000" w:themeColor="text1"/>
          <w:szCs w:val="21"/>
        </w:rPr>
        <w:t>7</w:t>
      </w:r>
      <w:r w:rsidRPr="00BA3C8C">
        <w:rPr>
          <w:rFonts w:ascii="Times New Roman" w:hAnsi="Times New Roman" w:cs="Times New Roman"/>
          <w:color w:val="000000" w:themeColor="text1"/>
          <w:szCs w:val="21"/>
        </w:rPr>
        <w:t>月</w:t>
      </w:r>
      <w:r w:rsidRPr="00BA3C8C">
        <w:rPr>
          <w:rFonts w:ascii="Times New Roman" w:hAnsi="Times New Roman" w:cs="Times New Roman"/>
          <w:color w:val="000000" w:themeColor="text1"/>
          <w:szCs w:val="21"/>
        </w:rPr>
        <w:t>31</w:t>
      </w:r>
      <w:r w:rsidRPr="00BA3C8C">
        <w:rPr>
          <w:rFonts w:ascii="Times New Roman" w:hAnsi="Times New Roman" w:cs="Times New Roman"/>
          <w:color w:val="000000" w:themeColor="text1"/>
          <w:szCs w:val="21"/>
        </w:rPr>
        <w:t>日。</w:t>
      </w:r>
      <w:r w:rsidRPr="00BA3C8C">
        <w:rPr>
          <w:rFonts w:ascii="Times New Roman" w:hAnsi="Times New Roman" w:cs="Times New Roman" w:hint="eastAsia"/>
          <w:color w:val="000000" w:themeColor="text1"/>
          <w:szCs w:val="21"/>
        </w:rPr>
        <w:t>随访主要内容为</w:t>
      </w:r>
      <w:r w:rsidRPr="00BA3C8C">
        <w:rPr>
          <w:rFonts w:ascii="Times New Roman" w:hAnsi="Times New Roman" w:cs="Times New Roman"/>
          <w:color w:val="000000" w:themeColor="text1"/>
          <w:szCs w:val="21"/>
        </w:rPr>
        <w:t>两组</w:t>
      </w:r>
      <w:r w:rsidRPr="00BA3C8C">
        <w:rPr>
          <w:rFonts w:ascii="Times New Roman" w:hAnsi="Times New Roman" w:cs="Times New Roman" w:hint="eastAsia"/>
          <w:color w:val="000000" w:themeColor="text1"/>
          <w:szCs w:val="21"/>
        </w:rPr>
        <w:t>患者出院后</w:t>
      </w:r>
      <w:r w:rsidRPr="00BA3C8C">
        <w:rPr>
          <w:rFonts w:ascii="Times New Roman" w:hAnsi="Times New Roman" w:cs="Times New Roman"/>
          <w:color w:val="000000" w:themeColor="text1"/>
          <w:szCs w:val="21"/>
        </w:rPr>
        <w:t>复发、转移、异常阴道流血和死亡情况。</w:t>
      </w:r>
    </w:p>
    <w:p w:rsidR="00D3620B" w:rsidRPr="00BA3C8C" w:rsidRDefault="00BA3C8C">
      <w:pPr>
        <w:spacing w:line="276" w:lineRule="auto"/>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 xml:space="preserve">1.4 </w:t>
      </w:r>
      <w:r w:rsidRPr="00BA3C8C">
        <w:rPr>
          <w:rFonts w:ascii="Times New Roman" w:hAnsi="Times New Roman" w:cs="Times New Roman"/>
          <w:color w:val="000000" w:themeColor="text1"/>
          <w:szCs w:val="21"/>
        </w:rPr>
        <w:t>统计分析</w:t>
      </w:r>
    </w:p>
    <w:p w:rsidR="00D3620B" w:rsidRPr="00BA3C8C" w:rsidRDefault="00BA3C8C">
      <w:pPr>
        <w:spacing w:line="276" w:lineRule="auto"/>
        <w:ind w:firstLineChars="200" w:firstLine="420"/>
        <w:rPr>
          <w:rFonts w:ascii="Times New Roman" w:hAnsi="Times New Roman" w:cs="Times New Roman"/>
          <w:color w:val="000000" w:themeColor="text1"/>
          <w:szCs w:val="21"/>
          <w:shd w:val="clear" w:color="auto" w:fill="FFFFFF"/>
        </w:rPr>
      </w:pPr>
      <w:bookmarkStart w:id="6" w:name="OLE_LINK67"/>
      <w:bookmarkStart w:id="7" w:name="OLE_LINK7"/>
      <w:bookmarkStart w:id="8" w:name="OLE_LINK68"/>
      <w:bookmarkStart w:id="9" w:name="OLE_LINK19"/>
      <w:bookmarkStart w:id="10" w:name="OLE_LINK33"/>
      <w:bookmarkStart w:id="11" w:name="OLE_LINK161"/>
      <w:bookmarkStart w:id="12" w:name="_Hlk479604439"/>
      <w:r w:rsidRPr="00BA3C8C">
        <w:rPr>
          <w:rFonts w:ascii="Times New Roman" w:hAnsi="Times New Roman" w:cs="Times New Roman" w:hint="eastAsia"/>
          <w:color w:val="000000" w:themeColor="text1"/>
          <w:szCs w:val="21"/>
          <w:shd w:val="clear" w:color="auto" w:fill="FFFFFF"/>
        </w:rPr>
        <w:t>采用</w:t>
      </w:r>
      <w:r w:rsidRPr="00BA3C8C">
        <w:rPr>
          <w:rFonts w:ascii="Times New Roman" w:hAnsi="Times New Roman" w:cs="Times New Roman" w:hint="eastAsia"/>
          <w:color w:val="000000" w:themeColor="text1"/>
          <w:szCs w:val="21"/>
          <w:shd w:val="clear" w:color="auto" w:fill="FFFFFF"/>
        </w:rPr>
        <w:t>SPSS 22.0</w:t>
      </w:r>
      <w:r w:rsidRPr="00BA3C8C">
        <w:rPr>
          <w:rFonts w:ascii="Times New Roman" w:hAnsi="Times New Roman" w:cs="Times New Roman" w:hint="eastAsia"/>
          <w:color w:val="000000" w:themeColor="text1"/>
          <w:szCs w:val="21"/>
          <w:shd w:val="clear" w:color="auto" w:fill="FFFFFF"/>
        </w:rPr>
        <w:t>对数据进行统计学分析</w:t>
      </w:r>
      <w:r w:rsidRPr="00BA3C8C">
        <w:rPr>
          <w:rFonts w:ascii="Times New Roman" w:hAnsi="Times New Roman" w:cs="Times New Roman"/>
          <w:color w:val="000000" w:themeColor="text1"/>
          <w:szCs w:val="21"/>
          <w:shd w:val="clear" w:color="auto" w:fill="FFFFFF"/>
        </w:rPr>
        <w:t>。</w:t>
      </w:r>
      <w:r w:rsidRPr="00BA3C8C">
        <w:rPr>
          <w:rFonts w:ascii="Times New Roman" w:hAnsi="Times New Roman" w:cs="Times New Roman" w:hint="eastAsia"/>
          <w:color w:val="000000" w:themeColor="text1"/>
          <w:szCs w:val="21"/>
          <w:shd w:val="clear" w:color="auto" w:fill="FFFFFF"/>
        </w:rPr>
        <w:t>计量资料以（</w:t>
      </w:r>
      <w:r w:rsidRPr="00BA3C8C">
        <w:rPr>
          <w:rFonts w:ascii="Times New Roman" w:hAnsi="Times New Roman" w:cs="Times New Roman" w:hint="eastAsia"/>
          <w:color w:val="000000" w:themeColor="text1"/>
          <w:szCs w:val="21"/>
          <w:shd w:val="clear" w:color="auto" w:fill="FFFFFF"/>
        </w:rPr>
        <w:sym w:font="Symbol" w:char="0060"/>
      </w:r>
      <w:r w:rsidRPr="00BA3C8C">
        <w:rPr>
          <w:rFonts w:ascii="Times New Roman" w:hAnsi="Times New Roman" w:cs="Times New Roman" w:hint="eastAsia"/>
          <w:color w:val="000000" w:themeColor="text1"/>
          <w:szCs w:val="21"/>
          <w:shd w:val="clear" w:color="auto" w:fill="FFFFFF"/>
        </w:rPr>
        <w:t>x</w:t>
      </w:r>
      <w:r w:rsidRPr="00BA3C8C">
        <w:rPr>
          <w:rFonts w:ascii="宋体" w:hAnsi="宋体" w:cs="宋体" w:hint="eastAsia"/>
          <w:color w:val="000000" w:themeColor="text1"/>
          <w:szCs w:val="21"/>
          <w:shd w:val="clear" w:color="auto" w:fill="FFFFFF"/>
        </w:rPr>
        <w:t>±</w:t>
      </w:r>
      <w:r w:rsidRPr="00BA3C8C">
        <w:rPr>
          <w:rFonts w:ascii="Times New Roman" w:hAnsi="Times New Roman" w:cs="Times New Roman" w:hint="eastAsia"/>
          <w:color w:val="000000" w:themeColor="text1"/>
          <w:szCs w:val="21"/>
          <w:shd w:val="clear" w:color="auto" w:fill="FFFFFF"/>
        </w:rPr>
        <w:t>s</w:t>
      </w:r>
      <w:r w:rsidRPr="00BA3C8C">
        <w:rPr>
          <w:rFonts w:ascii="Times New Roman" w:hAnsi="Times New Roman" w:cs="Times New Roman" w:hint="eastAsia"/>
          <w:color w:val="000000" w:themeColor="text1"/>
          <w:szCs w:val="21"/>
          <w:shd w:val="clear" w:color="auto" w:fill="FFFFFF"/>
        </w:rPr>
        <w:t>）表示，采用</w:t>
      </w:r>
      <w:r w:rsidRPr="00BA3C8C">
        <w:rPr>
          <w:rFonts w:ascii="Times New Roman" w:hAnsi="Times New Roman" w:cs="Times New Roman" w:hint="eastAsia"/>
          <w:color w:val="000000" w:themeColor="text1"/>
          <w:szCs w:val="21"/>
          <w:shd w:val="clear" w:color="auto" w:fill="FFFFFF"/>
        </w:rPr>
        <w:t>t</w:t>
      </w:r>
      <w:r w:rsidRPr="00BA3C8C">
        <w:rPr>
          <w:rFonts w:ascii="Times New Roman" w:hAnsi="Times New Roman" w:cs="Times New Roman" w:hint="eastAsia"/>
          <w:color w:val="000000" w:themeColor="text1"/>
          <w:szCs w:val="21"/>
          <w:shd w:val="clear" w:color="auto" w:fill="FFFFFF"/>
        </w:rPr>
        <w:t>进行检验；</w:t>
      </w:r>
      <w:r w:rsidRPr="00BA3C8C">
        <w:rPr>
          <w:rFonts w:ascii="Times New Roman" w:hAnsi="Times New Roman" w:cs="Times New Roman"/>
          <w:color w:val="000000" w:themeColor="text1"/>
          <w:szCs w:val="21"/>
          <w:shd w:val="clear" w:color="auto" w:fill="FFFFFF"/>
        </w:rPr>
        <w:t>计数资料</w:t>
      </w:r>
      <w:r w:rsidRPr="00BA3C8C">
        <w:rPr>
          <w:rFonts w:ascii="Times New Roman" w:hAnsi="Times New Roman" w:cs="Times New Roman" w:hint="eastAsia"/>
          <w:color w:val="000000" w:themeColor="text1"/>
          <w:szCs w:val="21"/>
          <w:shd w:val="clear" w:color="auto" w:fill="FFFFFF"/>
        </w:rPr>
        <w:t>以百分比表示，采用</w:t>
      </w:r>
      <w:r w:rsidRPr="00BA3C8C">
        <w:rPr>
          <w:rFonts w:ascii="Times New Roman" w:hAnsi="Times New Roman" w:cs="Times New Roman"/>
          <w:color w:val="000000" w:themeColor="text1"/>
          <w:szCs w:val="21"/>
          <w:shd w:val="clear" w:color="auto" w:fill="FFFFFF"/>
        </w:rPr>
        <w:t>χ</w:t>
      </w:r>
      <w:r w:rsidRPr="00BA3C8C">
        <w:rPr>
          <w:rFonts w:ascii="Times New Roman" w:hAnsi="Times New Roman" w:cs="Times New Roman"/>
          <w:color w:val="000000" w:themeColor="text1"/>
          <w:szCs w:val="21"/>
          <w:shd w:val="clear" w:color="auto" w:fill="FFFFFF"/>
          <w:vertAlign w:val="superscript"/>
        </w:rPr>
        <w:t>2</w:t>
      </w:r>
      <w:r w:rsidRPr="00BA3C8C">
        <w:rPr>
          <w:rFonts w:ascii="Times New Roman" w:hAnsi="Times New Roman" w:cs="Times New Roman" w:hint="eastAsia"/>
          <w:color w:val="000000" w:themeColor="text1"/>
          <w:szCs w:val="21"/>
          <w:shd w:val="clear" w:color="auto" w:fill="FFFFFF"/>
        </w:rPr>
        <w:t>进行</w:t>
      </w:r>
      <w:r w:rsidRPr="00BA3C8C">
        <w:rPr>
          <w:rFonts w:ascii="Times New Roman" w:hAnsi="Times New Roman" w:cs="Times New Roman"/>
          <w:color w:val="000000" w:themeColor="text1"/>
          <w:szCs w:val="21"/>
          <w:shd w:val="clear" w:color="auto" w:fill="FFFFFF"/>
        </w:rPr>
        <w:t>检验</w:t>
      </w:r>
      <w:r w:rsidRPr="00BA3C8C">
        <w:rPr>
          <w:rFonts w:ascii="Times New Roman" w:hAnsi="Times New Roman" w:cs="Times New Roman" w:hint="eastAsia"/>
          <w:color w:val="000000" w:themeColor="text1"/>
          <w:szCs w:val="21"/>
          <w:shd w:val="clear" w:color="auto" w:fill="FFFFFF"/>
        </w:rPr>
        <w:t>；</w:t>
      </w:r>
      <w:r w:rsidRPr="00BA3C8C">
        <w:rPr>
          <w:rFonts w:ascii="Times New Roman" w:hAnsi="Times New Roman" w:cs="Times New Roman"/>
          <w:color w:val="000000" w:themeColor="text1"/>
          <w:szCs w:val="21"/>
          <w:shd w:val="clear" w:color="auto" w:fill="FFFFFF"/>
        </w:rPr>
        <w:t>以</w:t>
      </w:r>
      <w:r w:rsidRPr="00BA3C8C">
        <w:rPr>
          <w:rFonts w:ascii="Times New Roman" w:hAnsi="Times New Roman" w:cs="Times New Roman"/>
          <w:color w:val="000000" w:themeColor="text1"/>
          <w:szCs w:val="21"/>
          <w:shd w:val="clear" w:color="auto" w:fill="FFFFFF"/>
        </w:rPr>
        <w:t>P&lt;0.05</w:t>
      </w:r>
      <w:r w:rsidRPr="00BA3C8C">
        <w:rPr>
          <w:rFonts w:ascii="Times New Roman" w:hAnsi="Times New Roman" w:cs="Times New Roman"/>
          <w:color w:val="000000" w:themeColor="text1"/>
          <w:szCs w:val="21"/>
          <w:shd w:val="clear" w:color="auto" w:fill="FFFFFF"/>
        </w:rPr>
        <w:t>为差异有统计学意义。</w:t>
      </w:r>
      <w:bookmarkEnd w:id="6"/>
      <w:bookmarkEnd w:id="7"/>
      <w:bookmarkEnd w:id="8"/>
      <w:bookmarkEnd w:id="9"/>
      <w:bookmarkEnd w:id="10"/>
    </w:p>
    <w:bookmarkEnd w:id="11"/>
    <w:bookmarkEnd w:id="12"/>
    <w:p w:rsidR="00D3620B" w:rsidRPr="00BA3C8C" w:rsidRDefault="00BA3C8C">
      <w:pPr>
        <w:spacing w:line="276" w:lineRule="auto"/>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 xml:space="preserve">2. </w:t>
      </w:r>
      <w:r w:rsidRPr="00BA3C8C">
        <w:rPr>
          <w:rFonts w:ascii="Times New Roman" w:hAnsi="Times New Roman" w:cs="Times New Roman"/>
          <w:color w:val="000000" w:themeColor="text1"/>
          <w:szCs w:val="21"/>
        </w:rPr>
        <w:t>结果</w:t>
      </w:r>
    </w:p>
    <w:p w:rsidR="00D3620B" w:rsidRPr="00BA3C8C" w:rsidRDefault="00BA3C8C">
      <w:pPr>
        <w:spacing w:line="276" w:lineRule="auto"/>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 xml:space="preserve">2.1 </w:t>
      </w:r>
      <w:r w:rsidRPr="00BA3C8C">
        <w:rPr>
          <w:rFonts w:ascii="Times New Roman" w:hAnsi="Times New Roman" w:cs="Times New Roman"/>
          <w:color w:val="000000" w:themeColor="text1"/>
          <w:szCs w:val="21"/>
        </w:rPr>
        <w:t>化疗疗程</w:t>
      </w:r>
    </w:p>
    <w:p w:rsidR="00D3620B" w:rsidRPr="00BA3C8C" w:rsidRDefault="00BA3C8C">
      <w:pPr>
        <w:spacing w:line="276" w:lineRule="auto"/>
        <w:ind w:firstLineChars="200" w:firstLine="42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两组</w:t>
      </w:r>
      <w:r w:rsidRPr="00BA3C8C">
        <w:rPr>
          <w:rFonts w:ascii="Times New Roman" w:hAnsi="Times New Roman" w:cs="Times New Roman"/>
          <w:color w:val="000000" w:themeColor="text1"/>
          <w:szCs w:val="21"/>
        </w:rPr>
        <w:t>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降至正常周数、巩固化疗疗程数和治疗性化疗疗程数比较差异均无统计学意义（</w:t>
      </w:r>
      <w:r w:rsidRPr="00BA3C8C">
        <w:rPr>
          <w:rFonts w:ascii="Times New Roman" w:hAnsi="Times New Roman" w:cs="Times New Roman"/>
          <w:color w:val="000000" w:themeColor="text1"/>
          <w:szCs w:val="21"/>
        </w:rPr>
        <w:t>P&gt;0.05</w:t>
      </w:r>
      <w:r w:rsidRPr="00BA3C8C">
        <w:rPr>
          <w:rFonts w:ascii="Times New Roman" w:hAnsi="Times New Roman" w:cs="Times New Roman"/>
          <w:color w:val="000000" w:themeColor="text1"/>
          <w:szCs w:val="21"/>
        </w:rPr>
        <w:t>），</w:t>
      </w:r>
      <w:r w:rsidRPr="00BA3C8C">
        <w:rPr>
          <w:rFonts w:ascii="Times New Roman" w:hAnsi="Times New Roman" w:cs="Times New Roman" w:hint="eastAsia"/>
          <w:color w:val="000000" w:themeColor="text1"/>
          <w:szCs w:val="21"/>
        </w:rPr>
        <w:t>观察组</w:t>
      </w:r>
      <w:r w:rsidRPr="00BA3C8C">
        <w:rPr>
          <w:rFonts w:ascii="Times New Roman" w:hAnsi="Times New Roman" w:cs="Times New Roman"/>
          <w:color w:val="000000" w:themeColor="text1"/>
          <w:szCs w:val="21"/>
        </w:rPr>
        <w:t>总化疗疗程</w:t>
      </w:r>
      <w:proofErr w:type="gramStart"/>
      <w:r w:rsidRPr="00BA3C8C">
        <w:rPr>
          <w:rFonts w:ascii="Times New Roman" w:hAnsi="Times New Roman" w:cs="Times New Roman"/>
          <w:color w:val="000000" w:themeColor="text1"/>
          <w:szCs w:val="21"/>
        </w:rPr>
        <w:t>数显著</w:t>
      </w:r>
      <w:proofErr w:type="gramEnd"/>
      <w:r w:rsidRPr="00BA3C8C">
        <w:rPr>
          <w:rFonts w:ascii="Times New Roman" w:hAnsi="Times New Roman" w:cs="Times New Roman"/>
          <w:color w:val="000000" w:themeColor="text1"/>
          <w:szCs w:val="21"/>
        </w:rPr>
        <w:t>高于对照组（</w:t>
      </w:r>
      <w:r w:rsidRPr="00BA3C8C">
        <w:rPr>
          <w:rFonts w:ascii="Times New Roman" w:hAnsi="Times New Roman" w:cs="Times New Roman"/>
          <w:color w:val="000000" w:themeColor="text1"/>
          <w:szCs w:val="21"/>
        </w:rPr>
        <w:t>P&lt;0.05</w:t>
      </w:r>
      <w:r w:rsidRPr="00BA3C8C">
        <w:rPr>
          <w:rFonts w:ascii="Times New Roman" w:hAnsi="Times New Roman" w:cs="Times New Roman"/>
          <w:color w:val="000000" w:themeColor="text1"/>
          <w:szCs w:val="21"/>
        </w:rPr>
        <w:t>）。见表</w:t>
      </w:r>
      <w:r w:rsidRPr="00BA3C8C">
        <w:rPr>
          <w:rFonts w:ascii="Times New Roman" w:hAnsi="Times New Roman" w:cs="Times New Roman"/>
          <w:color w:val="000000" w:themeColor="text1"/>
          <w:szCs w:val="21"/>
        </w:rPr>
        <w:t>1</w:t>
      </w:r>
      <w:r w:rsidRPr="00BA3C8C">
        <w:rPr>
          <w:rFonts w:ascii="Times New Roman" w:hAnsi="Times New Roman" w:cs="Times New Roman"/>
          <w:color w:val="000000" w:themeColor="text1"/>
          <w:szCs w:val="21"/>
        </w:rPr>
        <w:t>。</w:t>
      </w:r>
    </w:p>
    <w:p w:rsidR="00D3620B" w:rsidRPr="00BA3C8C" w:rsidRDefault="00D3620B">
      <w:pPr>
        <w:spacing w:line="276" w:lineRule="auto"/>
        <w:ind w:firstLineChars="200" w:firstLine="420"/>
        <w:rPr>
          <w:rFonts w:ascii="Times New Roman" w:hAnsi="Times New Roman" w:cs="Times New Roman"/>
          <w:color w:val="000000" w:themeColor="text1"/>
          <w:szCs w:val="21"/>
        </w:rPr>
      </w:pPr>
    </w:p>
    <w:p w:rsidR="00D3620B" w:rsidRPr="00BA3C8C" w:rsidRDefault="00BA3C8C">
      <w:pPr>
        <w:spacing w:line="276" w:lineRule="auto"/>
        <w:jc w:val="center"/>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表</w:t>
      </w:r>
      <w:r w:rsidRPr="00BA3C8C">
        <w:rPr>
          <w:rFonts w:ascii="Times New Roman" w:hAnsi="Times New Roman" w:cs="Times New Roman"/>
          <w:color w:val="000000" w:themeColor="text1"/>
          <w:szCs w:val="21"/>
        </w:rPr>
        <w:t xml:space="preserve">1 </w:t>
      </w:r>
      <w:r w:rsidRPr="00BA3C8C">
        <w:rPr>
          <w:rFonts w:ascii="Times New Roman" w:hAnsi="Times New Roman" w:cs="Times New Roman"/>
          <w:color w:val="000000" w:themeColor="text1"/>
          <w:szCs w:val="21"/>
        </w:rPr>
        <w:t>两组化疗疗程数的比较</w:t>
      </w:r>
      <w:r w:rsidRPr="00BA3C8C">
        <w:rPr>
          <w:rFonts w:ascii="Times New Roman" w:hAnsi="Times New Roman" w:cs="Times New Roman" w:hint="eastAsia"/>
          <w:color w:val="000000" w:themeColor="text1"/>
          <w:szCs w:val="21"/>
          <w:shd w:val="clear" w:color="auto" w:fill="FFFFFF"/>
        </w:rPr>
        <w:t>（</w:t>
      </w:r>
      <w:r w:rsidRPr="00BA3C8C">
        <w:rPr>
          <w:rFonts w:ascii="Times New Roman" w:hAnsi="Times New Roman" w:cs="Times New Roman" w:hint="eastAsia"/>
          <w:color w:val="000000" w:themeColor="text1"/>
          <w:szCs w:val="21"/>
          <w:shd w:val="clear" w:color="auto" w:fill="FFFFFF"/>
        </w:rPr>
        <w:sym w:font="Symbol" w:char="0060"/>
      </w:r>
      <w:r w:rsidRPr="00BA3C8C">
        <w:rPr>
          <w:rFonts w:ascii="Times New Roman" w:hAnsi="Times New Roman" w:cs="Times New Roman" w:hint="eastAsia"/>
          <w:color w:val="000000" w:themeColor="text1"/>
          <w:szCs w:val="21"/>
          <w:shd w:val="clear" w:color="auto" w:fill="FFFFFF"/>
        </w:rPr>
        <w:t>x</w:t>
      </w:r>
      <w:r w:rsidRPr="00BA3C8C">
        <w:rPr>
          <w:rFonts w:ascii="宋体" w:hAnsi="宋体" w:cs="宋体" w:hint="eastAsia"/>
          <w:color w:val="000000" w:themeColor="text1"/>
          <w:szCs w:val="21"/>
          <w:shd w:val="clear" w:color="auto" w:fill="FFFFFF"/>
        </w:rPr>
        <w:t>±</w:t>
      </w:r>
      <w:r w:rsidRPr="00BA3C8C">
        <w:rPr>
          <w:rFonts w:ascii="Times New Roman" w:hAnsi="Times New Roman" w:cs="Times New Roman" w:hint="eastAsia"/>
          <w:color w:val="000000" w:themeColor="text1"/>
          <w:szCs w:val="21"/>
          <w:shd w:val="clear" w:color="auto" w:fill="FFFFFF"/>
        </w:rPr>
        <w:t>s</w:t>
      </w:r>
      <w:r w:rsidRPr="00BA3C8C">
        <w:rPr>
          <w:rFonts w:ascii="Times New Roman" w:hAnsi="Times New Roman" w:cs="Times New Roman" w:hint="eastAsia"/>
          <w:color w:val="000000" w:themeColor="text1"/>
          <w:szCs w:val="21"/>
          <w:shd w:val="clear" w:color="auto" w:fill="FFFFFF"/>
        </w:rPr>
        <w:t>，周）</w:t>
      </w:r>
    </w:p>
    <w:tbl>
      <w:tblPr>
        <w:tblStyle w:val="ListTable6Colorful"/>
        <w:tblW w:w="8362" w:type="dxa"/>
        <w:tblInd w:w="-142" w:type="dxa"/>
        <w:tblLayout w:type="fixed"/>
        <w:tblLook w:val="04A0" w:firstRow="1" w:lastRow="0" w:firstColumn="1" w:lastColumn="0" w:noHBand="0" w:noVBand="1"/>
      </w:tblPr>
      <w:tblGrid>
        <w:gridCol w:w="1615"/>
        <w:gridCol w:w="636"/>
        <w:gridCol w:w="1683"/>
        <w:gridCol w:w="1476"/>
        <w:gridCol w:w="1686"/>
        <w:gridCol w:w="1266"/>
      </w:tblGrid>
      <w:tr w:rsidR="00D3620B" w:rsidRPr="00BA3C8C" w:rsidTr="00D36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D3620B" w:rsidRPr="00BA3C8C" w:rsidRDefault="00BA3C8C">
            <w:pPr>
              <w:spacing w:line="276" w:lineRule="auto"/>
              <w:rPr>
                <w:rFonts w:ascii="Times New Roman" w:hAnsi="Times New Roman" w:cs="Times New Roman"/>
                <w:b w:val="0"/>
                <w:bCs w:val="0"/>
                <w:szCs w:val="21"/>
              </w:rPr>
            </w:pPr>
            <w:r w:rsidRPr="00BA3C8C">
              <w:rPr>
                <w:rFonts w:ascii="Times New Roman" w:hAnsi="Times New Roman" w:cs="Times New Roman"/>
                <w:b w:val="0"/>
                <w:szCs w:val="21"/>
              </w:rPr>
              <w:t>组别</w:t>
            </w:r>
          </w:p>
        </w:tc>
        <w:tc>
          <w:tcPr>
            <w:tcW w:w="636" w:type="dxa"/>
            <w:shd w:val="clear" w:color="auto" w:fill="auto"/>
          </w:tcPr>
          <w:p w:rsidR="00D3620B" w:rsidRPr="00BA3C8C" w:rsidRDefault="00BA3C8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sidRPr="00BA3C8C">
              <w:rPr>
                <w:rFonts w:ascii="Times New Roman" w:hAnsi="Times New Roman" w:cs="Times New Roman"/>
                <w:b w:val="0"/>
                <w:szCs w:val="21"/>
              </w:rPr>
              <w:t>例数</w:t>
            </w:r>
          </w:p>
        </w:tc>
        <w:tc>
          <w:tcPr>
            <w:tcW w:w="1683" w:type="dxa"/>
            <w:shd w:val="clear" w:color="auto" w:fill="auto"/>
          </w:tcPr>
          <w:p w:rsidR="00D3620B" w:rsidRPr="00BA3C8C" w:rsidRDefault="00BA3C8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sidRPr="00BA3C8C">
              <w:rPr>
                <w:rFonts w:ascii="Times New Roman" w:hAnsi="Times New Roman" w:cs="Times New Roman"/>
                <w:b w:val="0"/>
                <w:szCs w:val="21"/>
              </w:rPr>
              <w:t>β-</w:t>
            </w:r>
            <w:proofErr w:type="spellStart"/>
            <w:r w:rsidRPr="00BA3C8C">
              <w:rPr>
                <w:rFonts w:ascii="Times New Roman" w:hAnsi="Times New Roman" w:cs="Times New Roman"/>
                <w:b w:val="0"/>
                <w:szCs w:val="21"/>
              </w:rPr>
              <w:t>hCG</w:t>
            </w:r>
            <w:proofErr w:type="spellEnd"/>
            <w:r w:rsidRPr="00BA3C8C">
              <w:rPr>
                <w:rFonts w:ascii="Times New Roman" w:hAnsi="Times New Roman" w:cs="Times New Roman"/>
                <w:b w:val="0"/>
                <w:szCs w:val="21"/>
              </w:rPr>
              <w:t>降至正常</w:t>
            </w:r>
            <w:r w:rsidRPr="00BA3C8C">
              <w:rPr>
                <w:rFonts w:ascii="Times New Roman" w:hAnsi="Times New Roman" w:cs="Times New Roman" w:hint="eastAsia"/>
                <w:b w:val="0"/>
                <w:szCs w:val="21"/>
              </w:rPr>
              <w:t>水平的时间</w:t>
            </w:r>
          </w:p>
        </w:tc>
        <w:tc>
          <w:tcPr>
            <w:tcW w:w="1476" w:type="dxa"/>
            <w:shd w:val="clear" w:color="auto" w:fill="auto"/>
          </w:tcPr>
          <w:p w:rsidR="00D3620B" w:rsidRPr="00BA3C8C" w:rsidRDefault="00BA3C8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sidRPr="00BA3C8C">
              <w:rPr>
                <w:rFonts w:ascii="Times New Roman" w:hAnsi="Times New Roman" w:cs="Times New Roman"/>
                <w:b w:val="0"/>
                <w:szCs w:val="21"/>
              </w:rPr>
              <w:t>巩固化疗疗程</w:t>
            </w:r>
          </w:p>
        </w:tc>
        <w:tc>
          <w:tcPr>
            <w:tcW w:w="1686" w:type="dxa"/>
            <w:shd w:val="clear" w:color="auto" w:fill="auto"/>
          </w:tcPr>
          <w:p w:rsidR="00D3620B" w:rsidRPr="00BA3C8C" w:rsidRDefault="00BA3C8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sidRPr="00BA3C8C">
              <w:rPr>
                <w:rFonts w:ascii="Times New Roman" w:hAnsi="Times New Roman" w:cs="Times New Roman"/>
                <w:b w:val="0"/>
                <w:szCs w:val="21"/>
              </w:rPr>
              <w:t>治疗性化疗疗程</w:t>
            </w:r>
          </w:p>
        </w:tc>
        <w:tc>
          <w:tcPr>
            <w:tcW w:w="1266" w:type="dxa"/>
            <w:shd w:val="clear" w:color="auto" w:fill="auto"/>
          </w:tcPr>
          <w:p w:rsidR="00D3620B" w:rsidRPr="00BA3C8C" w:rsidRDefault="00BA3C8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sidRPr="00BA3C8C">
              <w:rPr>
                <w:rFonts w:ascii="Times New Roman" w:hAnsi="Times New Roman" w:cs="Times New Roman"/>
                <w:b w:val="0"/>
                <w:szCs w:val="21"/>
              </w:rPr>
              <w:t>总化疗疗程</w:t>
            </w:r>
          </w:p>
        </w:tc>
      </w:tr>
      <w:tr w:rsidR="00D3620B" w:rsidRPr="00BA3C8C" w:rsidTr="00D3620B">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D3620B" w:rsidRPr="00BA3C8C" w:rsidRDefault="00BA3C8C">
            <w:pPr>
              <w:spacing w:line="276" w:lineRule="auto"/>
              <w:rPr>
                <w:rFonts w:ascii="Times New Roman" w:hAnsi="Times New Roman" w:cs="Times New Roman"/>
                <w:b w:val="0"/>
                <w:bCs w:val="0"/>
                <w:szCs w:val="21"/>
              </w:rPr>
            </w:pPr>
            <w:r w:rsidRPr="00BA3C8C">
              <w:rPr>
                <w:rFonts w:ascii="Times New Roman" w:hAnsi="Times New Roman" w:cs="Times New Roman" w:hint="eastAsia"/>
                <w:b w:val="0"/>
                <w:szCs w:val="21"/>
              </w:rPr>
              <w:t>观察组</w:t>
            </w:r>
          </w:p>
        </w:tc>
        <w:tc>
          <w:tcPr>
            <w:tcW w:w="63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16</w:t>
            </w:r>
          </w:p>
        </w:tc>
        <w:tc>
          <w:tcPr>
            <w:tcW w:w="1683"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1"/>
              </w:rPr>
            </w:pPr>
            <w:r w:rsidRPr="00BA3C8C">
              <w:rPr>
                <w:rFonts w:ascii="Times New Roman" w:hAnsi="Times New Roman" w:cs="Times New Roman"/>
                <w:bCs/>
                <w:szCs w:val="21"/>
              </w:rPr>
              <w:t>4</w:t>
            </w:r>
            <w:r w:rsidRPr="00BA3C8C">
              <w:rPr>
                <w:rFonts w:ascii="Times New Roman" w:hAnsi="Times New Roman" w:cs="Times New Roman" w:hint="eastAsia"/>
                <w:bCs/>
                <w:szCs w:val="21"/>
              </w:rPr>
              <w:t>±</w:t>
            </w:r>
            <w:r w:rsidRPr="00BA3C8C">
              <w:rPr>
                <w:rFonts w:ascii="Times New Roman" w:hAnsi="Times New Roman" w:cs="Times New Roman" w:hint="eastAsia"/>
                <w:bCs/>
                <w:szCs w:val="21"/>
              </w:rPr>
              <w:t>2</w:t>
            </w:r>
          </w:p>
        </w:tc>
        <w:tc>
          <w:tcPr>
            <w:tcW w:w="147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1"/>
              </w:rPr>
            </w:pPr>
            <w:r w:rsidRPr="00BA3C8C">
              <w:rPr>
                <w:rFonts w:ascii="Times New Roman" w:hAnsi="Times New Roman" w:cs="Times New Roman"/>
                <w:bCs/>
                <w:szCs w:val="21"/>
              </w:rPr>
              <w:t>2</w:t>
            </w:r>
            <w:r w:rsidRPr="00BA3C8C">
              <w:rPr>
                <w:rFonts w:ascii="Times New Roman" w:hAnsi="Times New Roman" w:cs="Times New Roman" w:hint="eastAsia"/>
                <w:bCs/>
                <w:szCs w:val="21"/>
              </w:rPr>
              <w:t>±</w:t>
            </w:r>
            <w:r w:rsidRPr="00BA3C8C">
              <w:rPr>
                <w:rFonts w:ascii="Times New Roman" w:hAnsi="Times New Roman" w:cs="Times New Roman" w:hint="eastAsia"/>
                <w:bCs/>
                <w:szCs w:val="21"/>
              </w:rPr>
              <w:t>2</w:t>
            </w:r>
          </w:p>
        </w:tc>
        <w:tc>
          <w:tcPr>
            <w:tcW w:w="168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1"/>
              </w:rPr>
            </w:pPr>
            <w:r w:rsidRPr="00BA3C8C">
              <w:rPr>
                <w:rFonts w:ascii="Times New Roman" w:hAnsi="Times New Roman" w:cs="Times New Roman"/>
                <w:bCs/>
                <w:szCs w:val="21"/>
              </w:rPr>
              <w:t>6</w:t>
            </w:r>
            <w:r w:rsidRPr="00BA3C8C">
              <w:rPr>
                <w:rFonts w:ascii="Times New Roman" w:hAnsi="Times New Roman" w:cs="Times New Roman" w:hint="eastAsia"/>
                <w:bCs/>
                <w:szCs w:val="21"/>
              </w:rPr>
              <w:t>±</w:t>
            </w:r>
            <w:r w:rsidRPr="00BA3C8C">
              <w:rPr>
                <w:rFonts w:ascii="Times New Roman" w:hAnsi="Times New Roman" w:cs="Times New Roman" w:hint="eastAsia"/>
                <w:bCs/>
                <w:szCs w:val="21"/>
              </w:rPr>
              <w:t>1</w:t>
            </w:r>
          </w:p>
        </w:tc>
        <w:tc>
          <w:tcPr>
            <w:tcW w:w="126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1"/>
              </w:rPr>
            </w:pPr>
            <w:r w:rsidRPr="00BA3C8C">
              <w:rPr>
                <w:rFonts w:ascii="Times New Roman" w:hAnsi="Times New Roman" w:cs="Times New Roman"/>
                <w:bCs/>
                <w:szCs w:val="21"/>
              </w:rPr>
              <w:t>10</w:t>
            </w:r>
            <w:r w:rsidRPr="00BA3C8C">
              <w:rPr>
                <w:rFonts w:ascii="Times New Roman" w:hAnsi="Times New Roman" w:cs="Times New Roman" w:hint="eastAsia"/>
                <w:bCs/>
                <w:szCs w:val="21"/>
              </w:rPr>
              <w:t>±</w:t>
            </w:r>
            <w:r w:rsidRPr="00BA3C8C">
              <w:rPr>
                <w:rFonts w:ascii="Times New Roman" w:hAnsi="Times New Roman" w:cs="Times New Roman" w:hint="eastAsia"/>
                <w:bCs/>
                <w:szCs w:val="21"/>
              </w:rPr>
              <w:t>3</w:t>
            </w:r>
          </w:p>
        </w:tc>
      </w:tr>
      <w:tr w:rsidR="00D3620B" w:rsidRPr="00BA3C8C" w:rsidTr="00D3620B">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D3620B" w:rsidRPr="00BA3C8C" w:rsidRDefault="00BA3C8C">
            <w:pPr>
              <w:spacing w:line="276" w:lineRule="auto"/>
              <w:rPr>
                <w:rFonts w:ascii="Times New Roman" w:hAnsi="Times New Roman" w:cs="Times New Roman"/>
                <w:b w:val="0"/>
                <w:bCs w:val="0"/>
                <w:szCs w:val="21"/>
              </w:rPr>
            </w:pPr>
            <w:r w:rsidRPr="00BA3C8C">
              <w:rPr>
                <w:rFonts w:ascii="Times New Roman" w:hAnsi="Times New Roman" w:cs="Times New Roman"/>
                <w:b w:val="0"/>
                <w:szCs w:val="21"/>
              </w:rPr>
              <w:t>对照组</w:t>
            </w:r>
          </w:p>
        </w:tc>
        <w:tc>
          <w:tcPr>
            <w:tcW w:w="63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46</w:t>
            </w:r>
          </w:p>
        </w:tc>
        <w:tc>
          <w:tcPr>
            <w:tcW w:w="1683"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1"/>
              </w:rPr>
            </w:pPr>
            <w:r w:rsidRPr="00BA3C8C">
              <w:rPr>
                <w:rFonts w:ascii="Times New Roman" w:hAnsi="Times New Roman" w:cs="Times New Roman"/>
                <w:bCs/>
                <w:szCs w:val="21"/>
              </w:rPr>
              <w:t>5</w:t>
            </w:r>
            <w:r w:rsidRPr="00BA3C8C">
              <w:rPr>
                <w:rFonts w:ascii="Times New Roman" w:hAnsi="Times New Roman" w:cs="Times New Roman" w:hint="eastAsia"/>
                <w:bCs/>
                <w:szCs w:val="21"/>
              </w:rPr>
              <w:t>±</w:t>
            </w:r>
            <w:r w:rsidRPr="00BA3C8C">
              <w:rPr>
                <w:rFonts w:ascii="Times New Roman" w:hAnsi="Times New Roman" w:cs="Times New Roman" w:hint="eastAsia"/>
                <w:bCs/>
                <w:szCs w:val="21"/>
              </w:rPr>
              <w:t>2</w:t>
            </w:r>
          </w:p>
        </w:tc>
        <w:tc>
          <w:tcPr>
            <w:tcW w:w="147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1"/>
              </w:rPr>
            </w:pPr>
            <w:r w:rsidRPr="00BA3C8C">
              <w:rPr>
                <w:rFonts w:ascii="Times New Roman" w:hAnsi="Times New Roman" w:cs="Times New Roman"/>
                <w:bCs/>
                <w:szCs w:val="21"/>
              </w:rPr>
              <w:t>2</w:t>
            </w:r>
            <w:r w:rsidRPr="00BA3C8C">
              <w:rPr>
                <w:rFonts w:ascii="Times New Roman" w:hAnsi="Times New Roman" w:cs="Times New Roman" w:hint="eastAsia"/>
                <w:bCs/>
                <w:szCs w:val="21"/>
              </w:rPr>
              <w:t>±</w:t>
            </w:r>
            <w:r w:rsidRPr="00BA3C8C">
              <w:rPr>
                <w:rFonts w:ascii="Times New Roman" w:hAnsi="Times New Roman" w:cs="Times New Roman" w:hint="eastAsia"/>
                <w:bCs/>
                <w:szCs w:val="21"/>
              </w:rPr>
              <w:t>3</w:t>
            </w:r>
          </w:p>
        </w:tc>
        <w:tc>
          <w:tcPr>
            <w:tcW w:w="168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1"/>
              </w:rPr>
            </w:pPr>
            <w:r w:rsidRPr="00BA3C8C">
              <w:rPr>
                <w:rFonts w:ascii="Times New Roman" w:hAnsi="Times New Roman" w:cs="Times New Roman"/>
                <w:bCs/>
                <w:szCs w:val="21"/>
              </w:rPr>
              <w:t>7</w:t>
            </w:r>
            <w:r w:rsidRPr="00BA3C8C">
              <w:rPr>
                <w:rFonts w:ascii="Times New Roman" w:hAnsi="Times New Roman" w:cs="Times New Roman" w:hint="eastAsia"/>
                <w:bCs/>
                <w:szCs w:val="21"/>
              </w:rPr>
              <w:t>±</w:t>
            </w:r>
            <w:r w:rsidRPr="00BA3C8C">
              <w:rPr>
                <w:rFonts w:ascii="Times New Roman" w:hAnsi="Times New Roman" w:cs="Times New Roman" w:hint="eastAsia"/>
                <w:bCs/>
                <w:szCs w:val="21"/>
              </w:rPr>
              <w:t>1</w:t>
            </w:r>
          </w:p>
        </w:tc>
        <w:tc>
          <w:tcPr>
            <w:tcW w:w="126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Cs w:val="21"/>
              </w:rPr>
            </w:pPr>
            <w:r w:rsidRPr="00BA3C8C">
              <w:rPr>
                <w:rFonts w:ascii="Times New Roman" w:hAnsi="Times New Roman" w:cs="Times New Roman" w:hint="eastAsia"/>
                <w:bCs/>
                <w:szCs w:val="21"/>
              </w:rPr>
              <w:t>9</w:t>
            </w:r>
            <w:r w:rsidRPr="00BA3C8C">
              <w:rPr>
                <w:rFonts w:ascii="Times New Roman" w:hAnsi="Times New Roman" w:cs="Times New Roman" w:hint="eastAsia"/>
                <w:bCs/>
                <w:szCs w:val="21"/>
              </w:rPr>
              <w:t>±</w:t>
            </w:r>
            <w:r w:rsidRPr="00BA3C8C">
              <w:rPr>
                <w:rFonts w:ascii="Times New Roman" w:hAnsi="Times New Roman" w:cs="Times New Roman" w:hint="eastAsia"/>
                <w:bCs/>
                <w:szCs w:val="21"/>
              </w:rPr>
              <w:t>2</w:t>
            </w:r>
          </w:p>
        </w:tc>
      </w:tr>
      <w:tr w:rsidR="00D3620B" w:rsidRPr="00BA3C8C" w:rsidTr="00D3620B">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D3620B" w:rsidRPr="00BA3C8C" w:rsidRDefault="00BA3C8C">
            <w:pPr>
              <w:spacing w:line="276" w:lineRule="auto"/>
              <w:rPr>
                <w:rFonts w:ascii="Times New Roman" w:hAnsi="Times New Roman" w:cs="Times New Roman"/>
                <w:b w:val="0"/>
                <w:bCs w:val="0"/>
                <w:szCs w:val="21"/>
              </w:rPr>
            </w:pPr>
            <w:r w:rsidRPr="00BA3C8C">
              <w:rPr>
                <w:rFonts w:ascii="Times New Roman" w:hAnsi="Times New Roman" w:cs="Times New Roman" w:hint="eastAsia"/>
                <w:b w:val="0"/>
                <w:szCs w:val="21"/>
              </w:rPr>
              <w:t>t</w:t>
            </w:r>
            <w:r w:rsidRPr="00BA3C8C">
              <w:rPr>
                <w:rFonts w:ascii="Times New Roman" w:hAnsi="Times New Roman" w:cs="Times New Roman"/>
                <w:b w:val="0"/>
                <w:szCs w:val="21"/>
              </w:rPr>
              <w:t>值</w:t>
            </w:r>
          </w:p>
        </w:tc>
        <w:tc>
          <w:tcPr>
            <w:tcW w:w="636" w:type="dxa"/>
            <w:shd w:val="clear" w:color="auto" w:fill="auto"/>
          </w:tcPr>
          <w:p w:rsidR="00D3620B" w:rsidRPr="00BA3C8C" w:rsidRDefault="00D362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1683"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0.416</w:t>
            </w:r>
          </w:p>
        </w:tc>
        <w:tc>
          <w:tcPr>
            <w:tcW w:w="147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0.252</w:t>
            </w:r>
          </w:p>
        </w:tc>
        <w:tc>
          <w:tcPr>
            <w:tcW w:w="168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0.573</w:t>
            </w:r>
          </w:p>
        </w:tc>
        <w:tc>
          <w:tcPr>
            <w:tcW w:w="126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4.311</w:t>
            </w:r>
          </w:p>
        </w:tc>
      </w:tr>
      <w:tr w:rsidR="00D3620B" w:rsidRPr="00BA3C8C" w:rsidTr="00D3620B">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D3620B" w:rsidRPr="00BA3C8C" w:rsidRDefault="00BA3C8C">
            <w:pPr>
              <w:spacing w:line="276" w:lineRule="auto"/>
              <w:rPr>
                <w:rFonts w:ascii="Times New Roman" w:hAnsi="Times New Roman" w:cs="Times New Roman"/>
                <w:b w:val="0"/>
                <w:bCs w:val="0"/>
                <w:szCs w:val="21"/>
              </w:rPr>
            </w:pPr>
            <w:r w:rsidRPr="00BA3C8C">
              <w:rPr>
                <w:rFonts w:ascii="Times New Roman" w:hAnsi="Times New Roman" w:cs="Times New Roman"/>
                <w:b w:val="0"/>
                <w:szCs w:val="21"/>
              </w:rPr>
              <w:t>P</w:t>
            </w:r>
            <w:r w:rsidRPr="00BA3C8C">
              <w:rPr>
                <w:rFonts w:ascii="Times New Roman" w:hAnsi="Times New Roman" w:cs="Times New Roman"/>
                <w:b w:val="0"/>
                <w:szCs w:val="21"/>
              </w:rPr>
              <w:t>值</w:t>
            </w:r>
          </w:p>
        </w:tc>
        <w:tc>
          <w:tcPr>
            <w:tcW w:w="636" w:type="dxa"/>
            <w:shd w:val="clear" w:color="auto" w:fill="auto"/>
          </w:tcPr>
          <w:p w:rsidR="00D3620B" w:rsidRPr="00BA3C8C" w:rsidRDefault="00D362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1683"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0.352</w:t>
            </w:r>
          </w:p>
        </w:tc>
        <w:tc>
          <w:tcPr>
            <w:tcW w:w="147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0.590</w:t>
            </w:r>
          </w:p>
        </w:tc>
        <w:tc>
          <w:tcPr>
            <w:tcW w:w="168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0.190</w:t>
            </w:r>
          </w:p>
        </w:tc>
        <w:tc>
          <w:tcPr>
            <w:tcW w:w="126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0.019</w:t>
            </w:r>
          </w:p>
        </w:tc>
      </w:tr>
    </w:tbl>
    <w:p w:rsidR="00D3620B" w:rsidRPr="00BA3C8C" w:rsidRDefault="00D3620B">
      <w:pPr>
        <w:spacing w:line="276" w:lineRule="auto"/>
        <w:rPr>
          <w:rFonts w:ascii="Times New Roman" w:hAnsi="Times New Roman" w:cs="Times New Roman"/>
          <w:color w:val="000000" w:themeColor="text1"/>
          <w:szCs w:val="21"/>
        </w:rPr>
      </w:pPr>
    </w:p>
    <w:p w:rsidR="00D3620B" w:rsidRPr="00BA3C8C" w:rsidRDefault="00BA3C8C">
      <w:pPr>
        <w:spacing w:line="276" w:lineRule="auto"/>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 xml:space="preserve">2.2 </w:t>
      </w:r>
      <w:r w:rsidRPr="00BA3C8C">
        <w:rPr>
          <w:rFonts w:ascii="Times New Roman" w:hAnsi="Times New Roman" w:cs="Times New Roman"/>
          <w:color w:val="000000" w:themeColor="text1"/>
          <w:szCs w:val="21"/>
        </w:rPr>
        <w:t>临床疗效</w:t>
      </w:r>
    </w:p>
    <w:p w:rsidR="00D3620B" w:rsidRPr="00BA3C8C" w:rsidRDefault="00BA3C8C">
      <w:pPr>
        <w:spacing w:line="276" w:lineRule="auto"/>
        <w:ind w:firstLineChars="200" w:firstLine="420"/>
        <w:rPr>
          <w:rFonts w:ascii="Times New Roman" w:hAnsi="Times New Roman" w:cs="Times New Roman"/>
          <w:color w:val="000000" w:themeColor="text1"/>
          <w:szCs w:val="21"/>
        </w:rPr>
      </w:pPr>
      <w:r w:rsidRPr="00BA3C8C">
        <w:rPr>
          <w:rFonts w:ascii="Times New Roman" w:hAnsi="Times New Roman" w:cs="Times New Roman" w:hint="eastAsia"/>
          <w:color w:val="000000" w:themeColor="text1"/>
          <w:szCs w:val="21"/>
        </w:rPr>
        <w:t>观察组</w:t>
      </w:r>
      <w:r w:rsidRPr="00BA3C8C">
        <w:rPr>
          <w:rFonts w:ascii="Times New Roman" w:hAnsi="Times New Roman" w:cs="Times New Roman"/>
          <w:color w:val="000000" w:themeColor="text1"/>
          <w:szCs w:val="21"/>
        </w:rPr>
        <w:t>和对照</w:t>
      </w:r>
      <w:proofErr w:type="gramStart"/>
      <w:r w:rsidRPr="00BA3C8C">
        <w:rPr>
          <w:rFonts w:ascii="Times New Roman" w:hAnsi="Times New Roman" w:cs="Times New Roman"/>
          <w:color w:val="000000" w:themeColor="text1"/>
          <w:szCs w:val="21"/>
        </w:rPr>
        <w:t>组</w:t>
      </w:r>
      <w:r w:rsidRPr="00BA3C8C">
        <w:rPr>
          <w:rFonts w:ascii="Times New Roman" w:hAnsi="Times New Roman" w:cs="Times New Roman" w:hint="eastAsia"/>
          <w:color w:val="000000" w:themeColor="text1"/>
          <w:szCs w:val="21"/>
        </w:rPr>
        <w:t>完全</w:t>
      </w:r>
      <w:proofErr w:type="gramEnd"/>
      <w:r w:rsidRPr="00BA3C8C">
        <w:rPr>
          <w:rFonts w:ascii="Times New Roman" w:hAnsi="Times New Roman" w:cs="Times New Roman" w:hint="eastAsia"/>
          <w:color w:val="000000" w:themeColor="text1"/>
          <w:szCs w:val="21"/>
        </w:rPr>
        <w:t>缓解</w:t>
      </w:r>
      <w:r w:rsidRPr="00BA3C8C">
        <w:rPr>
          <w:rFonts w:ascii="Times New Roman" w:hAnsi="Times New Roman" w:cs="Times New Roman"/>
          <w:color w:val="000000" w:themeColor="text1"/>
          <w:szCs w:val="21"/>
        </w:rPr>
        <w:t>率分别为</w:t>
      </w:r>
      <w:r w:rsidRPr="00BA3C8C">
        <w:rPr>
          <w:rFonts w:ascii="Times New Roman" w:hAnsi="Times New Roman" w:cs="Times New Roman"/>
          <w:color w:val="000000" w:themeColor="text1"/>
          <w:szCs w:val="21"/>
        </w:rPr>
        <w:t>93.75%</w:t>
      </w:r>
      <w:r w:rsidRPr="00BA3C8C">
        <w:rPr>
          <w:rFonts w:ascii="Times New Roman" w:hAnsi="Times New Roman" w:cs="Times New Roman"/>
          <w:color w:val="000000" w:themeColor="text1"/>
          <w:szCs w:val="21"/>
        </w:rPr>
        <w:t>和</w:t>
      </w:r>
      <w:r w:rsidRPr="00BA3C8C">
        <w:rPr>
          <w:rFonts w:ascii="Times New Roman" w:hAnsi="Times New Roman" w:cs="Times New Roman"/>
          <w:color w:val="000000" w:themeColor="text1"/>
          <w:szCs w:val="21"/>
        </w:rPr>
        <w:t>95.65%</w:t>
      </w:r>
      <w:r w:rsidRPr="00BA3C8C">
        <w:rPr>
          <w:rFonts w:ascii="Times New Roman" w:hAnsi="Times New Roman" w:cs="Times New Roman"/>
          <w:color w:val="000000" w:themeColor="text1"/>
          <w:szCs w:val="21"/>
        </w:rPr>
        <w:t>，两组临床疗效比较差异</w:t>
      </w:r>
      <w:bookmarkStart w:id="13" w:name="OLE_LINK2"/>
      <w:bookmarkStart w:id="14" w:name="OLE_LINK1"/>
      <w:r w:rsidRPr="00BA3C8C">
        <w:rPr>
          <w:rFonts w:ascii="Times New Roman" w:hAnsi="Times New Roman" w:cs="Times New Roman"/>
          <w:color w:val="000000" w:themeColor="text1"/>
          <w:szCs w:val="21"/>
        </w:rPr>
        <w:t>无统计学意义（</w:t>
      </w:r>
      <w:r w:rsidRPr="00BA3C8C">
        <w:rPr>
          <w:rFonts w:ascii="Times New Roman" w:hAnsi="Times New Roman" w:cs="Times New Roman"/>
          <w:color w:val="000000" w:themeColor="text1"/>
          <w:szCs w:val="21"/>
        </w:rPr>
        <w:t>P&gt;0.05</w:t>
      </w:r>
      <w:r w:rsidRPr="00BA3C8C">
        <w:rPr>
          <w:rFonts w:ascii="Times New Roman" w:hAnsi="Times New Roman" w:cs="Times New Roman"/>
          <w:color w:val="000000" w:themeColor="text1"/>
          <w:szCs w:val="21"/>
        </w:rPr>
        <w:t>）。</w:t>
      </w:r>
      <w:bookmarkEnd w:id="13"/>
      <w:bookmarkEnd w:id="14"/>
      <w:r w:rsidRPr="00BA3C8C">
        <w:rPr>
          <w:rFonts w:ascii="Times New Roman" w:hAnsi="Times New Roman" w:cs="Times New Roman"/>
          <w:color w:val="000000" w:themeColor="text1"/>
          <w:szCs w:val="21"/>
        </w:rPr>
        <w:t>见表</w:t>
      </w:r>
      <w:r w:rsidRPr="00BA3C8C">
        <w:rPr>
          <w:rFonts w:ascii="Times New Roman" w:hAnsi="Times New Roman" w:cs="Times New Roman"/>
          <w:color w:val="000000" w:themeColor="text1"/>
          <w:szCs w:val="21"/>
        </w:rPr>
        <w:t>2</w:t>
      </w:r>
      <w:r w:rsidRPr="00BA3C8C">
        <w:rPr>
          <w:rFonts w:ascii="Times New Roman" w:hAnsi="Times New Roman" w:cs="Times New Roman"/>
          <w:color w:val="000000" w:themeColor="text1"/>
          <w:szCs w:val="21"/>
        </w:rPr>
        <w:t>。</w:t>
      </w:r>
    </w:p>
    <w:p w:rsidR="00D3620B" w:rsidRPr="00BA3C8C" w:rsidRDefault="00BA3C8C">
      <w:pPr>
        <w:spacing w:line="276" w:lineRule="auto"/>
        <w:jc w:val="center"/>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表</w:t>
      </w:r>
      <w:r w:rsidRPr="00BA3C8C">
        <w:rPr>
          <w:rFonts w:ascii="Times New Roman" w:hAnsi="Times New Roman" w:cs="Times New Roman"/>
          <w:color w:val="000000" w:themeColor="text1"/>
          <w:szCs w:val="21"/>
        </w:rPr>
        <w:t xml:space="preserve">2 </w:t>
      </w:r>
      <w:r w:rsidRPr="00BA3C8C">
        <w:rPr>
          <w:rFonts w:ascii="Times New Roman" w:hAnsi="Times New Roman" w:cs="Times New Roman"/>
          <w:color w:val="000000" w:themeColor="text1"/>
          <w:szCs w:val="21"/>
        </w:rPr>
        <w:t>两组临床疗效比较（</w:t>
      </w:r>
      <w:r w:rsidRPr="00BA3C8C">
        <w:rPr>
          <w:rFonts w:ascii="Times New Roman" w:hAnsi="Times New Roman" w:cs="Times New Roman"/>
          <w:color w:val="000000" w:themeColor="text1"/>
          <w:szCs w:val="21"/>
        </w:rPr>
        <w:t>n,%</w:t>
      </w:r>
      <w:r w:rsidRPr="00BA3C8C">
        <w:rPr>
          <w:rFonts w:ascii="Times New Roman" w:hAnsi="Times New Roman" w:cs="Times New Roman"/>
          <w:color w:val="000000" w:themeColor="text1"/>
          <w:szCs w:val="21"/>
        </w:rPr>
        <w:t>）</w:t>
      </w:r>
    </w:p>
    <w:tbl>
      <w:tblPr>
        <w:tblStyle w:val="ListTable6Colorful"/>
        <w:tblW w:w="5788" w:type="dxa"/>
        <w:jc w:val="center"/>
        <w:tblLayout w:type="fixed"/>
        <w:tblLook w:val="04A0" w:firstRow="1" w:lastRow="0" w:firstColumn="1" w:lastColumn="0" w:noHBand="0" w:noVBand="1"/>
      </w:tblPr>
      <w:tblGrid>
        <w:gridCol w:w="1615"/>
        <w:gridCol w:w="636"/>
        <w:gridCol w:w="1319"/>
        <w:gridCol w:w="1109"/>
        <w:gridCol w:w="1109"/>
      </w:tblGrid>
      <w:tr w:rsidR="00D3620B" w:rsidRPr="00BA3C8C" w:rsidTr="00D362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D3620B" w:rsidRPr="00BA3C8C" w:rsidRDefault="00BA3C8C">
            <w:pPr>
              <w:spacing w:line="276" w:lineRule="auto"/>
              <w:rPr>
                <w:rFonts w:ascii="Times New Roman" w:hAnsi="Times New Roman" w:cs="Times New Roman"/>
                <w:b w:val="0"/>
                <w:bCs w:val="0"/>
                <w:szCs w:val="21"/>
              </w:rPr>
            </w:pPr>
            <w:r w:rsidRPr="00BA3C8C">
              <w:rPr>
                <w:rFonts w:ascii="Times New Roman" w:hAnsi="Times New Roman" w:cs="Times New Roman"/>
                <w:b w:val="0"/>
                <w:szCs w:val="21"/>
              </w:rPr>
              <w:t>组别</w:t>
            </w:r>
          </w:p>
        </w:tc>
        <w:tc>
          <w:tcPr>
            <w:tcW w:w="636" w:type="dxa"/>
            <w:shd w:val="clear" w:color="auto" w:fill="auto"/>
          </w:tcPr>
          <w:p w:rsidR="00D3620B" w:rsidRPr="00BA3C8C" w:rsidRDefault="00BA3C8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sidRPr="00BA3C8C">
              <w:rPr>
                <w:rFonts w:ascii="Times New Roman" w:hAnsi="Times New Roman" w:cs="Times New Roman"/>
                <w:b w:val="0"/>
                <w:szCs w:val="21"/>
              </w:rPr>
              <w:t>例数</w:t>
            </w:r>
          </w:p>
        </w:tc>
        <w:tc>
          <w:tcPr>
            <w:tcW w:w="1319" w:type="dxa"/>
            <w:shd w:val="clear" w:color="auto" w:fill="auto"/>
          </w:tcPr>
          <w:p w:rsidR="00D3620B" w:rsidRPr="00BA3C8C" w:rsidRDefault="00BA3C8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sidRPr="00BA3C8C">
              <w:rPr>
                <w:rFonts w:ascii="Times New Roman" w:hAnsi="Times New Roman" w:cs="Times New Roman" w:hint="eastAsia"/>
                <w:b w:val="0"/>
                <w:bCs w:val="0"/>
                <w:szCs w:val="21"/>
              </w:rPr>
              <w:t>完全缓解</w:t>
            </w:r>
          </w:p>
        </w:tc>
        <w:tc>
          <w:tcPr>
            <w:tcW w:w="1109" w:type="dxa"/>
            <w:shd w:val="clear" w:color="auto" w:fill="auto"/>
          </w:tcPr>
          <w:p w:rsidR="00D3620B" w:rsidRPr="00BA3C8C" w:rsidRDefault="00BA3C8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hint="eastAsia"/>
                <w:b w:val="0"/>
                <w:bCs w:val="0"/>
                <w:szCs w:val="21"/>
              </w:rPr>
              <w:t>部分缓解</w:t>
            </w:r>
          </w:p>
        </w:tc>
        <w:tc>
          <w:tcPr>
            <w:tcW w:w="1109" w:type="dxa"/>
            <w:shd w:val="clear" w:color="auto" w:fill="auto"/>
          </w:tcPr>
          <w:p w:rsidR="00D3620B" w:rsidRPr="00BA3C8C" w:rsidRDefault="00BA3C8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hint="eastAsia"/>
                <w:b w:val="0"/>
                <w:bCs w:val="0"/>
                <w:szCs w:val="21"/>
              </w:rPr>
              <w:t>无效</w:t>
            </w:r>
          </w:p>
        </w:tc>
      </w:tr>
      <w:tr w:rsidR="00D3620B" w:rsidRPr="00BA3C8C" w:rsidTr="00D3620B">
        <w:trPr>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D3620B" w:rsidRPr="00BA3C8C" w:rsidRDefault="00BA3C8C">
            <w:pPr>
              <w:spacing w:line="276" w:lineRule="auto"/>
              <w:rPr>
                <w:rFonts w:ascii="Times New Roman" w:hAnsi="Times New Roman" w:cs="Times New Roman"/>
                <w:b w:val="0"/>
                <w:bCs w:val="0"/>
                <w:szCs w:val="21"/>
              </w:rPr>
            </w:pPr>
            <w:r w:rsidRPr="00BA3C8C">
              <w:rPr>
                <w:rFonts w:ascii="Times New Roman" w:hAnsi="Times New Roman" w:cs="Times New Roman" w:hint="eastAsia"/>
                <w:b w:val="0"/>
                <w:szCs w:val="21"/>
              </w:rPr>
              <w:t>观察组</w:t>
            </w:r>
          </w:p>
        </w:tc>
        <w:tc>
          <w:tcPr>
            <w:tcW w:w="63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16</w:t>
            </w:r>
          </w:p>
        </w:tc>
        <w:tc>
          <w:tcPr>
            <w:tcW w:w="1319"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15</w:t>
            </w:r>
            <w:r w:rsidRPr="00BA3C8C">
              <w:rPr>
                <w:rFonts w:ascii="Times New Roman" w:hAnsi="Times New Roman" w:cs="Times New Roman"/>
                <w:szCs w:val="21"/>
              </w:rPr>
              <w:t>（</w:t>
            </w:r>
            <w:r w:rsidRPr="00BA3C8C">
              <w:rPr>
                <w:rFonts w:ascii="Times New Roman" w:hAnsi="Times New Roman" w:cs="Times New Roman"/>
                <w:szCs w:val="21"/>
              </w:rPr>
              <w:t>93.75</w:t>
            </w:r>
            <w:r w:rsidRPr="00BA3C8C">
              <w:rPr>
                <w:rFonts w:ascii="Times New Roman" w:hAnsi="Times New Roman" w:cs="Times New Roman"/>
                <w:szCs w:val="21"/>
              </w:rPr>
              <w:t>）</w:t>
            </w:r>
          </w:p>
        </w:tc>
        <w:tc>
          <w:tcPr>
            <w:tcW w:w="1109"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1</w:t>
            </w:r>
            <w:r w:rsidRPr="00BA3C8C">
              <w:rPr>
                <w:rFonts w:ascii="Times New Roman" w:hAnsi="Times New Roman" w:cs="Times New Roman"/>
                <w:szCs w:val="21"/>
              </w:rPr>
              <w:t>（</w:t>
            </w:r>
            <w:r w:rsidRPr="00BA3C8C">
              <w:rPr>
                <w:rFonts w:ascii="Times New Roman" w:hAnsi="Times New Roman" w:cs="Times New Roman"/>
                <w:szCs w:val="21"/>
              </w:rPr>
              <w:t>6.25</w:t>
            </w:r>
            <w:r w:rsidRPr="00BA3C8C">
              <w:rPr>
                <w:rFonts w:ascii="Times New Roman" w:hAnsi="Times New Roman" w:cs="Times New Roman"/>
                <w:szCs w:val="21"/>
              </w:rPr>
              <w:t>）</w:t>
            </w:r>
          </w:p>
        </w:tc>
        <w:tc>
          <w:tcPr>
            <w:tcW w:w="1109"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w:t>
            </w:r>
            <w:r w:rsidRPr="00BA3C8C">
              <w:rPr>
                <w:rFonts w:ascii="Times New Roman" w:hAnsi="Times New Roman" w:cs="Times New Roman"/>
                <w:szCs w:val="21"/>
              </w:rPr>
              <w:t>（</w:t>
            </w:r>
            <w:r w:rsidRPr="00BA3C8C">
              <w:rPr>
                <w:rFonts w:ascii="Times New Roman" w:hAnsi="Times New Roman" w:cs="Times New Roman"/>
                <w:szCs w:val="21"/>
              </w:rPr>
              <w:t>0.00</w:t>
            </w:r>
            <w:r w:rsidRPr="00BA3C8C">
              <w:rPr>
                <w:rFonts w:ascii="Times New Roman" w:hAnsi="Times New Roman" w:cs="Times New Roman"/>
                <w:szCs w:val="21"/>
              </w:rPr>
              <w:t>）</w:t>
            </w:r>
          </w:p>
        </w:tc>
      </w:tr>
      <w:tr w:rsidR="00D3620B" w:rsidRPr="00BA3C8C" w:rsidTr="00D3620B">
        <w:trPr>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D3620B" w:rsidRPr="00BA3C8C" w:rsidRDefault="00BA3C8C">
            <w:pPr>
              <w:spacing w:line="276" w:lineRule="auto"/>
              <w:rPr>
                <w:rFonts w:ascii="Times New Roman" w:hAnsi="Times New Roman" w:cs="Times New Roman"/>
                <w:b w:val="0"/>
                <w:bCs w:val="0"/>
                <w:szCs w:val="21"/>
              </w:rPr>
            </w:pPr>
            <w:r w:rsidRPr="00BA3C8C">
              <w:rPr>
                <w:rFonts w:ascii="Times New Roman" w:hAnsi="Times New Roman" w:cs="Times New Roman"/>
                <w:b w:val="0"/>
                <w:szCs w:val="21"/>
              </w:rPr>
              <w:t>对照组</w:t>
            </w:r>
          </w:p>
        </w:tc>
        <w:tc>
          <w:tcPr>
            <w:tcW w:w="63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46</w:t>
            </w:r>
          </w:p>
        </w:tc>
        <w:tc>
          <w:tcPr>
            <w:tcW w:w="1319"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44</w:t>
            </w:r>
            <w:r w:rsidRPr="00BA3C8C">
              <w:rPr>
                <w:rFonts w:ascii="Times New Roman" w:hAnsi="Times New Roman" w:cs="Times New Roman"/>
                <w:szCs w:val="21"/>
              </w:rPr>
              <w:t>（</w:t>
            </w:r>
            <w:r w:rsidRPr="00BA3C8C">
              <w:rPr>
                <w:rFonts w:ascii="Times New Roman" w:hAnsi="Times New Roman" w:cs="Times New Roman"/>
                <w:szCs w:val="21"/>
              </w:rPr>
              <w:t>95.65</w:t>
            </w:r>
            <w:r w:rsidRPr="00BA3C8C">
              <w:rPr>
                <w:rFonts w:ascii="Times New Roman" w:hAnsi="Times New Roman" w:cs="Times New Roman"/>
                <w:szCs w:val="21"/>
              </w:rPr>
              <w:t>）</w:t>
            </w:r>
          </w:p>
        </w:tc>
        <w:tc>
          <w:tcPr>
            <w:tcW w:w="1109"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2</w:t>
            </w:r>
            <w:r w:rsidRPr="00BA3C8C">
              <w:rPr>
                <w:rFonts w:ascii="Times New Roman" w:hAnsi="Times New Roman" w:cs="Times New Roman"/>
                <w:szCs w:val="21"/>
              </w:rPr>
              <w:t>（</w:t>
            </w:r>
            <w:r w:rsidRPr="00BA3C8C">
              <w:rPr>
                <w:rFonts w:ascii="Times New Roman" w:hAnsi="Times New Roman" w:cs="Times New Roman"/>
                <w:szCs w:val="21"/>
              </w:rPr>
              <w:t>4.35</w:t>
            </w:r>
            <w:r w:rsidRPr="00BA3C8C">
              <w:rPr>
                <w:rFonts w:ascii="Times New Roman" w:hAnsi="Times New Roman" w:cs="Times New Roman"/>
                <w:szCs w:val="21"/>
              </w:rPr>
              <w:t>）</w:t>
            </w:r>
          </w:p>
        </w:tc>
        <w:tc>
          <w:tcPr>
            <w:tcW w:w="1109"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w:t>
            </w:r>
            <w:r w:rsidRPr="00BA3C8C">
              <w:rPr>
                <w:rFonts w:ascii="Times New Roman" w:hAnsi="Times New Roman" w:cs="Times New Roman"/>
                <w:szCs w:val="21"/>
              </w:rPr>
              <w:t>（</w:t>
            </w:r>
            <w:r w:rsidRPr="00BA3C8C">
              <w:rPr>
                <w:rFonts w:ascii="Times New Roman" w:hAnsi="Times New Roman" w:cs="Times New Roman"/>
                <w:szCs w:val="21"/>
              </w:rPr>
              <w:t>0.00</w:t>
            </w:r>
            <w:r w:rsidRPr="00BA3C8C">
              <w:rPr>
                <w:rFonts w:ascii="Times New Roman" w:hAnsi="Times New Roman" w:cs="Times New Roman"/>
                <w:szCs w:val="21"/>
              </w:rPr>
              <w:t>）</w:t>
            </w:r>
          </w:p>
        </w:tc>
      </w:tr>
      <w:tr w:rsidR="00D3620B" w:rsidRPr="00BA3C8C" w:rsidTr="00D3620B">
        <w:trPr>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D3620B" w:rsidRPr="00BA3C8C" w:rsidRDefault="00BA3C8C">
            <w:pPr>
              <w:spacing w:line="276" w:lineRule="auto"/>
              <w:rPr>
                <w:rFonts w:ascii="Times New Roman" w:hAnsi="Times New Roman" w:cs="Times New Roman"/>
                <w:b w:val="0"/>
                <w:bCs w:val="0"/>
                <w:szCs w:val="21"/>
              </w:rPr>
            </w:pPr>
            <w:r w:rsidRPr="00BA3C8C">
              <w:rPr>
                <w:rFonts w:ascii="Times New Roman" w:hAnsi="Times New Roman" w:cs="Times New Roman"/>
                <w:szCs w:val="21"/>
                <w:shd w:val="clear" w:color="auto" w:fill="FFFFFF"/>
              </w:rPr>
              <w:t>χ</w:t>
            </w:r>
            <w:r w:rsidRPr="00BA3C8C">
              <w:rPr>
                <w:rFonts w:ascii="Times New Roman" w:hAnsi="Times New Roman" w:cs="Times New Roman"/>
                <w:szCs w:val="21"/>
                <w:shd w:val="clear" w:color="auto" w:fill="FFFFFF"/>
                <w:vertAlign w:val="superscript"/>
              </w:rPr>
              <w:t>2</w:t>
            </w:r>
            <w:r w:rsidRPr="00BA3C8C">
              <w:rPr>
                <w:rFonts w:ascii="Times New Roman" w:hAnsi="Times New Roman" w:cs="Times New Roman"/>
                <w:b w:val="0"/>
                <w:szCs w:val="21"/>
              </w:rPr>
              <w:t>值</w:t>
            </w:r>
          </w:p>
        </w:tc>
        <w:tc>
          <w:tcPr>
            <w:tcW w:w="636" w:type="dxa"/>
            <w:shd w:val="clear" w:color="auto" w:fill="auto"/>
          </w:tcPr>
          <w:p w:rsidR="00D3620B" w:rsidRPr="00BA3C8C" w:rsidRDefault="00D362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3537" w:type="dxa"/>
            <w:gridSpan w:val="3"/>
            <w:shd w:val="clear" w:color="auto" w:fill="auto"/>
          </w:tcPr>
          <w:p w:rsidR="00D3620B" w:rsidRPr="00BA3C8C" w:rsidRDefault="00BA3C8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0.539</w:t>
            </w:r>
          </w:p>
        </w:tc>
      </w:tr>
      <w:tr w:rsidR="00D3620B" w:rsidRPr="00BA3C8C" w:rsidTr="00D3620B">
        <w:trPr>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D3620B" w:rsidRPr="00BA3C8C" w:rsidRDefault="00BA3C8C">
            <w:pPr>
              <w:spacing w:line="276" w:lineRule="auto"/>
              <w:rPr>
                <w:rFonts w:ascii="Times New Roman" w:hAnsi="Times New Roman" w:cs="Times New Roman"/>
                <w:b w:val="0"/>
                <w:bCs w:val="0"/>
                <w:szCs w:val="21"/>
              </w:rPr>
            </w:pPr>
            <w:r w:rsidRPr="00BA3C8C">
              <w:rPr>
                <w:rFonts w:ascii="Times New Roman" w:hAnsi="Times New Roman" w:cs="Times New Roman"/>
                <w:b w:val="0"/>
                <w:szCs w:val="21"/>
              </w:rPr>
              <w:t>P</w:t>
            </w:r>
            <w:r w:rsidRPr="00BA3C8C">
              <w:rPr>
                <w:rFonts w:ascii="Times New Roman" w:hAnsi="Times New Roman" w:cs="Times New Roman"/>
                <w:b w:val="0"/>
                <w:szCs w:val="21"/>
              </w:rPr>
              <w:t>值</w:t>
            </w:r>
          </w:p>
        </w:tc>
        <w:tc>
          <w:tcPr>
            <w:tcW w:w="636" w:type="dxa"/>
            <w:shd w:val="clear" w:color="auto" w:fill="auto"/>
          </w:tcPr>
          <w:p w:rsidR="00D3620B" w:rsidRPr="00BA3C8C" w:rsidRDefault="00D362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3537" w:type="dxa"/>
            <w:gridSpan w:val="3"/>
            <w:shd w:val="clear" w:color="auto" w:fill="auto"/>
          </w:tcPr>
          <w:p w:rsidR="00D3620B" w:rsidRPr="00BA3C8C" w:rsidRDefault="00BA3C8C">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0.177</w:t>
            </w:r>
          </w:p>
        </w:tc>
      </w:tr>
    </w:tbl>
    <w:p w:rsidR="00D3620B" w:rsidRPr="00BA3C8C" w:rsidRDefault="00D3620B">
      <w:pPr>
        <w:spacing w:line="276" w:lineRule="auto"/>
        <w:rPr>
          <w:rFonts w:ascii="Times New Roman" w:hAnsi="Times New Roman" w:cs="Times New Roman"/>
          <w:color w:val="000000" w:themeColor="text1"/>
          <w:szCs w:val="21"/>
        </w:rPr>
      </w:pPr>
    </w:p>
    <w:p w:rsidR="00D3620B" w:rsidRPr="00BA3C8C" w:rsidRDefault="00BA3C8C">
      <w:pPr>
        <w:spacing w:line="276" w:lineRule="auto"/>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 xml:space="preserve">2.3 </w:t>
      </w:r>
      <w:r w:rsidRPr="00BA3C8C">
        <w:rPr>
          <w:rFonts w:ascii="Times New Roman" w:hAnsi="Times New Roman" w:cs="Times New Roman"/>
          <w:color w:val="000000" w:themeColor="text1"/>
          <w:szCs w:val="21"/>
        </w:rPr>
        <w:t>临床结局</w:t>
      </w:r>
    </w:p>
    <w:p w:rsidR="00D3620B" w:rsidRPr="00BA3C8C" w:rsidRDefault="00BA3C8C">
      <w:pPr>
        <w:spacing w:line="276" w:lineRule="auto"/>
        <w:ind w:firstLineChars="200" w:firstLine="42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两组复发、转移、异常阴道流血率比较差异均无统计学意义（</w:t>
      </w:r>
      <w:r w:rsidRPr="00BA3C8C">
        <w:rPr>
          <w:rFonts w:ascii="Times New Roman" w:hAnsi="Times New Roman" w:cs="Times New Roman"/>
          <w:color w:val="000000" w:themeColor="text1"/>
          <w:szCs w:val="21"/>
        </w:rPr>
        <w:t>P&gt;0.05</w:t>
      </w:r>
      <w:r w:rsidRPr="00BA3C8C">
        <w:rPr>
          <w:rFonts w:ascii="Times New Roman" w:hAnsi="Times New Roman" w:cs="Times New Roman"/>
          <w:color w:val="000000" w:themeColor="text1"/>
          <w:szCs w:val="21"/>
        </w:rPr>
        <w:t>），两组均未发生死亡病例。见表</w:t>
      </w:r>
      <w:r w:rsidRPr="00BA3C8C">
        <w:rPr>
          <w:rFonts w:ascii="Times New Roman" w:hAnsi="Times New Roman" w:cs="Times New Roman"/>
          <w:color w:val="000000" w:themeColor="text1"/>
          <w:szCs w:val="21"/>
        </w:rPr>
        <w:t>3</w:t>
      </w:r>
      <w:r w:rsidRPr="00BA3C8C">
        <w:rPr>
          <w:rFonts w:ascii="Times New Roman" w:hAnsi="Times New Roman" w:cs="Times New Roman"/>
          <w:color w:val="000000" w:themeColor="text1"/>
          <w:szCs w:val="21"/>
        </w:rPr>
        <w:t>。</w:t>
      </w:r>
    </w:p>
    <w:p w:rsidR="00D3620B" w:rsidRPr="00BA3C8C" w:rsidRDefault="00BA3C8C">
      <w:pPr>
        <w:spacing w:line="276" w:lineRule="auto"/>
        <w:jc w:val="center"/>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表</w:t>
      </w:r>
      <w:r w:rsidRPr="00BA3C8C">
        <w:rPr>
          <w:rFonts w:ascii="Times New Roman" w:hAnsi="Times New Roman" w:cs="Times New Roman"/>
          <w:color w:val="000000" w:themeColor="text1"/>
          <w:szCs w:val="21"/>
        </w:rPr>
        <w:t xml:space="preserve">3 </w:t>
      </w:r>
      <w:r w:rsidRPr="00BA3C8C">
        <w:rPr>
          <w:rFonts w:ascii="Times New Roman" w:hAnsi="Times New Roman" w:cs="Times New Roman"/>
          <w:color w:val="000000" w:themeColor="text1"/>
          <w:szCs w:val="21"/>
        </w:rPr>
        <w:t>两组临床结局比较（</w:t>
      </w:r>
      <w:r w:rsidRPr="00BA3C8C">
        <w:rPr>
          <w:rFonts w:ascii="Times New Roman" w:hAnsi="Times New Roman" w:cs="Times New Roman"/>
          <w:color w:val="000000" w:themeColor="text1"/>
          <w:szCs w:val="21"/>
        </w:rPr>
        <w:t>n,%</w:t>
      </w:r>
      <w:r w:rsidRPr="00BA3C8C">
        <w:rPr>
          <w:rFonts w:ascii="Times New Roman" w:hAnsi="Times New Roman" w:cs="Times New Roman"/>
          <w:color w:val="000000" w:themeColor="text1"/>
          <w:szCs w:val="21"/>
        </w:rPr>
        <w:t>）</w:t>
      </w:r>
    </w:p>
    <w:tbl>
      <w:tblPr>
        <w:tblStyle w:val="ListTable6Colorful"/>
        <w:tblW w:w="7054" w:type="dxa"/>
        <w:jc w:val="center"/>
        <w:tblLayout w:type="fixed"/>
        <w:tblLook w:val="04A0" w:firstRow="1" w:lastRow="0" w:firstColumn="1" w:lastColumn="0" w:noHBand="0" w:noVBand="1"/>
      </w:tblPr>
      <w:tblGrid>
        <w:gridCol w:w="1615"/>
        <w:gridCol w:w="636"/>
        <w:gridCol w:w="1109"/>
        <w:gridCol w:w="1109"/>
        <w:gridCol w:w="1476"/>
        <w:gridCol w:w="1109"/>
      </w:tblGrid>
      <w:tr w:rsidR="00D3620B" w:rsidRPr="00BA3C8C" w:rsidTr="00D3620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D3620B" w:rsidRPr="00BA3C8C" w:rsidRDefault="00BA3C8C">
            <w:pPr>
              <w:spacing w:line="276" w:lineRule="auto"/>
              <w:rPr>
                <w:rFonts w:ascii="Times New Roman" w:hAnsi="Times New Roman" w:cs="Times New Roman"/>
                <w:b w:val="0"/>
                <w:bCs w:val="0"/>
                <w:szCs w:val="21"/>
              </w:rPr>
            </w:pPr>
            <w:r w:rsidRPr="00BA3C8C">
              <w:rPr>
                <w:rFonts w:ascii="Times New Roman" w:hAnsi="Times New Roman" w:cs="Times New Roman"/>
                <w:b w:val="0"/>
                <w:szCs w:val="21"/>
              </w:rPr>
              <w:t>组别</w:t>
            </w:r>
          </w:p>
        </w:tc>
        <w:tc>
          <w:tcPr>
            <w:tcW w:w="636" w:type="dxa"/>
            <w:shd w:val="clear" w:color="auto" w:fill="auto"/>
          </w:tcPr>
          <w:p w:rsidR="00D3620B" w:rsidRPr="00BA3C8C" w:rsidRDefault="00BA3C8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sidRPr="00BA3C8C">
              <w:rPr>
                <w:rFonts w:ascii="Times New Roman" w:hAnsi="Times New Roman" w:cs="Times New Roman"/>
                <w:b w:val="0"/>
                <w:szCs w:val="21"/>
              </w:rPr>
              <w:t>例数</w:t>
            </w:r>
          </w:p>
        </w:tc>
        <w:tc>
          <w:tcPr>
            <w:tcW w:w="1109" w:type="dxa"/>
            <w:shd w:val="clear" w:color="auto" w:fill="auto"/>
          </w:tcPr>
          <w:p w:rsidR="00D3620B" w:rsidRPr="00BA3C8C" w:rsidRDefault="00BA3C8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sidRPr="00BA3C8C">
              <w:rPr>
                <w:rFonts w:ascii="Times New Roman" w:hAnsi="Times New Roman" w:cs="Times New Roman"/>
                <w:b w:val="0"/>
                <w:bCs w:val="0"/>
                <w:szCs w:val="21"/>
              </w:rPr>
              <w:t>复发</w:t>
            </w:r>
          </w:p>
        </w:tc>
        <w:tc>
          <w:tcPr>
            <w:tcW w:w="1109" w:type="dxa"/>
            <w:shd w:val="clear" w:color="auto" w:fill="auto"/>
          </w:tcPr>
          <w:p w:rsidR="00D3620B" w:rsidRPr="00BA3C8C" w:rsidRDefault="00BA3C8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sidRPr="00BA3C8C">
              <w:rPr>
                <w:rFonts w:ascii="Times New Roman" w:hAnsi="Times New Roman" w:cs="Times New Roman"/>
                <w:b w:val="0"/>
                <w:bCs w:val="0"/>
                <w:szCs w:val="21"/>
              </w:rPr>
              <w:t>转移</w:t>
            </w:r>
          </w:p>
        </w:tc>
        <w:tc>
          <w:tcPr>
            <w:tcW w:w="1476" w:type="dxa"/>
            <w:shd w:val="clear" w:color="auto" w:fill="auto"/>
          </w:tcPr>
          <w:p w:rsidR="00D3620B" w:rsidRPr="00BA3C8C" w:rsidRDefault="00BA3C8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sidRPr="00BA3C8C">
              <w:rPr>
                <w:rFonts w:ascii="Times New Roman" w:hAnsi="Times New Roman" w:cs="Times New Roman"/>
                <w:b w:val="0"/>
                <w:bCs w:val="0"/>
                <w:szCs w:val="21"/>
              </w:rPr>
              <w:t>异常阴道流血</w:t>
            </w:r>
          </w:p>
        </w:tc>
        <w:tc>
          <w:tcPr>
            <w:tcW w:w="1109" w:type="dxa"/>
            <w:shd w:val="clear" w:color="auto" w:fill="auto"/>
          </w:tcPr>
          <w:p w:rsidR="00D3620B" w:rsidRPr="00BA3C8C" w:rsidRDefault="00BA3C8C">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1"/>
              </w:rPr>
            </w:pPr>
            <w:r w:rsidRPr="00BA3C8C">
              <w:rPr>
                <w:rFonts w:ascii="Times New Roman" w:hAnsi="Times New Roman" w:cs="Times New Roman"/>
                <w:b w:val="0"/>
                <w:bCs w:val="0"/>
                <w:szCs w:val="21"/>
              </w:rPr>
              <w:t>死亡</w:t>
            </w:r>
          </w:p>
        </w:tc>
      </w:tr>
      <w:tr w:rsidR="00D3620B" w:rsidRPr="00BA3C8C" w:rsidTr="00D3620B">
        <w:trPr>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D3620B" w:rsidRPr="00BA3C8C" w:rsidRDefault="00BA3C8C">
            <w:pPr>
              <w:spacing w:line="276" w:lineRule="auto"/>
              <w:rPr>
                <w:rFonts w:ascii="Times New Roman" w:hAnsi="Times New Roman" w:cs="Times New Roman"/>
                <w:b w:val="0"/>
                <w:bCs w:val="0"/>
                <w:szCs w:val="21"/>
              </w:rPr>
            </w:pPr>
            <w:r w:rsidRPr="00BA3C8C">
              <w:rPr>
                <w:rFonts w:ascii="Times New Roman" w:hAnsi="Times New Roman" w:cs="Times New Roman" w:hint="eastAsia"/>
                <w:b w:val="0"/>
                <w:szCs w:val="21"/>
              </w:rPr>
              <w:t>观察组</w:t>
            </w:r>
          </w:p>
        </w:tc>
        <w:tc>
          <w:tcPr>
            <w:tcW w:w="63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16</w:t>
            </w:r>
          </w:p>
        </w:tc>
        <w:tc>
          <w:tcPr>
            <w:tcW w:w="1109"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1</w:t>
            </w:r>
            <w:r w:rsidRPr="00BA3C8C">
              <w:rPr>
                <w:rFonts w:ascii="Times New Roman" w:hAnsi="Times New Roman" w:cs="Times New Roman"/>
                <w:szCs w:val="21"/>
              </w:rPr>
              <w:t>（</w:t>
            </w:r>
            <w:r w:rsidRPr="00BA3C8C">
              <w:rPr>
                <w:rFonts w:ascii="Times New Roman" w:hAnsi="Times New Roman" w:cs="Times New Roman"/>
                <w:szCs w:val="21"/>
              </w:rPr>
              <w:t>6.25</w:t>
            </w:r>
            <w:r w:rsidRPr="00BA3C8C">
              <w:rPr>
                <w:rFonts w:ascii="Times New Roman" w:hAnsi="Times New Roman" w:cs="Times New Roman"/>
                <w:szCs w:val="21"/>
              </w:rPr>
              <w:t>）</w:t>
            </w:r>
          </w:p>
        </w:tc>
        <w:tc>
          <w:tcPr>
            <w:tcW w:w="1109"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hint="eastAsia"/>
                <w:szCs w:val="21"/>
              </w:rPr>
              <w:t>1</w:t>
            </w:r>
            <w:r w:rsidRPr="00BA3C8C">
              <w:rPr>
                <w:rFonts w:ascii="Times New Roman" w:hAnsi="Times New Roman" w:cs="Times New Roman"/>
                <w:szCs w:val="21"/>
              </w:rPr>
              <w:t>（</w:t>
            </w:r>
            <w:r w:rsidRPr="00BA3C8C">
              <w:rPr>
                <w:rFonts w:ascii="Times New Roman" w:hAnsi="Times New Roman" w:cs="Times New Roman" w:hint="eastAsia"/>
                <w:szCs w:val="21"/>
              </w:rPr>
              <w:t>6.25</w:t>
            </w:r>
            <w:r w:rsidRPr="00BA3C8C">
              <w:rPr>
                <w:rFonts w:ascii="Times New Roman" w:hAnsi="Times New Roman" w:cs="Times New Roman"/>
                <w:szCs w:val="21"/>
              </w:rPr>
              <w:t>）</w:t>
            </w:r>
          </w:p>
        </w:tc>
        <w:tc>
          <w:tcPr>
            <w:tcW w:w="147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2</w:t>
            </w:r>
            <w:r w:rsidRPr="00BA3C8C">
              <w:rPr>
                <w:rFonts w:ascii="Times New Roman" w:hAnsi="Times New Roman" w:cs="Times New Roman"/>
                <w:szCs w:val="21"/>
              </w:rPr>
              <w:t>（</w:t>
            </w:r>
            <w:r w:rsidRPr="00BA3C8C">
              <w:rPr>
                <w:rFonts w:ascii="Times New Roman" w:hAnsi="Times New Roman" w:cs="Times New Roman"/>
                <w:szCs w:val="21"/>
              </w:rPr>
              <w:t>12.50</w:t>
            </w:r>
            <w:r w:rsidRPr="00BA3C8C">
              <w:rPr>
                <w:rFonts w:ascii="Times New Roman" w:hAnsi="Times New Roman" w:cs="Times New Roman"/>
                <w:szCs w:val="21"/>
              </w:rPr>
              <w:t>）</w:t>
            </w:r>
          </w:p>
        </w:tc>
        <w:tc>
          <w:tcPr>
            <w:tcW w:w="1109"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w:t>
            </w:r>
            <w:r w:rsidRPr="00BA3C8C">
              <w:rPr>
                <w:rFonts w:ascii="Times New Roman" w:hAnsi="Times New Roman" w:cs="Times New Roman"/>
                <w:szCs w:val="21"/>
              </w:rPr>
              <w:t>（</w:t>
            </w:r>
            <w:r w:rsidRPr="00BA3C8C">
              <w:rPr>
                <w:rFonts w:ascii="Times New Roman" w:hAnsi="Times New Roman" w:cs="Times New Roman"/>
                <w:szCs w:val="21"/>
              </w:rPr>
              <w:t>0.00</w:t>
            </w:r>
            <w:r w:rsidRPr="00BA3C8C">
              <w:rPr>
                <w:rFonts w:ascii="Times New Roman" w:hAnsi="Times New Roman" w:cs="Times New Roman"/>
                <w:szCs w:val="21"/>
              </w:rPr>
              <w:t>）</w:t>
            </w:r>
          </w:p>
        </w:tc>
      </w:tr>
      <w:tr w:rsidR="00D3620B" w:rsidRPr="00BA3C8C" w:rsidTr="00D3620B">
        <w:trPr>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D3620B" w:rsidRPr="00BA3C8C" w:rsidRDefault="00BA3C8C">
            <w:pPr>
              <w:spacing w:line="276" w:lineRule="auto"/>
              <w:rPr>
                <w:rFonts w:ascii="Times New Roman" w:hAnsi="Times New Roman" w:cs="Times New Roman"/>
                <w:b w:val="0"/>
                <w:bCs w:val="0"/>
                <w:szCs w:val="21"/>
              </w:rPr>
            </w:pPr>
            <w:r w:rsidRPr="00BA3C8C">
              <w:rPr>
                <w:rFonts w:ascii="Times New Roman" w:hAnsi="Times New Roman" w:cs="Times New Roman"/>
                <w:b w:val="0"/>
                <w:szCs w:val="21"/>
              </w:rPr>
              <w:lastRenderedPageBreak/>
              <w:t>对照组</w:t>
            </w:r>
          </w:p>
        </w:tc>
        <w:tc>
          <w:tcPr>
            <w:tcW w:w="63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46</w:t>
            </w:r>
          </w:p>
        </w:tc>
        <w:tc>
          <w:tcPr>
            <w:tcW w:w="1109"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2</w:t>
            </w:r>
            <w:r w:rsidRPr="00BA3C8C">
              <w:rPr>
                <w:rFonts w:ascii="Times New Roman" w:hAnsi="Times New Roman" w:cs="Times New Roman"/>
                <w:szCs w:val="21"/>
              </w:rPr>
              <w:t>（</w:t>
            </w:r>
            <w:r w:rsidRPr="00BA3C8C">
              <w:rPr>
                <w:rFonts w:ascii="Times New Roman" w:hAnsi="Times New Roman" w:cs="Times New Roman"/>
                <w:szCs w:val="21"/>
              </w:rPr>
              <w:t>4.35</w:t>
            </w:r>
            <w:r w:rsidRPr="00BA3C8C">
              <w:rPr>
                <w:rFonts w:ascii="Times New Roman" w:hAnsi="Times New Roman" w:cs="Times New Roman"/>
                <w:szCs w:val="21"/>
              </w:rPr>
              <w:t>）</w:t>
            </w:r>
          </w:p>
        </w:tc>
        <w:tc>
          <w:tcPr>
            <w:tcW w:w="1109"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hint="eastAsia"/>
                <w:szCs w:val="21"/>
              </w:rPr>
              <w:t>3</w:t>
            </w:r>
            <w:r w:rsidRPr="00BA3C8C">
              <w:rPr>
                <w:rFonts w:ascii="Times New Roman" w:hAnsi="Times New Roman" w:cs="Times New Roman"/>
                <w:szCs w:val="21"/>
              </w:rPr>
              <w:t>（</w:t>
            </w:r>
            <w:r w:rsidRPr="00BA3C8C">
              <w:rPr>
                <w:rFonts w:ascii="Times New Roman" w:hAnsi="Times New Roman" w:cs="Times New Roman" w:hint="eastAsia"/>
                <w:szCs w:val="21"/>
              </w:rPr>
              <w:t>6.52</w:t>
            </w:r>
            <w:r w:rsidRPr="00BA3C8C">
              <w:rPr>
                <w:rFonts w:ascii="Times New Roman" w:hAnsi="Times New Roman" w:cs="Times New Roman"/>
                <w:szCs w:val="21"/>
              </w:rPr>
              <w:t>）</w:t>
            </w:r>
          </w:p>
        </w:tc>
        <w:tc>
          <w:tcPr>
            <w:tcW w:w="1476"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5</w:t>
            </w:r>
            <w:r w:rsidRPr="00BA3C8C">
              <w:rPr>
                <w:rFonts w:ascii="Times New Roman" w:hAnsi="Times New Roman" w:cs="Times New Roman"/>
                <w:szCs w:val="21"/>
              </w:rPr>
              <w:t>（</w:t>
            </w:r>
            <w:r w:rsidRPr="00BA3C8C">
              <w:rPr>
                <w:rFonts w:ascii="Times New Roman" w:hAnsi="Times New Roman" w:cs="Times New Roman"/>
                <w:szCs w:val="21"/>
              </w:rPr>
              <w:t>10.87</w:t>
            </w:r>
            <w:r w:rsidRPr="00BA3C8C">
              <w:rPr>
                <w:rFonts w:ascii="Times New Roman" w:hAnsi="Times New Roman" w:cs="Times New Roman"/>
                <w:szCs w:val="21"/>
              </w:rPr>
              <w:t>）</w:t>
            </w:r>
          </w:p>
        </w:tc>
        <w:tc>
          <w:tcPr>
            <w:tcW w:w="1109" w:type="dxa"/>
            <w:shd w:val="clear" w:color="auto" w:fill="auto"/>
          </w:tcPr>
          <w:p w:rsidR="00D3620B" w:rsidRPr="00BA3C8C" w:rsidRDefault="00BA3C8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w:t>
            </w:r>
            <w:r w:rsidRPr="00BA3C8C">
              <w:rPr>
                <w:rFonts w:ascii="Times New Roman" w:hAnsi="Times New Roman" w:cs="Times New Roman"/>
                <w:szCs w:val="21"/>
              </w:rPr>
              <w:t>（</w:t>
            </w:r>
            <w:r w:rsidRPr="00BA3C8C">
              <w:rPr>
                <w:rFonts w:ascii="Times New Roman" w:hAnsi="Times New Roman" w:cs="Times New Roman"/>
                <w:szCs w:val="21"/>
              </w:rPr>
              <w:t>0.00</w:t>
            </w:r>
            <w:r w:rsidRPr="00BA3C8C">
              <w:rPr>
                <w:rFonts w:ascii="Times New Roman" w:hAnsi="Times New Roman" w:cs="Times New Roman"/>
                <w:szCs w:val="21"/>
              </w:rPr>
              <w:t>）</w:t>
            </w:r>
          </w:p>
        </w:tc>
      </w:tr>
      <w:tr w:rsidR="00D3620B" w:rsidRPr="00BA3C8C" w:rsidTr="00D3620B">
        <w:trPr>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D3620B" w:rsidRPr="00BA3C8C" w:rsidRDefault="00BA3C8C">
            <w:pPr>
              <w:spacing w:line="276" w:lineRule="auto"/>
              <w:rPr>
                <w:rFonts w:ascii="Times New Roman" w:hAnsi="Times New Roman" w:cs="Times New Roman"/>
                <w:b w:val="0"/>
                <w:bCs w:val="0"/>
                <w:szCs w:val="21"/>
              </w:rPr>
            </w:pPr>
            <w:r w:rsidRPr="00BA3C8C">
              <w:rPr>
                <w:rFonts w:ascii="Times New Roman" w:hAnsi="Times New Roman" w:cs="Times New Roman"/>
                <w:b w:val="0"/>
                <w:szCs w:val="21"/>
                <w:shd w:val="clear" w:color="auto" w:fill="FFFFFF"/>
              </w:rPr>
              <w:t>χ</w:t>
            </w:r>
            <w:r w:rsidRPr="00BA3C8C">
              <w:rPr>
                <w:rFonts w:ascii="Times New Roman" w:hAnsi="Times New Roman" w:cs="Times New Roman"/>
                <w:b w:val="0"/>
                <w:szCs w:val="21"/>
                <w:shd w:val="clear" w:color="auto" w:fill="FFFFFF"/>
                <w:vertAlign w:val="superscript"/>
              </w:rPr>
              <w:t>2</w:t>
            </w:r>
            <w:r w:rsidRPr="00BA3C8C">
              <w:rPr>
                <w:rFonts w:ascii="Times New Roman" w:hAnsi="Times New Roman" w:cs="Times New Roman"/>
                <w:b w:val="0"/>
                <w:szCs w:val="21"/>
              </w:rPr>
              <w:t>值</w:t>
            </w:r>
          </w:p>
        </w:tc>
        <w:tc>
          <w:tcPr>
            <w:tcW w:w="636" w:type="dxa"/>
            <w:shd w:val="clear" w:color="auto" w:fill="auto"/>
          </w:tcPr>
          <w:p w:rsidR="00D3620B" w:rsidRPr="00BA3C8C" w:rsidRDefault="00D362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1109" w:type="dxa"/>
            <w:shd w:val="clear" w:color="auto" w:fill="auto"/>
          </w:tcPr>
          <w:p w:rsidR="00D3620B" w:rsidRPr="00BA3C8C" w:rsidRDefault="00BA3C8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0.445</w:t>
            </w:r>
          </w:p>
        </w:tc>
        <w:tc>
          <w:tcPr>
            <w:tcW w:w="1109" w:type="dxa"/>
            <w:shd w:val="clear" w:color="auto" w:fill="auto"/>
          </w:tcPr>
          <w:p w:rsidR="00D3620B" w:rsidRPr="00BA3C8C" w:rsidRDefault="00BA3C8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0.312</w:t>
            </w:r>
          </w:p>
        </w:tc>
        <w:tc>
          <w:tcPr>
            <w:tcW w:w="1476" w:type="dxa"/>
            <w:shd w:val="clear" w:color="auto" w:fill="auto"/>
          </w:tcPr>
          <w:p w:rsidR="00D3620B" w:rsidRPr="00BA3C8C" w:rsidRDefault="00BA3C8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0.519</w:t>
            </w:r>
          </w:p>
        </w:tc>
        <w:tc>
          <w:tcPr>
            <w:tcW w:w="1109" w:type="dxa"/>
            <w:shd w:val="clear" w:color="auto" w:fill="auto"/>
          </w:tcPr>
          <w:p w:rsidR="00D3620B" w:rsidRPr="00BA3C8C" w:rsidRDefault="00BA3C8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w:t>
            </w:r>
          </w:p>
        </w:tc>
      </w:tr>
      <w:tr w:rsidR="00D3620B" w:rsidRPr="00BA3C8C" w:rsidTr="00D3620B">
        <w:trPr>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auto"/>
          </w:tcPr>
          <w:p w:rsidR="00D3620B" w:rsidRPr="00BA3C8C" w:rsidRDefault="00BA3C8C">
            <w:pPr>
              <w:spacing w:line="276" w:lineRule="auto"/>
              <w:rPr>
                <w:rFonts w:ascii="Times New Roman" w:hAnsi="Times New Roman" w:cs="Times New Roman"/>
                <w:b w:val="0"/>
                <w:bCs w:val="0"/>
                <w:szCs w:val="21"/>
              </w:rPr>
            </w:pPr>
            <w:r w:rsidRPr="00BA3C8C">
              <w:rPr>
                <w:rFonts w:ascii="Times New Roman" w:hAnsi="Times New Roman" w:cs="Times New Roman"/>
                <w:b w:val="0"/>
                <w:szCs w:val="21"/>
              </w:rPr>
              <w:t>P</w:t>
            </w:r>
            <w:r w:rsidRPr="00BA3C8C">
              <w:rPr>
                <w:rFonts w:ascii="Times New Roman" w:hAnsi="Times New Roman" w:cs="Times New Roman"/>
                <w:b w:val="0"/>
                <w:szCs w:val="21"/>
              </w:rPr>
              <w:t>值</w:t>
            </w:r>
          </w:p>
        </w:tc>
        <w:tc>
          <w:tcPr>
            <w:tcW w:w="636" w:type="dxa"/>
            <w:shd w:val="clear" w:color="auto" w:fill="auto"/>
          </w:tcPr>
          <w:p w:rsidR="00D3620B" w:rsidRPr="00BA3C8C" w:rsidRDefault="00D3620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c>
          <w:tcPr>
            <w:tcW w:w="1109" w:type="dxa"/>
            <w:shd w:val="clear" w:color="auto" w:fill="auto"/>
          </w:tcPr>
          <w:p w:rsidR="00D3620B" w:rsidRPr="00BA3C8C" w:rsidRDefault="00BA3C8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0.339</w:t>
            </w:r>
          </w:p>
        </w:tc>
        <w:tc>
          <w:tcPr>
            <w:tcW w:w="1109" w:type="dxa"/>
            <w:shd w:val="clear" w:color="auto" w:fill="auto"/>
          </w:tcPr>
          <w:p w:rsidR="00D3620B" w:rsidRPr="00BA3C8C" w:rsidRDefault="00BA3C8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0.398</w:t>
            </w:r>
          </w:p>
        </w:tc>
        <w:tc>
          <w:tcPr>
            <w:tcW w:w="1476" w:type="dxa"/>
            <w:shd w:val="clear" w:color="auto" w:fill="auto"/>
          </w:tcPr>
          <w:p w:rsidR="00D3620B" w:rsidRPr="00BA3C8C" w:rsidRDefault="00BA3C8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0.260</w:t>
            </w:r>
          </w:p>
        </w:tc>
        <w:tc>
          <w:tcPr>
            <w:tcW w:w="1109" w:type="dxa"/>
            <w:shd w:val="clear" w:color="auto" w:fill="auto"/>
          </w:tcPr>
          <w:p w:rsidR="00D3620B" w:rsidRPr="00BA3C8C" w:rsidRDefault="00BA3C8C">
            <w:pPr>
              <w:spacing w:line="276" w:lineRule="auto"/>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A3C8C">
              <w:rPr>
                <w:rFonts w:ascii="Times New Roman" w:hAnsi="Times New Roman" w:cs="Times New Roman"/>
                <w:szCs w:val="21"/>
              </w:rPr>
              <w:t>-</w:t>
            </w:r>
          </w:p>
        </w:tc>
      </w:tr>
    </w:tbl>
    <w:p w:rsidR="00D3620B" w:rsidRPr="00BA3C8C" w:rsidRDefault="00D3620B">
      <w:pPr>
        <w:spacing w:line="276" w:lineRule="auto"/>
        <w:rPr>
          <w:rFonts w:ascii="Times New Roman" w:hAnsi="Times New Roman" w:cs="Times New Roman"/>
          <w:color w:val="000000" w:themeColor="text1"/>
          <w:szCs w:val="21"/>
        </w:rPr>
      </w:pPr>
    </w:p>
    <w:p w:rsidR="00D3620B" w:rsidRPr="00BA3C8C" w:rsidRDefault="00BA3C8C">
      <w:pPr>
        <w:spacing w:line="276" w:lineRule="auto"/>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 xml:space="preserve">3. </w:t>
      </w:r>
      <w:r w:rsidRPr="00BA3C8C">
        <w:rPr>
          <w:rFonts w:ascii="Times New Roman" w:hAnsi="Times New Roman" w:cs="Times New Roman"/>
          <w:color w:val="000000" w:themeColor="text1"/>
          <w:szCs w:val="21"/>
        </w:rPr>
        <w:t>讨论</w:t>
      </w:r>
    </w:p>
    <w:p w:rsidR="00D3620B" w:rsidRPr="00BA3C8C" w:rsidRDefault="00BA3C8C">
      <w:pPr>
        <w:spacing w:line="276" w:lineRule="auto"/>
        <w:ind w:firstLineChars="200" w:firstLine="42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葡萄胎在我国</w:t>
      </w:r>
      <w:r w:rsidRPr="00BA3C8C">
        <w:rPr>
          <w:rStyle w:val="fontstyle01"/>
          <w:rFonts w:ascii="Times New Roman" w:hAnsi="Times New Roman" w:cs="Times New Roman" w:hint="default"/>
          <w:color w:val="000000" w:themeColor="text1"/>
          <w:sz w:val="21"/>
          <w:szCs w:val="21"/>
        </w:rPr>
        <w:t>发病</w:t>
      </w:r>
      <w:r w:rsidRPr="00BA3C8C">
        <w:rPr>
          <w:rFonts w:ascii="Times New Roman" w:hAnsi="Times New Roman" w:cs="Times New Roman"/>
          <w:color w:val="000000" w:themeColor="text1"/>
          <w:szCs w:val="21"/>
        </w:rPr>
        <w:t>率为</w:t>
      </w:r>
      <w:r w:rsidRPr="00BA3C8C">
        <w:rPr>
          <w:rFonts w:ascii="Times New Roman" w:hAnsi="Times New Roman" w:cs="Times New Roman"/>
          <w:color w:val="000000" w:themeColor="text1"/>
          <w:szCs w:val="21"/>
        </w:rPr>
        <w:t xml:space="preserve"> 1‰ ~ 2‰</w:t>
      </w:r>
      <w:r w:rsidRPr="00BA3C8C">
        <w:rPr>
          <w:rFonts w:ascii="Times New Roman" w:hAnsi="Times New Roman" w:cs="Times New Roman"/>
          <w:color w:val="000000" w:themeColor="text1"/>
          <w:szCs w:val="21"/>
        </w:rPr>
        <w:t>，其中多数葡萄胎是一种良性病变，通过手术清除可达到治愈的效果，但仍有部分患者存在术后发展为侵蚀性葡萄胎的风险，目前统计为</w:t>
      </w:r>
      <w:r w:rsidRPr="00BA3C8C">
        <w:rPr>
          <w:rFonts w:ascii="Times New Roman" w:hAnsi="Times New Roman" w:cs="Times New Roman"/>
          <w:color w:val="000000" w:themeColor="text1"/>
          <w:szCs w:val="21"/>
        </w:rPr>
        <w:t xml:space="preserve"> 10% ~ 20%</w:t>
      </w:r>
      <w:r w:rsidRPr="00BA3C8C">
        <w:rPr>
          <w:rFonts w:ascii="Times New Roman" w:hAnsi="Times New Roman" w:cs="Times New Roman"/>
          <w:color w:val="000000" w:themeColor="text1"/>
          <w:szCs w:val="21"/>
          <w:vertAlign w:val="superscript"/>
        </w:rPr>
        <w:t>[4,5]</w:t>
      </w:r>
      <w:r w:rsidRPr="00BA3C8C">
        <w:rPr>
          <w:rFonts w:ascii="Times New Roman" w:hAnsi="Times New Roman" w:cs="Times New Roman"/>
          <w:color w:val="000000" w:themeColor="text1"/>
          <w:szCs w:val="21"/>
        </w:rPr>
        <w:t>。因此，对具有高危恶变因素的葡萄胎患者，手术治疗后如何预防恶变是临床一直关注的热点和难点问题。目前，尚没有明确的证据明确表明预防性化疗可使葡萄胎患者临床获益，而有学者认为化疗药物存在毒副反应会使部分患者承受不必要的负担，且存在加重耐药的可能性</w:t>
      </w:r>
      <w:r w:rsidRPr="00BA3C8C">
        <w:rPr>
          <w:rFonts w:ascii="Times New Roman" w:hAnsi="Times New Roman" w:cs="Times New Roman"/>
          <w:color w:val="000000" w:themeColor="text1"/>
          <w:szCs w:val="21"/>
          <w:vertAlign w:val="superscript"/>
        </w:rPr>
        <w:t>[6-8]</w:t>
      </w:r>
      <w:r w:rsidRPr="00BA3C8C">
        <w:rPr>
          <w:rFonts w:ascii="Times New Roman" w:hAnsi="Times New Roman" w:cs="Times New Roman"/>
          <w:color w:val="000000" w:themeColor="text1"/>
          <w:szCs w:val="21"/>
        </w:rPr>
        <w:t>。</w:t>
      </w:r>
    </w:p>
    <w:p w:rsidR="00D3620B" w:rsidRPr="00BA3C8C" w:rsidRDefault="00BA3C8C">
      <w:pPr>
        <w:spacing w:line="276" w:lineRule="auto"/>
        <w:ind w:firstLineChars="200" w:firstLine="42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目前，临床上对存在恶变高危因素的葡萄胎患者进行预防性化疗治疗，其中高危因素</w:t>
      </w:r>
      <w:proofErr w:type="gramStart"/>
      <w:r w:rsidRPr="00BA3C8C">
        <w:rPr>
          <w:rFonts w:ascii="Times New Roman" w:hAnsi="Times New Roman" w:cs="Times New Roman"/>
          <w:color w:val="000000" w:themeColor="text1"/>
          <w:szCs w:val="21"/>
        </w:rPr>
        <w:t>包括包括</w:t>
      </w:r>
      <w:proofErr w:type="gramEnd"/>
      <w:r w:rsidRPr="00BA3C8C">
        <w:rPr>
          <w:rFonts w:ascii="Times New Roman" w:hAnsi="Times New Roman" w:cs="Times New Roman"/>
          <w:color w:val="000000" w:themeColor="text1"/>
          <w:szCs w:val="21"/>
        </w:rPr>
        <w:t>年龄</w:t>
      </w:r>
      <w:r w:rsidRPr="00BA3C8C">
        <w:rPr>
          <w:rFonts w:ascii="Times New Roman" w:hAnsi="Times New Roman" w:cs="Times New Roman"/>
          <w:color w:val="000000" w:themeColor="text1"/>
          <w:szCs w:val="21"/>
        </w:rPr>
        <w:t>&gt;40</w:t>
      </w:r>
      <w:r w:rsidRPr="00BA3C8C">
        <w:rPr>
          <w:rFonts w:ascii="Times New Roman" w:hAnsi="Times New Roman" w:cs="Times New Roman"/>
          <w:color w:val="000000" w:themeColor="text1"/>
          <w:szCs w:val="21"/>
        </w:rPr>
        <w:t>岁、血清</w:t>
      </w:r>
      <w:r w:rsidRPr="00BA3C8C">
        <w:rPr>
          <w:rFonts w:ascii="Times New Roman" w:hAnsi="Times New Roman" w:cs="Times New Roman"/>
          <w:color w:val="000000" w:themeColor="text1"/>
          <w:szCs w:val="21"/>
        </w:rPr>
        <w:t>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水平</w:t>
      </w:r>
      <w:r w:rsidRPr="00BA3C8C">
        <w:rPr>
          <w:rFonts w:ascii="Times New Roman" w:hAnsi="Times New Roman" w:cs="Times New Roman"/>
          <w:color w:val="000000" w:themeColor="text1"/>
          <w:szCs w:val="21"/>
        </w:rPr>
        <w:t>&gt;5x10</w:t>
      </w:r>
      <w:r w:rsidRPr="00BA3C8C">
        <w:rPr>
          <w:rFonts w:ascii="Times New Roman" w:hAnsi="Times New Roman" w:cs="Times New Roman"/>
          <w:color w:val="000000" w:themeColor="text1"/>
          <w:szCs w:val="21"/>
          <w:vertAlign w:val="superscript"/>
        </w:rPr>
        <w:t>5</w:t>
      </w:r>
      <w:r w:rsidRPr="00BA3C8C">
        <w:rPr>
          <w:rFonts w:ascii="Times New Roman" w:hAnsi="Times New Roman" w:cs="Times New Roman"/>
          <w:color w:val="000000" w:themeColor="text1"/>
          <w:szCs w:val="21"/>
        </w:rPr>
        <w:t xml:space="preserve"> U</w:t>
      </w:r>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L</w:t>
      </w:r>
      <w:r w:rsidRPr="00BA3C8C">
        <w:rPr>
          <w:rFonts w:ascii="Times New Roman" w:hAnsi="Times New Roman" w:cs="Times New Roman"/>
          <w:color w:val="000000" w:themeColor="text1"/>
          <w:szCs w:val="21"/>
        </w:rPr>
        <w:t>、卵巢</w:t>
      </w:r>
      <w:proofErr w:type="gramStart"/>
      <w:r w:rsidRPr="00BA3C8C">
        <w:rPr>
          <w:rFonts w:ascii="Times New Roman" w:hAnsi="Times New Roman" w:cs="Times New Roman"/>
          <w:color w:val="000000" w:themeColor="text1"/>
          <w:szCs w:val="21"/>
        </w:rPr>
        <w:t>黄素化囊肿</w:t>
      </w:r>
      <w:proofErr w:type="gramEnd"/>
      <w:r w:rsidRPr="00BA3C8C">
        <w:rPr>
          <w:rFonts w:ascii="Times New Roman" w:hAnsi="Times New Roman" w:cs="Times New Roman"/>
          <w:color w:val="000000" w:themeColor="text1"/>
          <w:szCs w:val="21"/>
        </w:rPr>
        <w:t>直径</w:t>
      </w:r>
      <w:r w:rsidRPr="00BA3C8C">
        <w:rPr>
          <w:rFonts w:ascii="Times New Roman" w:hAnsi="Times New Roman" w:cs="Times New Roman"/>
          <w:color w:val="000000" w:themeColor="text1"/>
          <w:szCs w:val="21"/>
        </w:rPr>
        <w:t>&gt;6 cm</w:t>
      </w:r>
      <w:r w:rsidRPr="00BA3C8C">
        <w:rPr>
          <w:rFonts w:ascii="Times New Roman" w:hAnsi="Times New Roman" w:cs="Times New Roman"/>
          <w:color w:val="000000" w:themeColor="text1"/>
          <w:szCs w:val="21"/>
        </w:rPr>
        <w:t>、子宫明显大于停经月份、有重复性葡萄胎史等</w:t>
      </w:r>
      <w:r w:rsidRPr="00BA3C8C">
        <w:rPr>
          <w:rFonts w:ascii="Times New Roman" w:hAnsi="Times New Roman" w:cs="Times New Roman"/>
          <w:color w:val="000000" w:themeColor="text1"/>
          <w:szCs w:val="21"/>
          <w:vertAlign w:val="superscript"/>
        </w:rPr>
        <w:t>[9,10]</w:t>
      </w:r>
      <w:r w:rsidRPr="00BA3C8C">
        <w:rPr>
          <w:rFonts w:ascii="Times New Roman" w:hAnsi="Times New Roman" w:cs="Times New Roman"/>
          <w:color w:val="000000" w:themeColor="text1"/>
          <w:szCs w:val="21"/>
        </w:rPr>
        <w:t>。</w:t>
      </w:r>
      <w:r w:rsidRPr="00BA3C8C">
        <w:rPr>
          <w:rFonts w:ascii="Times New Roman" w:hAnsi="Times New Roman" w:cs="Times New Roman"/>
          <w:color w:val="000000" w:themeColor="text1"/>
          <w:szCs w:val="21"/>
        </w:rPr>
        <w:t>&gt;40</w:t>
      </w:r>
      <w:r w:rsidRPr="00BA3C8C">
        <w:rPr>
          <w:rFonts w:ascii="Times New Roman" w:hAnsi="Times New Roman" w:cs="Times New Roman"/>
          <w:color w:val="000000" w:themeColor="text1"/>
          <w:szCs w:val="21"/>
        </w:rPr>
        <w:t>岁的中老年葡萄胎患者被认为是恶变高危患者，临床一般进行预防性化疗，本研究结果显示，</w:t>
      </w:r>
      <w:r w:rsidRPr="00BA3C8C">
        <w:rPr>
          <w:rFonts w:ascii="Times New Roman" w:hAnsi="Times New Roman" w:cs="Times New Roman" w:hint="eastAsia"/>
          <w:color w:val="000000" w:themeColor="text1"/>
          <w:szCs w:val="21"/>
        </w:rPr>
        <w:t>观察组</w:t>
      </w:r>
      <w:r w:rsidRPr="00BA3C8C">
        <w:rPr>
          <w:rFonts w:ascii="Times New Roman" w:hAnsi="Times New Roman" w:cs="Times New Roman"/>
          <w:color w:val="000000" w:themeColor="text1"/>
          <w:szCs w:val="21"/>
        </w:rPr>
        <w:t>和对照</w:t>
      </w:r>
      <w:proofErr w:type="gramStart"/>
      <w:r w:rsidRPr="00BA3C8C">
        <w:rPr>
          <w:rFonts w:ascii="Times New Roman" w:hAnsi="Times New Roman" w:cs="Times New Roman"/>
          <w:color w:val="000000" w:themeColor="text1"/>
          <w:szCs w:val="21"/>
        </w:rPr>
        <w:t>组</w:t>
      </w:r>
      <w:r w:rsidRPr="00BA3C8C">
        <w:rPr>
          <w:rFonts w:ascii="Times New Roman" w:hAnsi="Times New Roman" w:cs="Times New Roman" w:hint="eastAsia"/>
          <w:color w:val="000000" w:themeColor="text1"/>
          <w:szCs w:val="21"/>
        </w:rPr>
        <w:t>完全</w:t>
      </w:r>
      <w:proofErr w:type="gramEnd"/>
      <w:r w:rsidRPr="00BA3C8C">
        <w:rPr>
          <w:rFonts w:ascii="Times New Roman" w:hAnsi="Times New Roman" w:cs="Times New Roman" w:hint="eastAsia"/>
          <w:color w:val="000000" w:themeColor="text1"/>
          <w:szCs w:val="21"/>
        </w:rPr>
        <w:t>缓解</w:t>
      </w:r>
      <w:r w:rsidRPr="00BA3C8C">
        <w:rPr>
          <w:rFonts w:ascii="Times New Roman" w:hAnsi="Times New Roman" w:cs="Times New Roman"/>
          <w:color w:val="000000" w:themeColor="text1"/>
          <w:szCs w:val="21"/>
        </w:rPr>
        <w:t>率分别为</w:t>
      </w:r>
      <w:r w:rsidRPr="00BA3C8C">
        <w:rPr>
          <w:rFonts w:ascii="Times New Roman" w:hAnsi="Times New Roman" w:cs="Times New Roman"/>
          <w:color w:val="000000" w:themeColor="text1"/>
          <w:szCs w:val="21"/>
        </w:rPr>
        <w:t>93.75%</w:t>
      </w:r>
      <w:r w:rsidRPr="00BA3C8C">
        <w:rPr>
          <w:rFonts w:ascii="Times New Roman" w:hAnsi="Times New Roman" w:cs="Times New Roman"/>
          <w:color w:val="000000" w:themeColor="text1"/>
          <w:szCs w:val="21"/>
        </w:rPr>
        <w:t>和</w:t>
      </w:r>
      <w:r w:rsidRPr="00BA3C8C">
        <w:rPr>
          <w:rFonts w:ascii="Times New Roman" w:hAnsi="Times New Roman" w:cs="Times New Roman"/>
          <w:color w:val="000000" w:themeColor="text1"/>
          <w:szCs w:val="21"/>
        </w:rPr>
        <w:t>95.65%</w:t>
      </w:r>
      <w:r w:rsidRPr="00BA3C8C">
        <w:rPr>
          <w:rFonts w:ascii="Times New Roman" w:hAnsi="Times New Roman" w:cs="Times New Roman"/>
          <w:color w:val="000000" w:themeColor="text1"/>
          <w:szCs w:val="21"/>
        </w:rPr>
        <w:t>，两组临床疗效比较差异无统计学意义（</w:t>
      </w:r>
      <w:r w:rsidRPr="00BA3C8C">
        <w:rPr>
          <w:rFonts w:ascii="Times New Roman" w:hAnsi="Times New Roman" w:cs="Times New Roman"/>
          <w:color w:val="000000" w:themeColor="text1"/>
          <w:szCs w:val="21"/>
        </w:rPr>
        <w:t>P&gt;0.05</w:t>
      </w:r>
      <w:r w:rsidRPr="00BA3C8C">
        <w:rPr>
          <w:rFonts w:ascii="Times New Roman" w:hAnsi="Times New Roman" w:cs="Times New Roman"/>
          <w:color w:val="000000" w:themeColor="text1"/>
          <w:szCs w:val="21"/>
        </w:rPr>
        <w:t>），两组复发、转移、异常阴道流血率比较差异均无统计学意义（</w:t>
      </w:r>
      <w:r w:rsidRPr="00BA3C8C">
        <w:rPr>
          <w:rFonts w:ascii="Times New Roman" w:hAnsi="Times New Roman" w:cs="Times New Roman"/>
          <w:color w:val="000000" w:themeColor="text1"/>
          <w:szCs w:val="21"/>
        </w:rPr>
        <w:t>P&gt;0.05</w:t>
      </w:r>
      <w:r w:rsidRPr="00BA3C8C">
        <w:rPr>
          <w:rFonts w:ascii="Times New Roman" w:hAnsi="Times New Roman" w:cs="Times New Roman"/>
          <w:color w:val="000000" w:themeColor="text1"/>
          <w:szCs w:val="21"/>
        </w:rPr>
        <w:t>），表明在预防性化疗对中老年侵蚀性葡萄胎患者中治疗结局和生存状况均无显著影响，患者并没有从预防性化疗中显著获益，反而增加了化疗疗程数。</w:t>
      </w:r>
    </w:p>
    <w:p w:rsidR="00D3620B" w:rsidRPr="00BA3C8C" w:rsidRDefault="00BA3C8C">
      <w:pPr>
        <w:spacing w:line="276" w:lineRule="auto"/>
        <w:ind w:firstLineChars="200" w:firstLine="42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临床上一直对行清宫术治疗的葡萄胎患者是否实施预防性化疗存在争议，其原因在于</w:t>
      </w:r>
      <w:r w:rsidRPr="00BA3C8C">
        <w:rPr>
          <w:rFonts w:ascii="Times New Roman" w:hAnsi="Times New Roman" w:cs="Times New Roman"/>
          <w:color w:val="000000" w:themeColor="text1"/>
          <w:szCs w:val="21"/>
          <w:vertAlign w:val="superscript"/>
        </w:rPr>
        <w:t>[11-13]</w:t>
      </w:r>
      <w:r w:rsidRPr="00BA3C8C">
        <w:rPr>
          <w:rFonts w:ascii="Times New Roman" w:hAnsi="Times New Roman" w:cs="Times New Roman"/>
          <w:color w:val="000000" w:themeColor="text1"/>
          <w:szCs w:val="21"/>
        </w:rPr>
        <w:t>：</w:t>
      </w:r>
      <w:r w:rsidRPr="00BA3C8C">
        <w:rPr>
          <w:rFonts w:ascii="Times New Roman" w:hAnsi="Times New Roman" w:cs="Times New Roman" w:hint="eastAsia"/>
          <w:color w:val="000000" w:themeColor="text1"/>
          <w:szCs w:val="21"/>
        </w:rPr>
        <w:t>（</w:t>
      </w:r>
      <w:r w:rsidRPr="00BA3C8C">
        <w:rPr>
          <w:rFonts w:ascii="Times New Roman" w:hAnsi="Times New Roman" w:cs="Times New Roman" w:hint="eastAsia"/>
          <w:color w:val="000000" w:themeColor="text1"/>
          <w:szCs w:val="21"/>
        </w:rPr>
        <w:t>1</w:t>
      </w:r>
      <w:r w:rsidRPr="00BA3C8C">
        <w:rPr>
          <w:rFonts w:ascii="Times New Roman" w:hAnsi="Times New Roman" w:cs="Times New Roman" w:hint="eastAsia"/>
          <w:color w:val="000000" w:themeColor="text1"/>
          <w:szCs w:val="21"/>
        </w:rPr>
        <w:t>）</w:t>
      </w:r>
      <w:r w:rsidRPr="00BA3C8C">
        <w:rPr>
          <w:rFonts w:ascii="Times New Roman" w:hAnsi="Times New Roman" w:cs="Times New Roman"/>
          <w:color w:val="000000" w:themeColor="text1"/>
          <w:szCs w:val="21"/>
        </w:rPr>
        <w:t>大多数接受清宫术治疗的葡萄胎患者术后</w:t>
      </w:r>
      <w:r w:rsidRPr="00BA3C8C">
        <w:rPr>
          <w:rFonts w:ascii="Times New Roman" w:hAnsi="Times New Roman" w:cs="Times New Roman"/>
          <w:color w:val="000000" w:themeColor="text1"/>
          <w:szCs w:val="21"/>
        </w:rPr>
        <w:t>β-HCG</w:t>
      </w:r>
      <w:r w:rsidRPr="00BA3C8C">
        <w:rPr>
          <w:rFonts w:ascii="Times New Roman" w:hAnsi="Times New Roman" w:cs="Times New Roman"/>
          <w:color w:val="000000" w:themeColor="text1"/>
          <w:szCs w:val="21"/>
        </w:rPr>
        <w:t>可恢复正常，可通过对血清</w:t>
      </w:r>
      <w:r w:rsidRPr="00BA3C8C">
        <w:rPr>
          <w:rFonts w:ascii="Times New Roman" w:hAnsi="Times New Roman" w:cs="Times New Roman"/>
          <w:color w:val="000000" w:themeColor="text1"/>
          <w:szCs w:val="21"/>
        </w:rPr>
        <w:t xml:space="preserve">β-HCG </w:t>
      </w:r>
      <w:r w:rsidRPr="00BA3C8C">
        <w:rPr>
          <w:rFonts w:ascii="Times New Roman" w:hAnsi="Times New Roman" w:cs="Times New Roman"/>
          <w:color w:val="000000" w:themeColor="text1"/>
          <w:szCs w:val="21"/>
        </w:rPr>
        <w:t>水平进行定期随访，在确诊为侵蚀性葡萄胎后再进行化疗治疗；（</w:t>
      </w:r>
      <w:r w:rsidRPr="00BA3C8C">
        <w:rPr>
          <w:rFonts w:ascii="Times New Roman" w:hAnsi="Times New Roman" w:cs="Times New Roman"/>
          <w:color w:val="000000" w:themeColor="text1"/>
          <w:szCs w:val="21"/>
        </w:rPr>
        <w:t>2</w:t>
      </w:r>
      <w:r w:rsidRPr="00BA3C8C">
        <w:rPr>
          <w:rFonts w:ascii="Times New Roman" w:hAnsi="Times New Roman" w:cs="Times New Roman"/>
          <w:color w:val="000000" w:themeColor="text1"/>
          <w:szCs w:val="21"/>
        </w:rPr>
        <w:t>）预防性化疗中应用的化疗药物对患者存在毒副反应，使得预测葡萄胎恶变患者的难度增加；</w:t>
      </w:r>
      <w:r w:rsidRPr="00BA3C8C">
        <w:rPr>
          <w:rFonts w:ascii="Times New Roman" w:hAnsi="Times New Roman" w:cs="Times New Roman" w:hint="eastAsia"/>
          <w:color w:val="000000" w:themeColor="text1"/>
          <w:szCs w:val="21"/>
        </w:rPr>
        <w:t>（</w:t>
      </w:r>
      <w:r w:rsidRPr="00BA3C8C">
        <w:rPr>
          <w:rFonts w:ascii="Times New Roman" w:hAnsi="Times New Roman" w:cs="Times New Roman" w:hint="eastAsia"/>
          <w:color w:val="000000" w:themeColor="text1"/>
          <w:szCs w:val="21"/>
        </w:rPr>
        <w:t>3</w:t>
      </w:r>
      <w:r w:rsidRPr="00BA3C8C">
        <w:rPr>
          <w:rFonts w:ascii="Times New Roman" w:hAnsi="Times New Roman" w:cs="Times New Roman" w:hint="eastAsia"/>
          <w:color w:val="000000" w:themeColor="text1"/>
          <w:szCs w:val="21"/>
        </w:rPr>
        <w:t>）</w:t>
      </w:r>
      <w:r w:rsidRPr="00BA3C8C">
        <w:rPr>
          <w:rFonts w:ascii="Times New Roman" w:hAnsi="Times New Roman" w:cs="Times New Roman"/>
          <w:color w:val="000000" w:themeColor="text1"/>
          <w:szCs w:val="21"/>
        </w:rPr>
        <w:t>预防性化疗药物治疗后，患者发生恶变时存在耐药的可能。</w:t>
      </w:r>
      <w:r w:rsidRPr="00BA3C8C">
        <w:rPr>
          <w:rFonts w:ascii="Times New Roman" w:hAnsi="Times New Roman" w:cs="Times New Roman"/>
          <w:color w:val="000000" w:themeColor="text1"/>
          <w:szCs w:val="21"/>
        </w:rPr>
        <w:t>2015</w:t>
      </w:r>
      <w:r w:rsidRPr="00BA3C8C">
        <w:rPr>
          <w:rFonts w:ascii="Times New Roman" w:hAnsi="Times New Roman" w:cs="Times New Roman"/>
          <w:color w:val="000000" w:themeColor="text1"/>
          <w:szCs w:val="21"/>
        </w:rPr>
        <w:t>年</w:t>
      </w:r>
      <w:bookmarkStart w:id="15" w:name="OLE_LINK4"/>
      <w:bookmarkStart w:id="16" w:name="OLE_LINK3"/>
      <w:r w:rsidRPr="00BA3C8C">
        <w:rPr>
          <w:rFonts w:ascii="Times New Roman" w:hAnsi="Times New Roman" w:cs="Times New Roman"/>
          <w:color w:val="000000" w:themeColor="text1"/>
          <w:szCs w:val="21"/>
        </w:rPr>
        <w:t>FIGO</w:t>
      </w:r>
      <w:bookmarkEnd w:id="15"/>
      <w:bookmarkEnd w:id="16"/>
      <w:r w:rsidRPr="00BA3C8C">
        <w:rPr>
          <w:rFonts w:ascii="Times New Roman" w:hAnsi="Times New Roman" w:cs="Times New Roman"/>
          <w:color w:val="000000" w:themeColor="text1"/>
          <w:szCs w:val="21"/>
        </w:rPr>
        <w:t>关于妊娠滋养细胞肿瘤诊治指南中也明确表，葡萄胎后血清</w:t>
      </w:r>
      <w:r w:rsidRPr="00BA3C8C">
        <w:rPr>
          <w:rFonts w:ascii="Times New Roman" w:hAnsi="Times New Roman" w:cs="Times New Roman"/>
          <w:color w:val="000000" w:themeColor="text1"/>
          <w:szCs w:val="21"/>
        </w:rPr>
        <w:t>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水平可自然降至正常水平的患者发展为妊娠滋养细胞肿瘤的可能性极低</w:t>
      </w:r>
      <w:r w:rsidRPr="00BA3C8C">
        <w:rPr>
          <w:rFonts w:ascii="Times New Roman" w:hAnsi="Times New Roman" w:cs="Times New Roman"/>
          <w:color w:val="000000" w:themeColor="text1"/>
          <w:szCs w:val="21"/>
          <w:vertAlign w:val="superscript"/>
        </w:rPr>
        <w:t>[14]</w:t>
      </w:r>
      <w:r w:rsidRPr="00BA3C8C">
        <w:rPr>
          <w:rFonts w:ascii="Times New Roman" w:hAnsi="Times New Roman" w:cs="Times New Roman"/>
          <w:color w:val="000000" w:themeColor="text1"/>
          <w:szCs w:val="21"/>
        </w:rPr>
        <w:t>。因此，对于年龄</w:t>
      </w:r>
      <w:r w:rsidRPr="00BA3C8C">
        <w:rPr>
          <w:rFonts w:ascii="Times New Roman" w:hAnsi="Times New Roman" w:cs="Times New Roman"/>
          <w:color w:val="000000" w:themeColor="text1"/>
          <w:szCs w:val="21"/>
        </w:rPr>
        <w:t>&gt;40</w:t>
      </w:r>
      <w:r w:rsidRPr="00BA3C8C">
        <w:rPr>
          <w:rFonts w:ascii="Times New Roman" w:hAnsi="Times New Roman" w:cs="Times New Roman"/>
          <w:color w:val="000000" w:themeColor="text1"/>
          <w:szCs w:val="21"/>
        </w:rPr>
        <w:t>岁作为使用预防性化疗的高危因素是不科学的，临床上应把监视</w:t>
      </w:r>
      <w:r w:rsidRPr="00BA3C8C">
        <w:rPr>
          <w:rFonts w:ascii="Times New Roman" w:hAnsi="Times New Roman" w:cs="Times New Roman"/>
          <w:color w:val="000000" w:themeColor="text1"/>
          <w:szCs w:val="21"/>
        </w:rPr>
        <w:t>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水平作为评估是否恶变的指标，在确诊为侵蚀性葡萄胎后再进行化疗治疗。目前多数文献也支持在血清</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水平测定困难、难以随诊的患者中应用预防性化疗，</w:t>
      </w:r>
      <w:proofErr w:type="gramStart"/>
      <w:r w:rsidRPr="00BA3C8C">
        <w:rPr>
          <w:rFonts w:ascii="Times New Roman" w:hAnsi="Times New Roman" w:cs="Times New Roman"/>
          <w:color w:val="000000" w:themeColor="text1"/>
          <w:szCs w:val="21"/>
        </w:rPr>
        <w:t>且建议</w:t>
      </w:r>
      <w:proofErr w:type="gramEnd"/>
      <w:r w:rsidRPr="00BA3C8C">
        <w:rPr>
          <w:rFonts w:ascii="Times New Roman" w:hAnsi="Times New Roman" w:cs="Times New Roman"/>
          <w:color w:val="000000" w:themeColor="text1"/>
          <w:szCs w:val="21"/>
        </w:rPr>
        <w:t>对该类预防性化疗患者进行长期严密随诊</w:t>
      </w:r>
      <w:r w:rsidRPr="00BA3C8C">
        <w:rPr>
          <w:rFonts w:ascii="Times New Roman" w:hAnsi="Times New Roman" w:cs="Times New Roman"/>
          <w:color w:val="000000" w:themeColor="text1"/>
          <w:szCs w:val="21"/>
          <w:vertAlign w:val="superscript"/>
        </w:rPr>
        <w:t>[15]</w:t>
      </w:r>
      <w:r w:rsidRPr="00BA3C8C">
        <w:rPr>
          <w:rFonts w:ascii="Times New Roman" w:hAnsi="Times New Roman" w:cs="Times New Roman"/>
          <w:color w:val="000000" w:themeColor="text1"/>
          <w:szCs w:val="21"/>
        </w:rPr>
        <w:t>。</w:t>
      </w:r>
    </w:p>
    <w:p w:rsidR="00D3620B" w:rsidRPr="00BA3C8C" w:rsidRDefault="00BA3C8C">
      <w:pPr>
        <w:spacing w:line="276" w:lineRule="auto"/>
        <w:ind w:firstLineChars="200" w:firstLine="42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综上所述，鉴于中老年葡萄胎患者并未从预防性化疗中明显临床获益，且存在诸多潜在风险，笔者建议对仅具有年龄</w:t>
      </w:r>
      <w:r w:rsidRPr="00BA3C8C">
        <w:rPr>
          <w:rFonts w:ascii="Times New Roman" w:hAnsi="Times New Roman" w:cs="Times New Roman"/>
          <w:color w:val="000000" w:themeColor="text1"/>
          <w:szCs w:val="21"/>
        </w:rPr>
        <w:t>&gt;40</w:t>
      </w:r>
      <w:r w:rsidRPr="00BA3C8C">
        <w:rPr>
          <w:rFonts w:ascii="Times New Roman" w:hAnsi="Times New Roman" w:cs="Times New Roman"/>
          <w:color w:val="000000" w:themeColor="text1"/>
          <w:szCs w:val="21"/>
        </w:rPr>
        <w:t>岁一项高危因素的葡萄胎患者不进行预防性化疗，而应密切随访监测血清</w:t>
      </w:r>
      <w:r w:rsidRPr="00BA3C8C">
        <w:rPr>
          <w:rFonts w:ascii="Times New Roman" w:hAnsi="Times New Roman" w:cs="Times New Roman"/>
          <w:color w:val="000000" w:themeColor="text1"/>
          <w:szCs w:val="21"/>
        </w:rPr>
        <w:t>β-</w:t>
      </w:r>
      <w:proofErr w:type="spellStart"/>
      <w:r w:rsidRPr="00BA3C8C">
        <w:rPr>
          <w:rFonts w:ascii="Times New Roman" w:hAnsi="Times New Roman" w:cs="Times New Roman"/>
          <w:color w:val="000000" w:themeColor="text1"/>
          <w:szCs w:val="21"/>
        </w:rPr>
        <w:t>hCG</w:t>
      </w:r>
      <w:proofErr w:type="spellEnd"/>
      <w:r w:rsidRPr="00BA3C8C">
        <w:rPr>
          <w:rFonts w:ascii="Times New Roman" w:hAnsi="Times New Roman" w:cs="Times New Roman"/>
          <w:color w:val="000000" w:themeColor="text1"/>
          <w:szCs w:val="21"/>
        </w:rPr>
        <w:t>水平，确诊为侵蚀性葡萄胎后再进行化疗治疗。但本研究纳入样本数量有限，该结论尚需大样本研究论证。</w:t>
      </w:r>
    </w:p>
    <w:p w:rsidR="00D3620B" w:rsidRPr="00BA3C8C" w:rsidRDefault="00D3620B">
      <w:pPr>
        <w:spacing w:line="276" w:lineRule="auto"/>
        <w:rPr>
          <w:rFonts w:ascii="Times New Roman" w:hAnsi="Times New Roman" w:cs="Times New Roman"/>
          <w:color w:val="000000" w:themeColor="text1"/>
          <w:szCs w:val="21"/>
        </w:rPr>
      </w:pPr>
    </w:p>
    <w:p w:rsidR="00D3620B" w:rsidRPr="00BA3C8C" w:rsidRDefault="00D3620B">
      <w:pPr>
        <w:spacing w:line="276" w:lineRule="auto"/>
        <w:rPr>
          <w:rFonts w:ascii="Times New Roman" w:hAnsi="Times New Roman" w:cs="Times New Roman"/>
          <w:color w:val="000000" w:themeColor="text1"/>
          <w:szCs w:val="21"/>
        </w:rPr>
      </w:pPr>
    </w:p>
    <w:p w:rsidR="00D3620B" w:rsidRPr="00BA3C8C" w:rsidRDefault="00D3620B">
      <w:pPr>
        <w:spacing w:line="276" w:lineRule="auto"/>
        <w:rPr>
          <w:rFonts w:ascii="Times New Roman" w:hAnsi="Times New Roman" w:cs="Times New Roman"/>
          <w:color w:val="000000" w:themeColor="text1"/>
          <w:szCs w:val="21"/>
        </w:rPr>
      </w:pPr>
    </w:p>
    <w:p w:rsidR="00D3620B" w:rsidRPr="00BA3C8C" w:rsidRDefault="00BA3C8C">
      <w:pPr>
        <w:spacing w:line="276" w:lineRule="auto"/>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rPr>
        <w:t>参考文献</w:t>
      </w:r>
    </w:p>
    <w:bookmarkEnd w:id="2"/>
    <w:p w:rsidR="00D3620B" w:rsidRPr="00BA3C8C" w:rsidRDefault="00BA3C8C">
      <w:pPr>
        <w:pStyle w:val="aa"/>
        <w:numPr>
          <w:ilvl w:val="0"/>
          <w:numId w:val="2"/>
        </w:numPr>
        <w:spacing w:line="276" w:lineRule="auto"/>
        <w:ind w:firstLineChars="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shd w:val="clear" w:color="auto" w:fill="FFFFFF"/>
        </w:rPr>
        <w:t>王亚玲</w:t>
      </w:r>
      <w:r w:rsidRPr="00BA3C8C">
        <w:rPr>
          <w:rFonts w:ascii="Times New Roman" w:hAnsi="Times New Roman" w:cs="Times New Roman"/>
          <w:color w:val="000000" w:themeColor="text1"/>
          <w:szCs w:val="21"/>
          <w:shd w:val="clear" w:color="auto" w:fill="FFFFFF"/>
        </w:rPr>
        <w:t xml:space="preserve">. </w:t>
      </w:r>
      <w:r w:rsidRPr="00BA3C8C">
        <w:rPr>
          <w:rFonts w:ascii="Times New Roman" w:hAnsi="Times New Roman" w:cs="Times New Roman"/>
          <w:color w:val="000000" w:themeColor="text1"/>
          <w:szCs w:val="21"/>
          <w:shd w:val="clear" w:color="auto" w:fill="FFFFFF"/>
        </w:rPr>
        <w:t>葡萄胎预防性化疗</w:t>
      </w:r>
      <w:r w:rsidRPr="00BA3C8C">
        <w:rPr>
          <w:rFonts w:ascii="Times New Roman" w:hAnsi="Times New Roman" w:cs="Times New Roman"/>
          <w:color w:val="000000" w:themeColor="text1"/>
          <w:szCs w:val="21"/>
          <w:shd w:val="clear" w:color="auto" w:fill="FFFFFF"/>
        </w:rPr>
        <w:t xml:space="preserve"> 33 </w:t>
      </w:r>
      <w:r w:rsidRPr="00BA3C8C">
        <w:rPr>
          <w:rFonts w:ascii="Times New Roman" w:hAnsi="Times New Roman" w:cs="Times New Roman"/>
          <w:color w:val="000000" w:themeColor="text1"/>
          <w:szCs w:val="21"/>
          <w:shd w:val="clear" w:color="auto" w:fill="FFFFFF"/>
        </w:rPr>
        <w:t>例临床分析</w:t>
      </w:r>
      <w:r w:rsidRPr="00BA3C8C">
        <w:rPr>
          <w:rFonts w:ascii="Times New Roman" w:hAnsi="Times New Roman" w:cs="Times New Roman"/>
          <w:color w:val="000000" w:themeColor="text1"/>
          <w:szCs w:val="21"/>
          <w:shd w:val="clear" w:color="auto" w:fill="FFFFFF"/>
        </w:rPr>
        <w:t xml:space="preserve">[J]. </w:t>
      </w:r>
      <w:r w:rsidRPr="00BA3C8C">
        <w:rPr>
          <w:rFonts w:ascii="Times New Roman" w:hAnsi="Times New Roman" w:cs="Times New Roman"/>
          <w:color w:val="000000" w:themeColor="text1"/>
          <w:szCs w:val="21"/>
          <w:shd w:val="clear" w:color="auto" w:fill="FFFFFF"/>
        </w:rPr>
        <w:t>医学理论与实践</w:t>
      </w:r>
      <w:r w:rsidRPr="00BA3C8C">
        <w:rPr>
          <w:rFonts w:ascii="Times New Roman" w:hAnsi="Times New Roman" w:cs="Times New Roman"/>
          <w:color w:val="000000" w:themeColor="text1"/>
          <w:szCs w:val="21"/>
          <w:shd w:val="clear" w:color="auto" w:fill="FFFFFF"/>
        </w:rPr>
        <w:t>, 2014, 16(13): 1767-1768.</w:t>
      </w:r>
    </w:p>
    <w:p w:rsidR="00D3620B" w:rsidRPr="00BA3C8C" w:rsidRDefault="00BA3C8C">
      <w:pPr>
        <w:pStyle w:val="aa"/>
        <w:numPr>
          <w:ilvl w:val="0"/>
          <w:numId w:val="2"/>
        </w:numPr>
        <w:spacing w:line="276" w:lineRule="auto"/>
        <w:ind w:firstLineChars="0"/>
        <w:rPr>
          <w:rFonts w:ascii="Times New Roman" w:hAnsi="Times New Roman" w:cs="Times New Roman"/>
          <w:color w:val="000000" w:themeColor="text1"/>
          <w:szCs w:val="21"/>
        </w:rPr>
      </w:pPr>
      <w:proofErr w:type="spellStart"/>
      <w:r w:rsidRPr="00BA3C8C">
        <w:rPr>
          <w:rFonts w:ascii="Times New Roman" w:hAnsi="Times New Roman" w:cs="Times New Roman"/>
          <w:color w:val="000000" w:themeColor="text1"/>
          <w:szCs w:val="21"/>
          <w:shd w:val="clear" w:color="auto" w:fill="FFFFFF"/>
        </w:rPr>
        <w:lastRenderedPageBreak/>
        <w:t>Seckl</w:t>
      </w:r>
      <w:proofErr w:type="spellEnd"/>
      <w:r w:rsidRPr="00BA3C8C">
        <w:rPr>
          <w:rFonts w:ascii="Times New Roman" w:hAnsi="Times New Roman" w:cs="Times New Roman"/>
          <w:color w:val="000000" w:themeColor="text1"/>
          <w:szCs w:val="21"/>
          <w:shd w:val="clear" w:color="auto" w:fill="FFFFFF"/>
        </w:rPr>
        <w:t xml:space="preserve"> M. Authors' reply re: Hormonal contraceptive use before </w:t>
      </w:r>
      <w:proofErr w:type="spellStart"/>
      <w:r w:rsidRPr="00BA3C8C">
        <w:rPr>
          <w:rFonts w:ascii="Times New Roman" w:hAnsi="Times New Roman" w:cs="Times New Roman"/>
          <w:color w:val="000000" w:themeColor="text1"/>
          <w:szCs w:val="21"/>
          <w:shd w:val="clear" w:color="auto" w:fill="FFFFFF"/>
        </w:rPr>
        <w:t>hCG</w:t>
      </w:r>
      <w:proofErr w:type="spellEnd"/>
      <w:r w:rsidRPr="00BA3C8C">
        <w:rPr>
          <w:rFonts w:ascii="Times New Roman" w:hAnsi="Times New Roman" w:cs="Times New Roman"/>
          <w:color w:val="000000" w:themeColor="text1"/>
          <w:szCs w:val="21"/>
          <w:shd w:val="clear" w:color="auto" w:fill="FFFFFF"/>
        </w:rPr>
        <w:t xml:space="preserve"> remission does not increase the risk of gestational trophoblastic </w:t>
      </w:r>
      <w:proofErr w:type="spellStart"/>
      <w:r w:rsidRPr="00BA3C8C">
        <w:rPr>
          <w:rFonts w:ascii="Times New Roman" w:hAnsi="Times New Roman" w:cs="Times New Roman"/>
          <w:color w:val="000000" w:themeColor="text1"/>
          <w:szCs w:val="21"/>
          <w:shd w:val="clear" w:color="auto" w:fill="FFFFFF"/>
        </w:rPr>
        <w:t>neoplasia</w:t>
      </w:r>
      <w:proofErr w:type="spellEnd"/>
      <w:r w:rsidRPr="00BA3C8C">
        <w:rPr>
          <w:rFonts w:ascii="Times New Roman" w:hAnsi="Times New Roman" w:cs="Times New Roman"/>
          <w:color w:val="000000" w:themeColor="text1"/>
          <w:szCs w:val="21"/>
          <w:shd w:val="clear" w:color="auto" w:fill="FFFFFF"/>
        </w:rPr>
        <w:t xml:space="preserve"> following a complete </w:t>
      </w:r>
      <w:proofErr w:type="spellStart"/>
      <w:r w:rsidRPr="00BA3C8C">
        <w:rPr>
          <w:rFonts w:ascii="Times New Roman" w:hAnsi="Times New Roman" w:cs="Times New Roman"/>
          <w:color w:val="000000" w:themeColor="text1"/>
          <w:szCs w:val="21"/>
          <w:shd w:val="clear" w:color="auto" w:fill="FFFFFF"/>
        </w:rPr>
        <w:t>hydatidiform</w:t>
      </w:r>
      <w:proofErr w:type="spellEnd"/>
      <w:r w:rsidRPr="00BA3C8C">
        <w:rPr>
          <w:rFonts w:ascii="Times New Roman" w:hAnsi="Times New Roman" w:cs="Times New Roman"/>
          <w:color w:val="000000" w:themeColor="text1"/>
          <w:szCs w:val="21"/>
          <w:shd w:val="clear" w:color="auto" w:fill="FFFFFF"/>
        </w:rPr>
        <w:t xml:space="preserve"> mole: a historical database </w:t>
      </w:r>
      <w:proofErr w:type="gramStart"/>
      <w:r w:rsidRPr="00BA3C8C">
        <w:rPr>
          <w:rFonts w:ascii="Times New Roman" w:hAnsi="Times New Roman" w:cs="Times New Roman"/>
          <w:color w:val="000000" w:themeColor="text1"/>
          <w:szCs w:val="21"/>
          <w:shd w:val="clear" w:color="auto" w:fill="FFFFFF"/>
        </w:rPr>
        <w:t>review[</w:t>
      </w:r>
      <w:proofErr w:type="gramEnd"/>
      <w:r w:rsidRPr="00BA3C8C">
        <w:rPr>
          <w:rFonts w:ascii="Times New Roman" w:hAnsi="Times New Roman" w:cs="Times New Roman"/>
          <w:color w:val="000000" w:themeColor="text1"/>
          <w:szCs w:val="21"/>
          <w:shd w:val="clear" w:color="auto" w:fill="FFFFFF"/>
        </w:rPr>
        <w:t xml:space="preserve">J]. BJOG: An International Journal of Obstetrics &amp; </w:t>
      </w:r>
      <w:proofErr w:type="spellStart"/>
      <w:r w:rsidRPr="00BA3C8C">
        <w:rPr>
          <w:rFonts w:ascii="Times New Roman" w:hAnsi="Times New Roman" w:cs="Times New Roman"/>
          <w:color w:val="000000" w:themeColor="text1"/>
          <w:szCs w:val="21"/>
          <w:shd w:val="clear" w:color="auto" w:fill="FFFFFF"/>
        </w:rPr>
        <w:t>Gynaecology</w:t>
      </w:r>
      <w:proofErr w:type="spellEnd"/>
      <w:r w:rsidRPr="00BA3C8C">
        <w:rPr>
          <w:rFonts w:ascii="Times New Roman" w:hAnsi="Times New Roman" w:cs="Times New Roman"/>
          <w:color w:val="000000" w:themeColor="text1"/>
          <w:szCs w:val="21"/>
          <w:shd w:val="clear" w:color="auto" w:fill="FFFFFF"/>
        </w:rPr>
        <w:t>, 2016, 123(10): 1706-1707.</w:t>
      </w:r>
    </w:p>
    <w:p w:rsidR="00D3620B" w:rsidRPr="00BA3C8C" w:rsidRDefault="00BA3C8C">
      <w:pPr>
        <w:pStyle w:val="aa"/>
        <w:numPr>
          <w:ilvl w:val="0"/>
          <w:numId w:val="2"/>
        </w:numPr>
        <w:spacing w:line="276" w:lineRule="auto"/>
        <w:ind w:firstLineChars="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shd w:val="clear" w:color="auto" w:fill="FFFFFF"/>
        </w:rPr>
        <w:t xml:space="preserve">Giorgione V, </w:t>
      </w:r>
      <w:proofErr w:type="spellStart"/>
      <w:r w:rsidRPr="00BA3C8C">
        <w:rPr>
          <w:rFonts w:ascii="Times New Roman" w:hAnsi="Times New Roman" w:cs="Times New Roman"/>
          <w:color w:val="000000" w:themeColor="text1"/>
          <w:szCs w:val="21"/>
          <w:shd w:val="clear" w:color="auto" w:fill="FFFFFF"/>
        </w:rPr>
        <w:t>Bergamini</w:t>
      </w:r>
      <w:proofErr w:type="spellEnd"/>
      <w:r w:rsidRPr="00BA3C8C">
        <w:rPr>
          <w:rFonts w:ascii="Times New Roman" w:hAnsi="Times New Roman" w:cs="Times New Roman"/>
          <w:color w:val="000000" w:themeColor="text1"/>
          <w:szCs w:val="21"/>
          <w:shd w:val="clear" w:color="auto" w:fill="FFFFFF"/>
        </w:rPr>
        <w:t xml:space="preserve"> A, </w:t>
      </w:r>
      <w:proofErr w:type="spellStart"/>
      <w:r w:rsidRPr="00BA3C8C">
        <w:rPr>
          <w:rFonts w:ascii="Times New Roman" w:hAnsi="Times New Roman" w:cs="Times New Roman"/>
          <w:color w:val="000000" w:themeColor="text1"/>
          <w:szCs w:val="21"/>
          <w:shd w:val="clear" w:color="auto" w:fill="FFFFFF"/>
        </w:rPr>
        <w:t>Cioffi</w:t>
      </w:r>
      <w:proofErr w:type="spellEnd"/>
      <w:r w:rsidRPr="00BA3C8C">
        <w:rPr>
          <w:rFonts w:ascii="Times New Roman" w:hAnsi="Times New Roman" w:cs="Times New Roman"/>
          <w:color w:val="000000" w:themeColor="text1"/>
          <w:szCs w:val="21"/>
          <w:shd w:val="clear" w:color="auto" w:fill="FFFFFF"/>
        </w:rPr>
        <w:t xml:space="preserve"> R, et al. Role of Surgery in the Management of </w:t>
      </w:r>
      <w:proofErr w:type="spellStart"/>
      <w:r w:rsidRPr="00BA3C8C">
        <w:rPr>
          <w:rFonts w:ascii="Times New Roman" w:hAnsi="Times New Roman" w:cs="Times New Roman"/>
          <w:color w:val="000000" w:themeColor="text1"/>
          <w:szCs w:val="21"/>
          <w:shd w:val="clear" w:color="auto" w:fill="FFFFFF"/>
        </w:rPr>
        <w:t>Hydatidiform</w:t>
      </w:r>
      <w:proofErr w:type="spellEnd"/>
      <w:r w:rsidRPr="00BA3C8C">
        <w:rPr>
          <w:rFonts w:ascii="Times New Roman" w:hAnsi="Times New Roman" w:cs="Times New Roman"/>
          <w:color w:val="000000" w:themeColor="text1"/>
          <w:szCs w:val="21"/>
          <w:shd w:val="clear" w:color="auto" w:fill="FFFFFF"/>
        </w:rPr>
        <w:t xml:space="preserve"> Mole in Elderly Patients: A Single-Center Clinical Experience[J]. International Journal of Gynecological Cancer, 2017, 27(3): 550-553.</w:t>
      </w:r>
    </w:p>
    <w:p w:rsidR="00D3620B" w:rsidRPr="00BA3C8C" w:rsidRDefault="00BA3C8C">
      <w:pPr>
        <w:pStyle w:val="aa"/>
        <w:numPr>
          <w:ilvl w:val="0"/>
          <w:numId w:val="2"/>
        </w:numPr>
        <w:spacing w:line="276" w:lineRule="auto"/>
        <w:ind w:firstLineChars="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shd w:val="clear" w:color="auto" w:fill="FFFFFF"/>
        </w:rPr>
        <w:t>尚宝兰</w:t>
      </w:r>
      <w:r w:rsidRPr="00BA3C8C">
        <w:rPr>
          <w:rFonts w:ascii="Times New Roman" w:hAnsi="Times New Roman" w:cs="Times New Roman"/>
          <w:color w:val="000000" w:themeColor="text1"/>
          <w:szCs w:val="21"/>
          <w:shd w:val="clear" w:color="auto" w:fill="FFFFFF"/>
        </w:rPr>
        <w:t xml:space="preserve">. </w:t>
      </w:r>
      <w:r w:rsidRPr="00BA3C8C">
        <w:rPr>
          <w:rFonts w:ascii="Times New Roman" w:hAnsi="Times New Roman" w:cs="Times New Roman"/>
          <w:color w:val="000000" w:themeColor="text1"/>
          <w:szCs w:val="21"/>
          <w:shd w:val="clear" w:color="auto" w:fill="FFFFFF"/>
        </w:rPr>
        <w:t>清宫术与预防性化疗治疗葡萄胎的临床效果研究</w:t>
      </w:r>
      <w:r w:rsidRPr="00BA3C8C">
        <w:rPr>
          <w:rFonts w:ascii="Times New Roman" w:hAnsi="Times New Roman" w:cs="Times New Roman"/>
          <w:color w:val="000000" w:themeColor="text1"/>
          <w:szCs w:val="21"/>
          <w:shd w:val="clear" w:color="auto" w:fill="FFFFFF"/>
        </w:rPr>
        <w:t xml:space="preserve">[J]. </w:t>
      </w:r>
      <w:r w:rsidRPr="00BA3C8C">
        <w:rPr>
          <w:rFonts w:ascii="Times New Roman" w:hAnsi="Times New Roman" w:cs="Times New Roman"/>
          <w:color w:val="000000" w:themeColor="text1"/>
          <w:szCs w:val="21"/>
          <w:shd w:val="clear" w:color="auto" w:fill="FFFFFF"/>
        </w:rPr>
        <w:t>现代诊断与治疗</w:t>
      </w:r>
      <w:r w:rsidRPr="00BA3C8C">
        <w:rPr>
          <w:rFonts w:ascii="Times New Roman" w:hAnsi="Times New Roman" w:cs="Times New Roman"/>
          <w:color w:val="000000" w:themeColor="text1"/>
          <w:szCs w:val="21"/>
          <w:shd w:val="clear" w:color="auto" w:fill="FFFFFF"/>
        </w:rPr>
        <w:t>, 2017, 16(7): 1274-1275.</w:t>
      </w:r>
    </w:p>
    <w:p w:rsidR="00D3620B" w:rsidRPr="00BA3C8C" w:rsidRDefault="00BA3C8C">
      <w:pPr>
        <w:pStyle w:val="aa"/>
        <w:numPr>
          <w:ilvl w:val="0"/>
          <w:numId w:val="2"/>
        </w:numPr>
        <w:spacing w:line="276" w:lineRule="auto"/>
        <w:ind w:firstLineChars="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shd w:val="clear" w:color="auto" w:fill="FFFFFF"/>
        </w:rPr>
        <w:t>刘春阳</w:t>
      </w:r>
      <w:r w:rsidRPr="00BA3C8C">
        <w:rPr>
          <w:rFonts w:ascii="Times New Roman" w:hAnsi="Times New Roman" w:cs="Times New Roman"/>
          <w:color w:val="000000" w:themeColor="text1"/>
          <w:szCs w:val="21"/>
          <w:shd w:val="clear" w:color="auto" w:fill="FFFFFF"/>
        </w:rPr>
        <w:t xml:space="preserve">. </w:t>
      </w:r>
      <w:r w:rsidRPr="00BA3C8C">
        <w:rPr>
          <w:rFonts w:ascii="Times New Roman" w:hAnsi="Times New Roman" w:cs="Times New Roman"/>
          <w:color w:val="000000" w:themeColor="text1"/>
          <w:szCs w:val="21"/>
          <w:shd w:val="clear" w:color="auto" w:fill="FFFFFF"/>
        </w:rPr>
        <w:t>葡萄胎清宫术后患者预防性给予</w:t>
      </w:r>
      <w:r w:rsidRPr="00BA3C8C">
        <w:rPr>
          <w:rFonts w:ascii="Times New Roman" w:hAnsi="Times New Roman" w:cs="Times New Roman"/>
          <w:color w:val="000000" w:themeColor="text1"/>
          <w:szCs w:val="21"/>
          <w:shd w:val="clear" w:color="auto" w:fill="FFFFFF"/>
        </w:rPr>
        <w:t xml:space="preserve"> 5-FU </w:t>
      </w:r>
      <w:r w:rsidRPr="00BA3C8C">
        <w:rPr>
          <w:rFonts w:ascii="Times New Roman" w:hAnsi="Times New Roman" w:cs="Times New Roman"/>
          <w:color w:val="000000" w:themeColor="text1"/>
          <w:szCs w:val="21"/>
          <w:shd w:val="clear" w:color="auto" w:fill="FFFFFF"/>
        </w:rPr>
        <w:t>化疗对其恶变率及月经周期的影响</w:t>
      </w:r>
      <w:r w:rsidRPr="00BA3C8C">
        <w:rPr>
          <w:rFonts w:ascii="Times New Roman" w:hAnsi="Times New Roman" w:cs="Times New Roman"/>
          <w:color w:val="000000" w:themeColor="text1"/>
          <w:szCs w:val="21"/>
          <w:shd w:val="clear" w:color="auto" w:fill="FFFFFF"/>
        </w:rPr>
        <w:t xml:space="preserve">[J]. </w:t>
      </w:r>
      <w:r w:rsidRPr="00BA3C8C">
        <w:rPr>
          <w:rFonts w:ascii="Times New Roman" w:hAnsi="Times New Roman" w:cs="Times New Roman"/>
          <w:color w:val="000000" w:themeColor="text1"/>
          <w:szCs w:val="21"/>
          <w:shd w:val="clear" w:color="auto" w:fill="FFFFFF"/>
        </w:rPr>
        <w:t>中国民康医学</w:t>
      </w:r>
      <w:r w:rsidRPr="00BA3C8C">
        <w:rPr>
          <w:rFonts w:ascii="Times New Roman" w:hAnsi="Times New Roman" w:cs="Times New Roman"/>
          <w:color w:val="000000" w:themeColor="text1"/>
          <w:szCs w:val="21"/>
          <w:shd w:val="clear" w:color="auto" w:fill="FFFFFF"/>
        </w:rPr>
        <w:t>, 2017, 29(6): 10-11.</w:t>
      </w:r>
    </w:p>
    <w:p w:rsidR="00D3620B" w:rsidRPr="00BA3C8C" w:rsidRDefault="00BA3C8C">
      <w:pPr>
        <w:pStyle w:val="aa"/>
        <w:numPr>
          <w:ilvl w:val="0"/>
          <w:numId w:val="2"/>
        </w:numPr>
        <w:spacing w:line="276" w:lineRule="auto"/>
        <w:ind w:firstLineChars="0"/>
        <w:rPr>
          <w:rFonts w:ascii="Times New Roman" w:hAnsi="Times New Roman" w:cs="Times New Roman"/>
          <w:color w:val="000000" w:themeColor="text1"/>
          <w:szCs w:val="21"/>
        </w:rPr>
      </w:pPr>
      <w:proofErr w:type="spellStart"/>
      <w:r w:rsidRPr="00BA3C8C">
        <w:rPr>
          <w:rFonts w:ascii="Times New Roman" w:hAnsi="Times New Roman" w:cs="Times New Roman" w:hint="eastAsia"/>
          <w:color w:val="000000" w:themeColor="text1"/>
          <w:szCs w:val="21"/>
          <w:shd w:val="clear" w:color="auto" w:fill="FFFFFF"/>
        </w:rPr>
        <w:t>Eto</w:t>
      </w:r>
      <w:proofErr w:type="spellEnd"/>
      <w:r w:rsidRPr="00BA3C8C">
        <w:rPr>
          <w:rFonts w:ascii="Times New Roman" w:hAnsi="Times New Roman" w:cs="Times New Roman" w:hint="eastAsia"/>
          <w:color w:val="000000" w:themeColor="text1"/>
          <w:szCs w:val="21"/>
          <w:shd w:val="clear" w:color="auto" w:fill="FFFFFF"/>
        </w:rPr>
        <w:t xml:space="preserve"> K , </w:t>
      </w:r>
      <w:proofErr w:type="spellStart"/>
      <w:r w:rsidRPr="00BA3C8C">
        <w:rPr>
          <w:rFonts w:ascii="Times New Roman" w:hAnsi="Times New Roman" w:cs="Times New Roman" w:hint="eastAsia"/>
          <w:color w:val="000000" w:themeColor="text1"/>
          <w:szCs w:val="21"/>
          <w:shd w:val="clear" w:color="auto" w:fill="FFFFFF"/>
        </w:rPr>
        <w:t>Hiki</w:t>
      </w:r>
      <w:proofErr w:type="spellEnd"/>
      <w:r w:rsidRPr="00BA3C8C">
        <w:rPr>
          <w:rFonts w:ascii="Times New Roman" w:hAnsi="Times New Roman" w:cs="Times New Roman" w:hint="eastAsia"/>
          <w:color w:val="000000" w:themeColor="text1"/>
          <w:szCs w:val="21"/>
          <w:shd w:val="clear" w:color="auto" w:fill="FFFFFF"/>
        </w:rPr>
        <w:t xml:space="preserve"> N , </w:t>
      </w:r>
      <w:proofErr w:type="spellStart"/>
      <w:r w:rsidRPr="00BA3C8C">
        <w:rPr>
          <w:rFonts w:ascii="Times New Roman" w:hAnsi="Times New Roman" w:cs="Times New Roman" w:hint="eastAsia"/>
          <w:color w:val="000000" w:themeColor="text1"/>
          <w:szCs w:val="21"/>
          <w:shd w:val="clear" w:color="auto" w:fill="FFFFFF"/>
        </w:rPr>
        <w:t>Kumagai</w:t>
      </w:r>
      <w:proofErr w:type="spellEnd"/>
      <w:r w:rsidRPr="00BA3C8C">
        <w:rPr>
          <w:rFonts w:ascii="Times New Roman" w:hAnsi="Times New Roman" w:cs="Times New Roman" w:hint="eastAsia"/>
          <w:color w:val="000000" w:themeColor="text1"/>
          <w:szCs w:val="21"/>
          <w:shd w:val="clear" w:color="auto" w:fill="FFFFFF"/>
        </w:rPr>
        <w:t xml:space="preserve"> K , Shoji Y , </w:t>
      </w:r>
      <w:proofErr w:type="spellStart"/>
      <w:r w:rsidRPr="00BA3C8C">
        <w:rPr>
          <w:rFonts w:ascii="Times New Roman" w:hAnsi="Times New Roman" w:cs="Times New Roman" w:hint="eastAsia"/>
          <w:color w:val="000000" w:themeColor="text1"/>
          <w:szCs w:val="21"/>
          <w:shd w:val="clear" w:color="auto" w:fill="FFFFFF"/>
        </w:rPr>
        <w:t>Tsuda</w:t>
      </w:r>
      <w:proofErr w:type="spellEnd"/>
      <w:r w:rsidRPr="00BA3C8C">
        <w:rPr>
          <w:rFonts w:ascii="Times New Roman" w:hAnsi="Times New Roman" w:cs="Times New Roman" w:hint="eastAsia"/>
          <w:color w:val="000000" w:themeColor="text1"/>
          <w:szCs w:val="21"/>
          <w:shd w:val="clear" w:color="auto" w:fill="FFFFFF"/>
        </w:rPr>
        <w:t xml:space="preserve"> Y , Kano Y , </w:t>
      </w:r>
      <w:proofErr w:type="spellStart"/>
      <w:r w:rsidRPr="00BA3C8C">
        <w:rPr>
          <w:rFonts w:ascii="Times New Roman" w:hAnsi="Times New Roman" w:cs="Times New Roman" w:hint="eastAsia"/>
          <w:color w:val="000000" w:themeColor="text1"/>
          <w:szCs w:val="21"/>
          <w:shd w:val="clear" w:color="auto" w:fill="FFFFFF"/>
        </w:rPr>
        <w:t>Yasufuku</w:t>
      </w:r>
      <w:proofErr w:type="spellEnd"/>
      <w:r w:rsidRPr="00BA3C8C">
        <w:rPr>
          <w:rFonts w:ascii="Times New Roman" w:hAnsi="Times New Roman" w:cs="Times New Roman" w:hint="eastAsia"/>
          <w:color w:val="000000" w:themeColor="text1"/>
          <w:szCs w:val="21"/>
          <w:shd w:val="clear" w:color="auto" w:fill="FFFFFF"/>
        </w:rPr>
        <w:t xml:space="preserve"> I , Okumura Y , </w:t>
      </w:r>
      <w:proofErr w:type="spellStart"/>
      <w:r w:rsidRPr="00BA3C8C">
        <w:rPr>
          <w:rFonts w:ascii="Times New Roman" w:hAnsi="Times New Roman" w:cs="Times New Roman" w:hint="eastAsia"/>
          <w:color w:val="000000" w:themeColor="text1"/>
          <w:szCs w:val="21"/>
          <w:shd w:val="clear" w:color="auto" w:fill="FFFFFF"/>
        </w:rPr>
        <w:t>Tsujiura</w:t>
      </w:r>
      <w:proofErr w:type="spellEnd"/>
      <w:r w:rsidRPr="00BA3C8C">
        <w:rPr>
          <w:rFonts w:ascii="Times New Roman" w:hAnsi="Times New Roman" w:cs="Times New Roman" w:hint="eastAsia"/>
          <w:color w:val="000000" w:themeColor="text1"/>
          <w:szCs w:val="21"/>
          <w:shd w:val="clear" w:color="auto" w:fill="FFFFFF"/>
        </w:rPr>
        <w:t xml:space="preserve"> M , Ida S , </w:t>
      </w:r>
      <w:proofErr w:type="spellStart"/>
      <w:r w:rsidRPr="00BA3C8C">
        <w:rPr>
          <w:rFonts w:ascii="Times New Roman" w:hAnsi="Times New Roman" w:cs="Times New Roman" w:hint="eastAsia"/>
          <w:color w:val="000000" w:themeColor="text1"/>
          <w:szCs w:val="21"/>
          <w:shd w:val="clear" w:color="auto" w:fill="FFFFFF"/>
        </w:rPr>
        <w:t>Nunobe</w:t>
      </w:r>
      <w:proofErr w:type="spellEnd"/>
      <w:r w:rsidRPr="00BA3C8C">
        <w:rPr>
          <w:rFonts w:ascii="Times New Roman" w:hAnsi="Times New Roman" w:cs="Times New Roman" w:hint="eastAsia"/>
          <w:color w:val="000000" w:themeColor="text1"/>
          <w:szCs w:val="21"/>
          <w:shd w:val="clear" w:color="auto" w:fill="FFFFFF"/>
        </w:rPr>
        <w:t xml:space="preserve"> S , </w:t>
      </w:r>
      <w:proofErr w:type="spellStart"/>
      <w:r w:rsidRPr="00BA3C8C">
        <w:rPr>
          <w:rFonts w:ascii="Times New Roman" w:hAnsi="Times New Roman" w:cs="Times New Roman" w:hint="eastAsia"/>
          <w:color w:val="000000" w:themeColor="text1"/>
          <w:szCs w:val="21"/>
          <w:shd w:val="clear" w:color="auto" w:fill="FFFFFF"/>
        </w:rPr>
        <w:t>Ohashi</w:t>
      </w:r>
      <w:proofErr w:type="spellEnd"/>
      <w:r w:rsidRPr="00BA3C8C">
        <w:rPr>
          <w:rFonts w:ascii="Times New Roman" w:hAnsi="Times New Roman" w:cs="Times New Roman" w:hint="eastAsia"/>
          <w:color w:val="000000" w:themeColor="text1"/>
          <w:szCs w:val="21"/>
          <w:shd w:val="clear" w:color="auto" w:fill="FFFFFF"/>
        </w:rPr>
        <w:t xml:space="preserve"> M , Sano T , Yamaguchi </w:t>
      </w:r>
      <w:proofErr w:type="spellStart"/>
      <w:r w:rsidRPr="00BA3C8C">
        <w:rPr>
          <w:rFonts w:ascii="Times New Roman" w:hAnsi="Times New Roman" w:cs="Times New Roman" w:hint="eastAsia"/>
          <w:color w:val="000000" w:themeColor="text1"/>
          <w:szCs w:val="21"/>
          <w:shd w:val="clear" w:color="auto" w:fill="FFFFFF"/>
        </w:rPr>
        <w:t>T,et,al.Prophylactic</w:t>
      </w:r>
      <w:proofErr w:type="spellEnd"/>
      <w:r w:rsidRPr="00BA3C8C">
        <w:rPr>
          <w:rFonts w:ascii="Times New Roman" w:hAnsi="Times New Roman" w:cs="Times New Roman" w:hint="eastAsia"/>
          <w:color w:val="000000" w:themeColor="text1"/>
          <w:szCs w:val="21"/>
          <w:shd w:val="clear" w:color="auto" w:fill="FFFFFF"/>
        </w:rPr>
        <w:t xml:space="preserve"> effect of </w:t>
      </w:r>
      <w:proofErr w:type="spellStart"/>
      <w:r w:rsidRPr="00BA3C8C">
        <w:rPr>
          <w:rFonts w:ascii="Times New Roman" w:hAnsi="Times New Roman" w:cs="Times New Roman" w:hint="eastAsia"/>
          <w:color w:val="000000" w:themeColor="text1"/>
          <w:szCs w:val="21"/>
          <w:shd w:val="clear" w:color="auto" w:fill="FFFFFF"/>
        </w:rPr>
        <w:t>neoadjuvant</w:t>
      </w:r>
      <w:proofErr w:type="spellEnd"/>
      <w:r w:rsidRPr="00BA3C8C">
        <w:rPr>
          <w:rFonts w:ascii="Times New Roman" w:hAnsi="Times New Roman" w:cs="Times New Roman" w:hint="eastAsia"/>
          <w:color w:val="000000" w:themeColor="text1"/>
          <w:szCs w:val="21"/>
          <w:shd w:val="clear" w:color="auto" w:fill="FFFFFF"/>
        </w:rPr>
        <w:t xml:space="preserve"> chemotherapy in gastric cancer patients with postoperative </w:t>
      </w:r>
      <w:proofErr w:type="spellStart"/>
      <w:r w:rsidRPr="00BA3C8C">
        <w:rPr>
          <w:rFonts w:ascii="Times New Roman" w:hAnsi="Times New Roman" w:cs="Times New Roman" w:hint="eastAsia"/>
          <w:color w:val="000000" w:themeColor="text1"/>
          <w:szCs w:val="21"/>
          <w:shd w:val="clear" w:color="auto" w:fill="FFFFFF"/>
        </w:rPr>
        <w:t>complications.Gastric</w:t>
      </w:r>
      <w:proofErr w:type="spellEnd"/>
      <w:r w:rsidRPr="00BA3C8C">
        <w:rPr>
          <w:rFonts w:ascii="Times New Roman" w:hAnsi="Times New Roman" w:cs="Times New Roman" w:hint="eastAsia"/>
          <w:color w:val="000000" w:themeColor="text1"/>
          <w:szCs w:val="21"/>
          <w:shd w:val="clear" w:color="auto" w:fill="FFFFFF"/>
        </w:rPr>
        <w:t xml:space="preserve"> cancer : official journal of the International Gastric Cancer Association and the Japanese Gastric Cancer Association 2018 07; 21 (4 ):703-709</w:t>
      </w:r>
    </w:p>
    <w:p w:rsidR="00D3620B" w:rsidRPr="00BA3C8C" w:rsidRDefault="00BA3C8C">
      <w:pPr>
        <w:pStyle w:val="aa"/>
        <w:numPr>
          <w:ilvl w:val="0"/>
          <w:numId w:val="2"/>
        </w:numPr>
        <w:spacing w:line="276" w:lineRule="auto"/>
        <w:ind w:firstLineChars="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shd w:val="clear" w:color="auto" w:fill="FFFFFF"/>
        </w:rPr>
        <w:t>王雪丽</w:t>
      </w:r>
      <w:r w:rsidRPr="00BA3C8C">
        <w:rPr>
          <w:rFonts w:ascii="Times New Roman" w:hAnsi="Times New Roman" w:cs="Times New Roman"/>
          <w:color w:val="000000" w:themeColor="text1"/>
          <w:szCs w:val="21"/>
          <w:shd w:val="clear" w:color="auto" w:fill="FFFFFF"/>
        </w:rPr>
        <w:t xml:space="preserve">. </w:t>
      </w:r>
      <w:r w:rsidRPr="00BA3C8C">
        <w:rPr>
          <w:rFonts w:ascii="Times New Roman" w:hAnsi="Times New Roman" w:cs="Times New Roman"/>
          <w:color w:val="000000" w:themeColor="text1"/>
          <w:szCs w:val="21"/>
          <w:shd w:val="clear" w:color="auto" w:fill="FFFFFF"/>
        </w:rPr>
        <w:t>清宫术和预防性化疗治疗葡萄胎的临床效果分析</w:t>
      </w:r>
      <w:r w:rsidRPr="00BA3C8C">
        <w:rPr>
          <w:rFonts w:ascii="Times New Roman" w:hAnsi="Times New Roman" w:cs="Times New Roman"/>
          <w:color w:val="000000" w:themeColor="text1"/>
          <w:szCs w:val="21"/>
          <w:shd w:val="clear" w:color="auto" w:fill="FFFFFF"/>
        </w:rPr>
        <w:t xml:space="preserve">[J]. </w:t>
      </w:r>
      <w:r w:rsidRPr="00BA3C8C">
        <w:rPr>
          <w:rFonts w:ascii="Times New Roman" w:hAnsi="Times New Roman" w:cs="Times New Roman"/>
          <w:color w:val="000000" w:themeColor="text1"/>
          <w:szCs w:val="21"/>
          <w:shd w:val="clear" w:color="auto" w:fill="FFFFFF"/>
        </w:rPr>
        <w:t>河南医学研究</w:t>
      </w:r>
      <w:r w:rsidRPr="00BA3C8C">
        <w:rPr>
          <w:rFonts w:ascii="Times New Roman" w:hAnsi="Times New Roman" w:cs="Times New Roman"/>
          <w:color w:val="000000" w:themeColor="text1"/>
          <w:szCs w:val="21"/>
          <w:shd w:val="clear" w:color="auto" w:fill="FFFFFF"/>
        </w:rPr>
        <w:t>, 2015, 16(9): 129-130.</w:t>
      </w:r>
    </w:p>
    <w:p w:rsidR="00D3620B" w:rsidRPr="00BA3C8C" w:rsidRDefault="00BA3C8C">
      <w:pPr>
        <w:pStyle w:val="aa"/>
        <w:numPr>
          <w:ilvl w:val="0"/>
          <w:numId w:val="2"/>
        </w:numPr>
        <w:spacing w:line="276" w:lineRule="auto"/>
        <w:ind w:firstLineChars="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shd w:val="clear" w:color="auto" w:fill="FFFFFF"/>
        </w:rPr>
        <w:t>闫真</w:t>
      </w:r>
      <w:r w:rsidRPr="00BA3C8C">
        <w:rPr>
          <w:rFonts w:ascii="Times New Roman" w:hAnsi="Times New Roman" w:cs="Times New Roman"/>
          <w:color w:val="000000" w:themeColor="text1"/>
          <w:szCs w:val="21"/>
          <w:shd w:val="clear" w:color="auto" w:fill="FFFFFF"/>
        </w:rPr>
        <w:t xml:space="preserve">. </w:t>
      </w:r>
      <w:r w:rsidRPr="00BA3C8C">
        <w:rPr>
          <w:rFonts w:ascii="Times New Roman" w:hAnsi="Times New Roman" w:cs="Times New Roman"/>
          <w:color w:val="000000" w:themeColor="text1"/>
          <w:szCs w:val="21"/>
          <w:shd w:val="clear" w:color="auto" w:fill="FFFFFF"/>
        </w:rPr>
        <w:t>葡萄胎恶变的高危因素和预防性化疗与手术效果分析</w:t>
      </w:r>
      <w:r w:rsidRPr="00BA3C8C">
        <w:rPr>
          <w:rFonts w:ascii="Times New Roman" w:hAnsi="Times New Roman" w:cs="Times New Roman"/>
          <w:color w:val="000000" w:themeColor="text1"/>
          <w:szCs w:val="21"/>
          <w:shd w:val="clear" w:color="auto" w:fill="FFFFFF"/>
        </w:rPr>
        <w:t xml:space="preserve">[J]. </w:t>
      </w:r>
      <w:r w:rsidRPr="00BA3C8C">
        <w:rPr>
          <w:rFonts w:ascii="Times New Roman" w:hAnsi="Times New Roman" w:cs="Times New Roman"/>
          <w:color w:val="000000" w:themeColor="text1"/>
          <w:szCs w:val="21"/>
          <w:shd w:val="clear" w:color="auto" w:fill="FFFFFF"/>
        </w:rPr>
        <w:t>西南国防医药</w:t>
      </w:r>
      <w:r w:rsidRPr="00BA3C8C">
        <w:rPr>
          <w:rFonts w:ascii="Times New Roman" w:hAnsi="Times New Roman" w:cs="Times New Roman"/>
          <w:color w:val="000000" w:themeColor="text1"/>
          <w:szCs w:val="21"/>
          <w:shd w:val="clear" w:color="auto" w:fill="FFFFFF"/>
        </w:rPr>
        <w:t>, 2014, 24(11): 1205-1207.</w:t>
      </w:r>
    </w:p>
    <w:p w:rsidR="00D3620B" w:rsidRPr="00BA3C8C" w:rsidRDefault="00BA3C8C">
      <w:pPr>
        <w:pStyle w:val="aa"/>
        <w:numPr>
          <w:ilvl w:val="0"/>
          <w:numId w:val="2"/>
        </w:numPr>
        <w:spacing w:line="276" w:lineRule="auto"/>
        <w:ind w:firstLineChars="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shd w:val="clear" w:color="auto" w:fill="FFFFFF"/>
        </w:rPr>
        <w:t>蒋诗阳</w:t>
      </w:r>
      <w:r w:rsidRPr="00BA3C8C">
        <w:rPr>
          <w:rFonts w:ascii="Times New Roman" w:hAnsi="Times New Roman" w:cs="Times New Roman"/>
          <w:color w:val="000000" w:themeColor="text1"/>
          <w:szCs w:val="21"/>
          <w:shd w:val="clear" w:color="auto" w:fill="FFFFFF"/>
        </w:rPr>
        <w:t xml:space="preserve">, </w:t>
      </w:r>
      <w:r w:rsidRPr="00BA3C8C">
        <w:rPr>
          <w:rFonts w:ascii="Times New Roman" w:hAnsi="Times New Roman" w:cs="Times New Roman"/>
          <w:color w:val="000000" w:themeColor="text1"/>
          <w:szCs w:val="21"/>
          <w:shd w:val="clear" w:color="auto" w:fill="FFFFFF"/>
        </w:rPr>
        <w:t>李玲</w:t>
      </w:r>
      <w:r w:rsidRPr="00BA3C8C">
        <w:rPr>
          <w:rFonts w:ascii="Times New Roman" w:hAnsi="Times New Roman" w:cs="Times New Roman"/>
          <w:color w:val="000000" w:themeColor="text1"/>
          <w:szCs w:val="21"/>
          <w:shd w:val="clear" w:color="auto" w:fill="FFFFFF"/>
        </w:rPr>
        <w:t xml:space="preserve">, </w:t>
      </w:r>
      <w:r w:rsidRPr="00BA3C8C">
        <w:rPr>
          <w:rFonts w:ascii="Times New Roman" w:hAnsi="Times New Roman" w:cs="Times New Roman"/>
          <w:color w:val="000000" w:themeColor="text1"/>
          <w:szCs w:val="21"/>
          <w:shd w:val="clear" w:color="auto" w:fill="FFFFFF"/>
        </w:rPr>
        <w:t>赵峻</w:t>
      </w:r>
      <w:r w:rsidRPr="00BA3C8C">
        <w:rPr>
          <w:rFonts w:ascii="Times New Roman" w:hAnsi="Times New Roman" w:cs="Times New Roman"/>
          <w:color w:val="000000" w:themeColor="text1"/>
          <w:szCs w:val="21"/>
          <w:shd w:val="clear" w:color="auto" w:fill="FFFFFF"/>
        </w:rPr>
        <w:t>,</w:t>
      </w:r>
      <w:r w:rsidRPr="00BA3C8C">
        <w:rPr>
          <w:rFonts w:ascii="Times New Roman" w:hAnsi="Times New Roman" w:cs="Times New Roman"/>
          <w:color w:val="000000" w:themeColor="text1"/>
          <w:szCs w:val="21"/>
          <w:shd w:val="clear" w:color="auto" w:fill="FFFFFF"/>
        </w:rPr>
        <w:t>等</w:t>
      </w:r>
      <w:r w:rsidRPr="00BA3C8C">
        <w:rPr>
          <w:rFonts w:ascii="Times New Roman" w:hAnsi="Times New Roman" w:cs="Times New Roman"/>
          <w:color w:val="000000" w:themeColor="text1"/>
          <w:szCs w:val="21"/>
          <w:shd w:val="clear" w:color="auto" w:fill="FFFFFF"/>
        </w:rPr>
        <w:t xml:space="preserve">. </w:t>
      </w:r>
      <w:r w:rsidRPr="00BA3C8C">
        <w:rPr>
          <w:rFonts w:ascii="Times New Roman" w:hAnsi="Times New Roman" w:cs="Times New Roman"/>
          <w:color w:val="000000" w:themeColor="text1"/>
          <w:szCs w:val="21"/>
          <w:shd w:val="clear" w:color="auto" w:fill="FFFFFF"/>
        </w:rPr>
        <w:t>预防性化疗对</w:t>
      </w:r>
      <w:r w:rsidRPr="00BA3C8C">
        <w:rPr>
          <w:rFonts w:ascii="Times New Roman" w:hAnsi="Times New Roman" w:cs="Times New Roman"/>
          <w:color w:val="000000" w:themeColor="text1"/>
          <w:szCs w:val="21"/>
          <w:shd w:val="clear" w:color="auto" w:fill="FFFFFF"/>
        </w:rPr>
        <w:t>40</w:t>
      </w:r>
      <w:r w:rsidRPr="00BA3C8C">
        <w:rPr>
          <w:rFonts w:ascii="Times New Roman" w:hAnsi="Times New Roman" w:cs="Times New Roman"/>
          <w:color w:val="000000" w:themeColor="text1"/>
          <w:szCs w:val="21"/>
          <w:shd w:val="clear" w:color="auto" w:fill="FFFFFF"/>
        </w:rPr>
        <w:t>岁以上侵蚀性葡萄胎患者治疗结局及预后的影响</w:t>
      </w:r>
      <w:r w:rsidRPr="00BA3C8C">
        <w:rPr>
          <w:rFonts w:ascii="Times New Roman" w:hAnsi="Times New Roman" w:cs="Times New Roman"/>
          <w:color w:val="000000" w:themeColor="text1"/>
          <w:szCs w:val="21"/>
          <w:shd w:val="clear" w:color="auto" w:fill="FFFFFF"/>
        </w:rPr>
        <w:t xml:space="preserve">[J]. </w:t>
      </w:r>
      <w:r w:rsidRPr="00BA3C8C">
        <w:rPr>
          <w:rFonts w:ascii="Times New Roman" w:hAnsi="Times New Roman" w:cs="Times New Roman"/>
          <w:color w:val="000000" w:themeColor="text1"/>
          <w:szCs w:val="21"/>
          <w:shd w:val="clear" w:color="auto" w:fill="FFFFFF"/>
        </w:rPr>
        <w:t>中华妇产科杂志</w:t>
      </w:r>
      <w:r w:rsidRPr="00BA3C8C">
        <w:rPr>
          <w:rFonts w:ascii="Times New Roman" w:hAnsi="Times New Roman" w:cs="Times New Roman"/>
          <w:color w:val="000000" w:themeColor="text1"/>
          <w:szCs w:val="21"/>
          <w:shd w:val="clear" w:color="auto" w:fill="FFFFFF"/>
        </w:rPr>
        <w:t>, 2017, 52(6):398-402.</w:t>
      </w:r>
    </w:p>
    <w:p w:rsidR="00D3620B" w:rsidRPr="00BA3C8C" w:rsidRDefault="00BA3C8C">
      <w:pPr>
        <w:pStyle w:val="aa"/>
        <w:numPr>
          <w:ilvl w:val="0"/>
          <w:numId w:val="2"/>
        </w:numPr>
        <w:spacing w:line="276" w:lineRule="auto"/>
        <w:ind w:firstLineChars="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shd w:val="clear" w:color="auto" w:fill="FFFFFF"/>
        </w:rPr>
        <w:t>祁丽芳</w:t>
      </w:r>
      <w:r w:rsidRPr="00BA3C8C">
        <w:rPr>
          <w:rFonts w:ascii="Times New Roman" w:hAnsi="Times New Roman" w:cs="Times New Roman"/>
          <w:color w:val="000000" w:themeColor="text1"/>
          <w:szCs w:val="21"/>
          <w:shd w:val="clear" w:color="auto" w:fill="FFFFFF"/>
        </w:rPr>
        <w:t xml:space="preserve">, </w:t>
      </w:r>
      <w:r w:rsidRPr="00BA3C8C">
        <w:rPr>
          <w:rFonts w:ascii="Times New Roman" w:hAnsi="Times New Roman" w:cs="Times New Roman"/>
          <w:color w:val="000000" w:themeColor="text1"/>
          <w:szCs w:val="21"/>
          <w:shd w:val="clear" w:color="auto" w:fill="FFFFFF"/>
        </w:rPr>
        <w:t>张琼</w:t>
      </w:r>
      <w:r w:rsidRPr="00BA3C8C">
        <w:rPr>
          <w:rFonts w:ascii="Times New Roman" w:hAnsi="Times New Roman" w:cs="Times New Roman"/>
          <w:color w:val="000000" w:themeColor="text1"/>
          <w:szCs w:val="21"/>
          <w:shd w:val="clear" w:color="auto" w:fill="FFFFFF"/>
        </w:rPr>
        <w:t xml:space="preserve">, </w:t>
      </w:r>
      <w:r w:rsidRPr="00BA3C8C">
        <w:rPr>
          <w:rFonts w:ascii="Times New Roman" w:hAnsi="Times New Roman" w:cs="Times New Roman"/>
          <w:color w:val="000000" w:themeColor="text1"/>
          <w:szCs w:val="21"/>
          <w:shd w:val="clear" w:color="auto" w:fill="FFFFFF"/>
        </w:rPr>
        <w:t>夏露</w:t>
      </w:r>
      <w:r w:rsidRPr="00BA3C8C">
        <w:rPr>
          <w:rFonts w:ascii="Times New Roman" w:hAnsi="Times New Roman" w:cs="Times New Roman"/>
          <w:color w:val="000000" w:themeColor="text1"/>
          <w:szCs w:val="21"/>
          <w:shd w:val="clear" w:color="auto" w:fill="FFFFFF"/>
        </w:rPr>
        <w:t>,</w:t>
      </w:r>
      <w:r w:rsidRPr="00BA3C8C">
        <w:rPr>
          <w:rFonts w:ascii="Times New Roman" w:hAnsi="Times New Roman" w:cs="Times New Roman"/>
          <w:color w:val="000000" w:themeColor="text1"/>
          <w:szCs w:val="21"/>
          <w:shd w:val="clear" w:color="auto" w:fill="FFFFFF"/>
        </w:rPr>
        <w:t>等</w:t>
      </w:r>
      <w:r w:rsidRPr="00BA3C8C">
        <w:rPr>
          <w:rFonts w:ascii="Times New Roman" w:hAnsi="Times New Roman" w:cs="Times New Roman"/>
          <w:color w:val="000000" w:themeColor="text1"/>
          <w:szCs w:val="21"/>
          <w:shd w:val="clear" w:color="auto" w:fill="FFFFFF"/>
        </w:rPr>
        <w:t xml:space="preserve">. </w:t>
      </w:r>
      <w:r w:rsidRPr="00BA3C8C">
        <w:rPr>
          <w:rFonts w:ascii="Times New Roman" w:hAnsi="Times New Roman" w:cs="Times New Roman"/>
          <w:color w:val="000000" w:themeColor="text1"/>
          <w:szCs w:val="21"/>
          <w:shd w:val="clear" w:color="auto" w:fill="FFFFFF"/>
        </w:rPr>
        <w:t>侵蚀性葡萄胎阴道转移大出血未经化疗治愈一例</w:t>
      </w:r>
      <w:r w:rsidRPr="00BA3C8C">
        <w:rPr>
          <w:rFonts w:ascii="Times New Roman" w:hAnsi="Times New Roman" w:cs="Times New Roman"/>
          <w:color w:val="000000" w:themeColor="text1"/>
          <w:szCs w:val="21"/>
          <w:shd w:val="clear" w:color="auto" w:fill="FFFFFF"/>
        </w:rPr>
        <w:t xml:space="preserve">[J]. </w:t>
      </w:r>
      <w:r w:rsidRPr="00BA3C8C">
        <w:rPr>
          <w:rFonts w:ascii="Times New Roman" w:hAnsi="Times New Roman" w:cs="Times New Roman"/>
          <w:color w:val="000000" w:themeColor="text1"/>
          <w:szCs w:val="21"/>
          <w:shd w:val="clear" w:color="auto" w:fill="FFFFFF"/>
        </w:rPr>
        <w:t>浙江临床医学</w:t>
      </w:r>
      <w:r w:rsidRPr="00BA3C8C">
        <w:rPr>
          <w:rFonts w:ascii="Times New Roman" w:hAnsi="Times New Roman" w:cs="Times New Roman"/>
          <w:color w:val="000000" w:themeColor="text1"/>
          <w:szCs w:val="21"/>
          <w:shd w:val="clear" w:color="auto" w:fill="FFFFFF"/>
        </w:rPr>
        <w:t>, 2017, 19(3):567-568.</w:t>
      </w:r>
    </w:p>
    <w:p w:rsidR="00D3620B" w:rsidRPr="00BA3C8C" w:rsidRDefault="00BA3C8C">
      <w:pPr>
        <w:pStyle w:val="aa"/>
        <w:numPr>
          <w:ilvl w:val="0"/>
          <w:numId w:val="2"/>
        </w:numPr>
        <w:spacing w:line="276" w:lineRule="auto"/>
        <w:ind w:firstLineChars="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shd w:val="clear" w:color="auto" w:fill="FFFFFF"/>
        </w:rPr>
        <w:t>田华</w:t>
      </w:r>
      <w:r w:rsidRPr="00BA3C8C">
        <w:rPr>
          <w:rFonts w:ascii="Times New Roman" w:hAnsi="Times New Roman" w:cs="Times New Roman"/>
          <w:color w:val="000000" w:themeColor="text1"/>
          <w:szCs w:val="21"/>
          <w:shd w:val="clear" w:color="auto" w:fill="FFFFFF"/>
        </w:rPr>
        <w:t xml:space="preserve">, </w:t>
      </w:r>
      <w:r w:rsidRPr="00BA3C8C">
        <w:rPr>
          <w:rFonts w:ascii="Times New Roman" w:hAnsi="Times New Roman" w:cs="Times New Roman"/>
          <w:color w:val="000000" w:themeColor="text1"/>
          <w:szCs w:val="21"/>
          <w:shd w:val="clear" w:color="auto" w:fill="FFFFFF"/>
        </w:rPr>
        <w:t>叶青</w:t>
      </w:r>
      <w:r w:rsidRPr="00BA3C8C">
        <w:rPr>
          <w:rFonts w:ascii="Times New Roman" w:hAnsi="Times New Roman" w:cs="Times New Roman"/>
          <w:color w:val="000000" w:themeColor="text1"/>
          <w:szCs w:val="21"/>
          <w:shd w:val="clear" w:color="auto" w:fill="FFFFFF"/>
        </w:rPr>
        <w:t xml:space="preserve">, </w:t>
      </w:r>
      <w:r w:rsidRPr="00BA3C8C">
        <w:rPr>
          <w:rFonts w:ascii="Times New Roman" w:hAnsi="Times New Roman" w:cs="Times New Roman"/>
          <w:color w:val="000000" w:themeColor="text1"/>
          <w:szCs w:val="21"/>
          <w:shd w:val="clear" w:color="auto" w:fill="FFFFFF"/>
        </w:rPr>
        <w:t>朱雅静</w:t>
      </w:r>
      <w:r w:rsidRPr="00BA3C8C">
        <w:rPr>
          <w:rFonts w:ascii="Times New Roman" w:hAnsi="Times New Roman" w:cs="Times New Roman"/>
          <w:color w:val="000000" w:themeColor="text1"/>
          <w:szCs w:val="21"/>
          <w:shd w:val="clear" w:color="auto" w:fill="FFFFFF"/>
        </w:rPr>
        <w:t>,</w:t>
      </w:r>
      <w:r w:rsidRPr="00BA3C8C">
        <w:rPr>
          <w:rFonts w:ascii="Times New Roman" w:hAnsi="Times New Roman" w:cs="Times New Roman"/>
          <w:color w:val="000000" w:themeColor="text1"/>
          <w:szCs w:val="21"/>
          <w:shd w:val="clear" w:color="auto" w:fill="FFFFFF"/>
        </w:rPr>
        <w:t>等</w:t>
      </w:r>
      <w:r w:rsidRPr="00BA3C8C">
        <w:rPr>
          <w:rFonts w:ascii="Times New Roman" w:hAnsi="Times New Roman" w:cs="Times New Roman"/>
          <w:color w:val="000000" w:themeColor="text1"/>
          <w:szCs w:val="21"/>
          <w:shd w:val="clear" w:color="auto" w:fill="FFFFFF"/>
        </w:rPr>
        <w:t>. 5-</w:t>
      </w:r>
      <w:r w:rsidRPr="00BA3C8C">
        <w:rPr>
          <w:rFonts w:ascii="Times New Roman" w:hAnsi="Times New Roman" w:cs="Times New Roman"/>
          <w:color w:val="000000" w:themeColor="text1"/>
          <w:szCs w:val="21"/>
          <w:shd w:val="clear" w:color="auto" w:fill="FFFFFF"/>
        </w:rPr>
        <w:t>氟尿嘧啶子宫动脉置管注射对侵袭性葡萄胎化疗后血清</w:t>
      </w:r>
      <w:r w:rsidRPr="00BA3C8C">
        <w:rPr>
          <w:rFonts w:ascii="Times New Roman" w:hAnsi="Times New Roman" w:cs="Times New Roman"/>
          <w:color w:val="000000" w:themeColor="text1"/>
          <w:szCs w:val="21"/>
          <w:shd w:val="clear" w:color="auto" w:fill="FFFFFF"/>
        </w:rPr>
        <w:t>β-</w:t>
      </w:r>
      <w:proofErr w:type="spellStart"/>
      <w:r w:rsidRPr="00BA3C8C">
        <w:rPr>
          <w:rFonts w:ascii="Times New Roman" w:hAnsi="Times New Roman" w:cs="Times New Roman"/>
          <w:color w:val="000000" w:themeColor="text1"/>
          <w:szCs w:val="21"/>
          <w:shd w:val="clear" w:color="auto" w:fill="FFFFFF"/>
        </w:rPr>
        <w:t>hCG</w:t>
      </w:r>
      <w:proofErr w:type="spellEnd"/>
      <w:r w:rsidRPr="00BA3C8C">
        <w:rPr>
          <w:rFonts w:ascii="Times New Roman" w:hAnsi="Times New Roman" w:cs="Times New Roman"/>
          <w:color w:val="000000" w:themeColor="text1"/>
          <w:szCs w:val="21"/>
          <w:shd w:val="clear" w:color="auto" w:fill="FFFFFF"/>
        </w:rPr>
        <w:t>、免疫球蛋白水平及生存时间的影响</w:t>
      </w:r>
      <w:r w:rsidRPr="00BA3C8C">
        <w:rPr>
          <w:rFonts w:ascii="Times New Roman" w:hAnsi="Times New Roman" w:cs="Times New Roman"/>
          <w:color w:val="000000" w:themeColor="text1"/>
          <w:szCs w:val="21"/>
          <w:shd w:val="clear" w:color="auto" w:fill="FFFFFF"/>
        </w:rPr>
        <w:t xml:space="preserve">[J]. </w:t>
      </w:r>
      <w:r w:rsidRPr="00BA3C8C">
        <w:rPr>
          <w:rFonts w:ascii="Times New Roman" w:hAnsi="Times New Roman" w:cs="Times New Roman"/>
          <w:color w:val="000000" w:themeColor="text1"/>
          <w:szCs w:val="21"/>
          <w:shd w:val="clear" w:color="auto" w:fill="FFFFFF"/>
        </w:rPr>
        <w:t>肿瘤药学</w:t>
      </w:r>
      <w:r w:rsidRPr="00BA3C8C">
        <w:rPr>
          <w:rFonts w:ascii="Times New Roman" w:hAnsi="Times New Roman" w:cs="Times New Roman"/>
          <w:color w:val="000000" w:themeColor="text1"/>
          <w:szCs w:val="21"/>
          <w:shd w:val="clear" w:color="auto" w:fill="FFFFFF"/>
        </w:rPr>
        <w:t>, 2017, 7(3):370-374.</w:t>
      </w:r>
    </w:p>
    <w:p w:rsidR="00D3620B" w:rsidRPr="00BA3C8C" w:rsidRDefault="00BA3C8C">
      <w:pPr>
        <w:pStyle w:val="aa"/>
        <w:numPr>
          <w:ilvl w:val="0"/>
          <w:numId w:val="2"/>
        </w:numPr>
        <w:spacing w:line="276" w:lineRule="auto"/>
        <w:ind w:firstLineChars="0"/>
        <w:rPr>
          <w:rFonts w:ascii="Times New Roman" w:hAnsi="Times New Roman" w:cs="Times New Roman"/>
          <w:color w:val="000000" w:themeColor="text1"/>
          <w:szCs w:val="21"/>
        </w:rPr>
      </w:pPr>
      <w:proofErr w:type="spellStart"/>
      <w:r w:rsidRPr="00BA3C8C">
        <w:rPr>
          <w:rFonts w:ascii="Times New Roman" w:hAnsi="Times New Roman" w:cs="Times New Roman" w:hint="eastAsia"/>
          <w:color w:val="000000" w:themeColor="text1"/>
          <w:szCs w:val="21"/>
        </w:rPr>
        <w:t>Tumenjargal</w:t>
      </w:r>
      <w:proofErr w:type="spellEnd"/>
      <w:r w:rsidRPr="00BA3C8C">
        <w:rPr>
          <w:rFonts w:ascii="Times New Roman" w:hAnsi="Times New Roman" w:cs="Times New Roman" w:hint="eastAsia"/>
          <w:color w:val="000000" w:themeColor="text1"/>
          <w:szCs w:val="21"/>
        </w:rPr>
        <w:t xml:space="preserve"> A , </w:t>
      </w:r>
      <w:proofErr w:type="spellStart"/>
      <w:r w:rsidRPr="00BA3C8C">
        <w:rPr>
          <w:rFonts w:ascii="Times New Roman" w:hAnsi="Times New Roman" w:cs="Times New Roman" w:hint="eastAsia"/>
          <w:color w:val="000000" w:themeColor="text1"/>
          <w:szCs w:val="21"/>
        </w:rPr>
        <w:t>Tokue</w:t>
      </w:r>
      <w:proofErr w:type="spellEnd"/>
      <w:r w:rsidRPr="00BA3C8C">
        <w:rPr>
          <w:rFonts w:ascii="Times New Roman" w:hAnsi="Times New Roman" w:cs="Times New Roman" w:hint="eastAsia"/>
          <w:color w:val="000000" w:themeColor="text1"/>
          <w:szCs w:val="21"/>
        </w:rPr>
        <w:t xml:space="preserve"> H , </w:t>
      </w:r>
      <w:proofErr w:type="spellStart"/>
      <w:r w:rsidRPr="00BA3C8C">
        <w:rPr>
          <w:rFonts w:ascii="Times New Roman" w:hAnsi="Times New Roman" w:cs="Times New Roman" w:hint="eastAsia"/>
          <w:color w:val="000000" w:themeColor="text1"/>
          <w:szCs w:val="21"/>
        </w:rPr>
        <w:t>Kishi</w:t>
      </w:r>
      <w:proofErr w:type="spellEnd"/>
      <w:r w:rsidRPr="00BA3C8C">
        <w:rPr>
          <w:rFonts w:ascii="Times New Roman" w:hAnsi="Times New Roman" w:cs="Times New Roman" w:hint="eastAsia"/>
          <w:color w:val="000000" w:themeColor="text1"/>
          <w:szCs w:val="21"/>
        </w:rPr>
        <w:t xml:space="preserve"> H , </w:t>
      </w:r>
      <w:proofErr w:type="spellStart"/>
      <w:r w:rsidRPr="00BA3C8C">
        <w:rPr>
          <w:rFonts w:ascii="Times New Roman" w:hAnsi="Times New Roman" w:cs="Times New Roman" w:hint="eastAsia"/>
          <w:color w:val="000000" w:themeColor="text1"/>
          <w:szCs w:val="21"/>
        </w:rPr>
        <w:t>Hirasawa</w:t>
      </w:r>
      <w:proofErr w:type="spellEnd"/>
      <w:r w:rsidRPr="00BA3C8C">
        <w:rPr>
          <w:rFonts w:ascii="Times New Roman" w:hAnsi="Times New Roman" w:cs="Times New Roman" w:hint="eastAsia"/>
          <w:color w:val="000000" w:themeColor="text1"/>
          <w:szCs w:val="21"/>
        </w:rPr>
        <w:t xml:space="preserve"> H , </w:t>
      </w:r>
      <w:proofErr w:type="spellStart"/>
      <w:r w:rsidRPr="00BA3C8C">
        <w:rPr>
          <w:rFonts w:ascii="Times New Roman" w:hAnsi="Times New Roman" w:cs="Times New Roman" w:hint="eastAsia"/>
          <w:color w:val="000000" w:themeColor="text1"/>
          <w:szCs w:val="21"/>
        </w:rPr>
        <w:t>Taketomi</w:t>
      </w:r>
      <w:proofErr w:type="spellEnd"/>
      <w:r w:rsidRPr="00BA3C8C">
        <w:rPr>
          <w:rFonts w:ascii="Times New Roman" w:hAnsi="Times New Roman" w:cs="Times New Roman" w:hint="eastAsia"/>
          <w:color w:val="000000" w:themeColor="text1"/>
          <w:szCs w:val="21"/>
        </w:rPr>
        <w:t xml:space="preserve">-Takahashi A , Tsushima </w:t>
      </w:r>
      <w:proofErr w:type="spellStart"/>
      <w:r w:rsidRPr="00BA3C8C">
        <w:rPr>
          <w:rFonts w:ascii="Times New Roman" w:hAnsi="Times New Roman" w:cs="Times New Roman" w:hint="eastAsia"/>
          <w:color w:val="000000" w:themeColor="text1"/>
          <w:szCs w:val="21"/>
        </w:rPr>
        <w:t>Y,et,al.Uterine</w:t>
      </w:r>
      <w:proofErr w:type="spellEnd"/>
      <w:r w:rsidRPr="00BA3C8C">
        <w:rPr>
          <w:rFonts w:ascii="Times New Roman" w:hAnsi="Times New Roman" w:cs="Times New Roman" w:hint="eastAsia"/>
          <w:color w:val="000000" w:themeColor="text1"/>
          <w:szCs w:val="21"/>
        </w:rPr>
        <w:t xml:space="preserve"> Artery Embolization Combined with Dilation and Curettage for the Treatment of Cesarean Scar Pregnancy: Efficacy and Future </w:t>
      </w:r>
      <w:proofErr w:type="spellStart"/>
      <w:r w:rsidRPr="00BA3C8C">
        <w:rPr>
          <w:rFonts w:ascii="Times New Roman" w:hAnsi="Times New Roman" w:cs="Times New Roman" w:hint="eastAsia"/>
          <w:color w:val="000000" w:themeColor="text1"/>
          <w:szCs w:val="21"/>
        </w:rPr>
        <w:t>Fertility.Cardiovascular</w:t>
      </w:r>
      <w:proofErr w:type="spellEnd"/>
      <w:r w:rsidRPr="00BA3C8C">
        <w:rPr>
          <w:rFonts w:ascii="Times New Roman" w:hAnsi="Times New Roman" w:cs="Times New Roman" w:hint="eastAsia"/>
          <w:color w:val="000000" w:themeColor="text1"/>
          <w:szCs w:val="21"/>
        </w:rPr>
        <w:t xml:space="preserve"> and interventional radiology 2018 Aug; 41 (8 ):1165-1173</w:t>
      </w:r>
    </w:p>
    <w:p w:rsidR="00D3620B" w:rsidRPr="00BA3C8C" w:rsidRDefault="00BA3C8C">
      <w:pPr>
        <w:pStyle w:val="aa"/>
        <w:numPr>
          <w:ilvl w:val="0"/>
          <w:numId w:val="2"/>
        </w:numPr>
        <w:spacing w:line="276" w:lineRule="auto"/>
        <w:ind w:firstLineChars="0"/>
        <w:rPr>
          <w:rFonts w:ascii="Times New Roman" w:hAnsi="Times New Roman" w:cs="Times New Roman"/>
          <w:color w:val="000000" w:themeColor="text1"/>
          <w:szCs w:val="21"/>
        </w:rPr>
      </w:pPr>
      <w:r w:rsidRPr="00BA3C8C">
        <w:rPr>
          <w:rFonts w:ascii="Times New Roman" w:hAnsi="Times New Roman" w:cs="Times New Roman"/>
          <w:color w:val="000000" w:themeColor="text1"/>
          <w:szCs w:val="21"/>
          <w:shd w:val="clear" w:color="auto" w:fill="FFFFFF"/>
        </w:rPr>
        <w:t>郝曼</w:t>
      </w:r>
      <w:r w:rsidRPr="00BA3C8C">
        <w:rPr>
          <w:rFonts w:ascii="Times New Roman" w:hAnsi="Times New Roman" w:cs="Times New Roman"/>
          <w:color w:val="000000" w:themeColor="text1"/>
          <w:szCs w:val="21"/>
          <w:shd w:val="clear" w:color="auto" w:fill="FFFFFF"/>
        </w:rPr>
        <w:t xml:space="preserve">, </w:t>
      </w:r>
      <w:r w:rsidRPr="00BA3C8C">
        <w:rPr>
          <w:rFonts w:ascii="Times New Roman" w:hAnsi="Times New Roman" w:cs="Times New Roman"/>
          <w:color w:val="000000" w:themeColor="text1"/>
          <w:szCs w:val="21"/>
          <w:shd w:val="clear" w:color="auto" w:fill="FFFFFF"/>
        </w:rPr>
        <w:t>金平</w:t>
      </w:r>
      <w:r w:rsidRPr="00BA3C8C">
        <w:rPr>
          <w:rFonts w:ascii="Times New Roman" w:hAnsi="Times New Roman" w:cs="Times New Roman"/>
          <w:color w:val="000000" w:themeColor="text1"/>
          <w:szCs w:val="21"/>
          <w:shd w:val="clear" w:color="auto" w:fill="FFFFFF"/>
        </w:rPr>
        <w:t xml:space="preserve">. </w:t>
      </w:r>
      <w:r w:rsidRPr="00BA3C8C">
        <w:rPr>
          <w:rFonts w:ascii="Times New Roman" w:hAnsi="Times New Roman" w:cs="Times New Roman"/>
          <w:color w:val="000000" w:themeColor="text1"/>
          <w:szCs w:val="21"/>
          <w:shd w:val="clear" w:color="auto" w:fill="FFFFFF"/>
        </w:rPr>
        <w:t>子宫内膜癌化疗进展</w:t>
      </w:r>
      <w:r w:rsidRPr="00BA3C8C">
        <w:rPr>
          <w:rFonts w:ascii="Times New Roman" w:hAnsi="Times New Roman" w:cs="Times New Roman"/>
          <w:color w:val="000000" w:themeColor="text1"/>
          <w:szCs w:val="21"/>
          <w:shd w:val="clear" w:color="auto" w:fill="FFFFFF"/>
        </w:rPr>
        <w:t xml:space="preserve">[J]. </w:t>
      </w:r>
      <w:r w:rsidRPr="00BA3C8C">
        <w:rPr>
          <w:rFonts w:ascii="Times New Roman" w:hAnsi="Times New Roman" w:cs="Times New Roman"/>
          <w:color w:val="000000" w:themeColor="text1"/>
          <w:szCs w:val="21"/>
          <w:shd w:val="clear" w:color="auto" w:fill="FFFFFF"/>
        </w:rPr>
        <w:t>国际妇产科学杂志</w:t>
      </w:r>
      <w:r w:rsidRPr="00BA3C8C">
        <w:rPr>
          <w:rFonts w:ascii="Times New Roman" w:hAnsi="Times New Roman" w:cs="Times New Roman"/>
          <w:color w:val="000000" w:themeColor="text1"/>
          <w:szCs w:val="21"/>
          <w:shd w:val="clear" w:color="auto" w:fill="FFFFFF"/>
        </w:rPr>
        <w:t>, 2014, 41(4): 414-418.</w:t>
      </w:r>
    </w:p>
    <w:p w:rsidR="00D3620B" w:rsidRPr="00BA3C8C" w:rsidRDefault="00D3620B">
      <w:pPr>
        <w:spacing w:line="276" w:lineRule="auto"/>
        <w:rPr>
          <w:rFonts w:ascii="Times New Roman" w:hAnsi="Times New Roman" w:cs="Times New Roman"/>
          <w:color w:val="000000" w:themeColor="text1"/>
          <w:szCs w:val="21"/>
          <w:shd w:val="clear" w:color="auto" w:fill="FFFFFF"/>
        </w:rPr>
      </w:pPr>
    </w:p>
    <w:p w:rsidR="00D3620B" w:rsidRPr="00BA3C8C" w:rsidRDefault="00D3620B">
      <w:pPr>
        <w:spacing w:line="276" w:lineRule="auto"/>
        <w:rPr>
          <w:rFonts w:ascii="Times New Roman" w:hAnsi="Times New Roman" w:cs="Times New Roman"/>
          <w:color w:val="000000" w:themeColor="text1"/>
          <w:szCs w:val="21"/>
          <w:shd w:val="clear" w:color="auto" w:fill="FFFFFF"/>
        </w:rPr>
      </w:pPr>
    </w:p>
    <w:p w:rsidR="00D3620B" w:rsidRPr="00BA3C8C" w:rsidRDefault="00D3620B">
      <w:pPr>
        <w:spacing w:line="276" w:lineRule="auto"/>
        <w:rPr>
          <w:rFonts w:ascii="Times New Roman" w:hAnsi="Times New Roman" w:cs="Times New Roman"/>
          <w:color w:val="000000" w:themeColor="text1"/>
          <w:szCs w:val="21"/>
          <w:shd w:val="clear" w:color="auto" w:fill="FFFFFF"/>
        </w:rPr>
      </w:pPr>
    </w:p>
    <w:p w:rsidR="00D3620B" w:rsidRPr="00BA3C8C" w:rsidRDefault="00D3620B">
      <w:pPr>
        <w:spacing w:line="276" w:lineRule="auto"/>
        <w:rPr>
          <w:rFonts w:ascii="Times New Roman" w:hAnsi="Times New Roman" w:cs="Times New Roman"/>
          <w:color w:val="000000" w:themeColor="text1"/>
          <w:szCs w:val="21"/>
          <w:shd w:val="clear" w:color="auto" w:fill="FFFFFF"/>
        </w:rPr>
      </w:pPr>
    </w:p>
    <w:p w:rsidR="00D3620B" w:rsidRPr="00BA3C8C" w:rsidRDefault="00D3620B">
      <w:pPr>
        <w:spacing w:line="276" w:lineRule="auto"/>
        <w:rPr>
          <w:rFonts w:ascii="Times New Roman" w:hAnsi="Times New Roman" w:cs="Times New Roman"/>
          <w:color w:val="000000" w:themeColor="text1"/>
          <w:szCs w:val="21"/>
        </w:rPr>
      </w:pPr>
    </w:p>
    <w:sectPr w:rsidR="00D3620B" w:rsidRPr="00BA3C8C" w:rsidSect="00D3620B">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036041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宋体"/>
    <w:charset w:val="86"/>
    <w:family w:val="auto"/>
    <w:pitch w:val="default"/>
    <w:sig w:usb0="00000000" w:usb1="00000000"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ZLTGKV-1">
    <w:altName w:val="宋体"/>
    <w:charset w:val="86"/>
    <w:family w:val="roman"/>
    <w:pitch w:val="default"/>
    <w:sig w:usb0="00000000" w:usb1="00000000" w:usb2="00000010" w:usb3="00000000" w:csb0="00040000" w:csb1="00000000"/>
  </w:font>
  <w:font w:name="EU-BZ+ZLTGKV-3">
    <w:altName w:val="Cambria"/>
    <w:charset w:val="00"/>
    <w:family w:val="roman"/>
    <w:pitch w:val="default"/>
  </w:font>
  <w:font w:name="EU-BZ+ZLTGKV-8">
    <w:altName w:val="Cambria"/>
    <w:charset w:val="00"/>
    <w:family w:val="roman"/>
    <w:pitch w:val="default"/>
  </w:font>
  <w:font w:name="Symbol">
    <w:panose1 w:val="05050102010706020507"/>
    <w:charset w:val="02"/>
    <w:family w:val="roman"/>
    <w:pitch w:val="variable"/>
    <w:sig w:usb0="00000000" w:usb1="10000000" w:usb2="00000000" w:usb3="00000000" w:csb0="80000000" w:csb1="00000000"/>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0480D"/>
    <w:multiLevelType w:val="multilevel"/>
    <w:tmpl w:val="2590480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F792C8E"/>
    <w:multiLevelType w:val="multilevel"/>
    <w:tmpl w:val="4F792C8E"/>
    <w:lvl w:ilvl="0">
      <w:start w:val="1"/>
      <w:numFmt w:val="decimal"/>
      <w:lvlText w:val="（%1）"/>
      <w:lvlJc w:val="left"/>
      <w:pPr>
        <w:ind w:left="1004"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61B44"/>
    <w:rsid w:val="002F4D47"/>
    <w:rsid w:val="00666855"/>
    <w:rsid w:val="00767597"/>
    <w:rsid w:val="007D18F1"/>
    <w:rsid w:val="00817373"/>
    <w:rsid w:val="0083441C"/>
    <w:rsid w:val="00BA3C8C"/>
    <w:rsid w:val="00C35E00"/>
    <w:rsid w:val="00D3620B"/>
    <w:rsid w:val="00E61B44"/>
    <w:rsid w:val="01BC1DE2"/>
    <w:rsid w:val="02220F2C"/>
    <w:rsid w:val="04186F29"/>
    <w:rsid w:val="0562643A"/>
    <w:rsid w:val="09D96BF6"/>
    <w:rsid w:val="0BA674F8"/>
    <w:rsid w:val="0C610C37"/>
    <w:rsid w:val="0DEF31FF"/>
    <w:rsid w:val="0E71628C"/>
    <w:rsid w:val="103E4819"/>
    <w:rsid w:val="10C573CE"/>
    <w:rsid w:val="1207232D"/>
    <w:rsid w:val="12A07212"/>
    <w:rsid w:val="14167800"/>
    <w:rsid w:val="16B96343"/>
    <w:rsid w:val="1B423875"/>
    <w:rsid w:val="1D9628EB"/>
    <w:rsid w:val="1FFD7078"/>
    <w:rsid w:val="286F4259"/>
    <w:rsid w:val="294C0EA8"/>
    <w:rsid w:val="29AF44BA"/>
    <w:rsid w:val="2E9120D6"/>
    <w:rsid w:val="2EEA5942"/>
    <w:rsid w:val="3032528B"/>
    <w:rsid w:val="312651CF"/>
    <w:rsid w:val="31EA2F0E"/>
    <w:rsid w:val="32D31227"/>
    <w:rsid w:val="361F1983"/>
    <w:rsid w:val="38955F47"/>
    <w:rsid w:val="3B2B5073"/>
    <w:rsid w:val="3D2C5228"/>
    <w:rsid w:val="49EC1D54"/>
    <w:rsid w:val="4BFB6D7A"/>
    <w:rsid w:val="4D0D363F"/>
    <w:rsid w:val="51E77407"/>
    <w:rsid w:val="522334B2"/>
    <w:rsid w:val="52281798"/>
    <w:rsid w:val="567A6237"/>
    <w:rsid w:val="56F0561B"/>
    <w:rsid w:val="598F1D4C"/>
    <w:rsid w:val="59CD6FF4"/>
    <w:rsid w:val="5AF8738D"/>
    <w:rsid w:val="5BFA2186"/>
    <w:rsid w:val="5C223FA7"/>
    <w:rsid w:val="5F4C3E3B"/>
    <w:rsid w:val="635C6AFB"/>
    <w:rsid w:val="6613666E"/>
    <w:rsid w:val="66C94DD7"/>
    <w:rsid w:val="67C7275B"/>
    <w:rsid w:val="6BEA3EC3"/>
    <w:rsid w:val="6CFF7B4D"/>
    <w:rsid w:val="6E0C0B5B"/>
    <w:rsid w:val="72975F88"/>
    <w:rsid w:val="76134468"/>
    <w:rsid w:val="79163189"/>
    <w:rsid w:val="7A464E3D"/>
    <w:rsid w:val="7AE267EB"/>
    <w:rsid w:val="7FB14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qFormat="1"/>
    <w:lsdException w:name="footer"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20B"/>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sid w:val="00D3620B"/>
    <w:rPr>
      <w:b/>
      <w:bCs/>
    </w:rPr>
  </w:style>
  <w:style w:type="paragraph" w:styleId="a4">
    <w:name w:val="annotation text"/>
    <w:basedOn w:val="a"/>
    <w:link w:val="Char0"/>
    <w:uiPriority w:val="99"/>
    <w:semiHidden/>
    <w:unhideWhenUsed/>
    <w:qFormat/>
    <w:rsid w:val="00D3620B"/>
    <w:pPr>
      <w:jc w:val="left"/>
    </w:pPr>
  </w:style>
  <w:style w:type="paragraph" w:styleId="a5">
    <w:name w:val="Balloon Text"/>
    <w:basedOn w:val="a"/>
    <w:link w:val="Char1"/>
    <w:uiPriority w:val="99"/>
    <w:semiHidden/>
    <w:unhideWhenUsed/>
    <w:qFormat/>
    <w:rsid w:val="00D3620B"/>
    <w:rPr>
      <w:sz w:val="18"/>
      <w:szCs w:val="18"/>
    </w:rPr>
  </w:style>
  <w:style w:type="paragraph" w:styleId="a6">
    <w:name w:val="footer"/>
    <w:basedOn w:val="a"/>
    <w:link w:val="Char2"/>
    <w:uiPriority w:val="99"/>
    <w:semiHidden/>
    <w:unhideWhenUsed/>
    <w:qFormat/>
    <w:rsid w:val="00D3620B"/>
    <w:pPr>
      <w:tabs>
        <w:tab w:val="center" w:pos="4153"/>
        <w:tab w:val="right" w:pos="8306"/>
      </w:tabs>
      <w:snapToGrid w:val="0"/>
      <w:jc w:val="left"/>
    </w:pPr>
    <w:rPr>
      <w:sz w:val="18"/>
      <w:szCs w:val="18"/>
    </w:rPr>
  </w:style>
  <w:style w:type="paragraph" w:styleId="a7">
    <w:name w:val="header"/>
    <w:basedOn w:val="a"/>
    <w:link w:val="Char3"/>
    <w:uiPriority w:val="99"/>
    <w:semiHidden/>
    <w:unhideWhenUsed/>
    <w:qFormat/>
    <w:rsid w:val="00D3620B"/>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semiHidden/>
    <w:unhideWhenUsed/>
    <w:qFormat/>
    <w:rsid w:val="00D3620B"/>
    <w:rPr>
      <w:sz w:val="21"/>
      <w:szCs w:val="21"/>
    </w:rPr>
  </w:style>
  <w:style w:type="table" w:styleId="a9">
    <w:name w:val="Table Grid"/>
    <w:basedOn w:val="a1"/>
    <w:uiPriority w:val="39"/>
    <w:qFormat/>
    <w:rsid w:val="00D362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D3620B"/>
    <w:pPr>
      <w:ind w:firstLineChars="200" w:firstLine="420"/>
    </w:pPr>
  </w:style>
  <w:style w:type="character" w:customStyle="1" w:styleId="fontstyle01">
    <w:name w:val="fontstyle01"/>
    <w:basedOn w:val="a0"/>
    <w:qFormat/>
    <w:rsid w:val="00D3620B"/>
    <w:rPr>
      <w:rFonts w:ascii="方正书宋_GBK+ZLTGKV-1" w:eastAsia="方正书宋_GBK+ZLTGKV-1" w:hint="eastAsia"/>
      <w:color w:val="000000"/>
      <w:sz w:val="22"/>
      <w:szCs w:val="22"/>
    </w:rPr>
  </w:style>
  <w:style w:type="character" w:customStyle="1" w:styleId="fontstyle11">
    <w:name w:val="fontstyle11"/>
    <w:basedOn w:val="a0"/>
    <w:qFormat/>
    <w:rsid w:val="00D3620B"/>
    <w:rPr>
      <w:rFonts w:ascii="EU-BZ+ZLTGKV-3" w:hAnsi="EU-BZ+ZLTGKV-3" w:hint="default"/>
      <w:color w:val="000000"/>
      <w:sz w:val="22"/>
      <w:szCs w:val="22"/>
    </w:rPr>
  </w:style>
  <w:style w:type="character" w:customStyle="1" w:styleId="fontstyle31">
    <w:name w:val="fontstyle31"/>
    <w:basedOn w:val="a0"/>
    <w:qFormat/>
    <w:rsid w:val="00D3620B"/>
    <w:rPr>
      <w:rFonts w:ascii="EU-BZ+ZLTGKV-8" w:hAnsi="EU-BZ+ZLTGKV-8" w:hint="default"/>
      <w:color w:val="000000"/>
      <w:sz w:val="22"/>
      <w:szCs w:val="22"/>
    </w:rPr>
  </w:style>
  <w:style w:type="character" w:customStyle="1" w:styleId="fontstyle21">
    <w:name w:val="fontstyle21"/>
    <w:basedOn w:val="a0"/>
    <w:qFormat/>
    <w:rsid w:val="00D3620B"/>
    <w:rPr>
      <w:rFonts w:ascii="EU-BZ+ZLTGKV-3" w:hAnsi="EU-BZ+ZLTGKV-3" w:hint="default"/>
      <w:color w:val="000000"/>
      <w:sz w:val="22"/>
      <w:szCs w:val="22"/>
    </w:rPr>
  </w:style>
  <w:style w:type="character" w:customStyle="1" w:styleId="fontstyle41">
    <w:name w:val="fontstyle41"/>
    <w:basedOn w:val="a0"/>
    <w:qFormat/>
    <w:rsid w:val="00D3620B"/>
    <w:rPr>
      <w:color w:val="231F20"/>
      <w:sz w:val="18"/>
      <w:szCs w:val="18"/>
    </w:rPr>
  </w:style>
  <w:style w:type="table" w:customStyle="1" w:styleId="ListTable6Colorful">
    <w:name w:val="List Table 6 Colorful"/>
    <w:basedOn w:val="a1"/>
    <w:uiPriority w:val="51"/>
    <w:qFormat/>
    <w:rsid w:val="00D3620B"/>
    <w:rPr>
      <w:color w:val="000000" w:themeColor="text1"/>
    </w:rPr>
    <w:tblPr>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har3">
    <w:name w:val="页眉 Char"/>
    <w:basedOn w:val="a0"/>
    <w:link w:val="a7"/>
    <w:uiPriority w:val="99"/>
    <w:semiHidden/>
    <w:qFormat/>
    <w:rsid w:val="00D3620B"/>
    <w:rPr>
      <w:rFonts w:eastAsia="宋体"/>
      <w:kern w:val="2"/>
      <w:sz w:val="18"/>
      <w:szCs w:val="18"/>
    </w:rPr>
  </w:style>
  <w:style w:type="character" w:customStyle="1" w:styleId="Char2">
    <w:name w:val="页脚 Char"/>
    <w:basedOn w:val="a0"/>
    <w:link w:val="a6"/>
    <w:uiPriority w:val="99"/>
    <w:semiHidden/>
    <w:qFormat/>
    <w:rsid w:val="00D3620B"/>
    <w:rPr>
      <w:rFonts w:eastAsia="宋体"/>
      <w:kern w:val="2"/>
      <w:sz w:val="18"/>
      <w:szCs w:val="18"/>
    </w:rPr>
  </w:style>
  <w:style w:type="character" w:customStyle="1" w:styleId="Char0">
    <w:name w:val="批注文字 Char"/>
    <w:basedOn w:val="a0"/>
    <w:link w:val="a4"/>
    <w:uiPriority w:val="99"/>
    <w:semiHidden/>
    <w:qFormat/>
    <w:rsid w:val="00D3620B"/>
    <w:rPr>
      <w:rFonts w:eastAsia="宋体"/>
      <w:kern w:val="2"/>
      <w:sz w:val="21"/>
      <w:szCs w:val="22"/>
    </w:rPr>
  </w:style>
  <w:style w:type="character" w:customStyle="1" w:styleId="Char">
    <w:name w:val="批注主题 Char"/>
    <w:basedOn w:val="Char0"/>
    <w:link w:val="a3"/>
    <w:uiPriority w:val="99"/>
    <w:semiHidden/>
    <w:qFormat/>
    <w:rsid w:val="00D3620B"/>
    <w:rPr>
      <w:rFonts w:eastAsia="宋体"/>
      <w:b/>
      <w:bCs/>
      <w:kern w:val="2"/>
      <w:sz w:val="21"/>
      <w:szCs w:val="22"/>
    </w:rPr>
  </w:style>
  <w:style w:type="character" w:customStyle="1" w:styleId="Char1">
    <w:name w:val="批注框文本 Char"/>
    <w:basedOn w:val="a0"/>
    <w:link w:val="a5"/>
    <w:uiPriority w:val="99"/>
    <w:semiHidden/>
    <w:qFormat/>
    <w:rsid w:val="00D3620B"/>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1164</Words>
  <Characters>6635</Characters>
  <Application>Microsoft Office Word</Application>
  <DocSecurity>0</DocSecurity>
  <Lines>55</Lines>
  <Paragraphs>15</Paragraphs>
  <ScaleCrop>false</ScaleCrop>
  <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Lishuai</dc:creator>
  <cp:lastModifiedBy>China</cp:lastModifiedBy>
  <cp:revision>40</cp:revision>
  <dcterms:created xsi:type="dcterms:W3CDTF">2017-11-08T20:55:00Z</dcterms:created>
  <dcterms:modified xsi:type="dcterms:W3CDTF">2020-03-10T08:02:00Z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uploadURL">
    <vt:lpwstr>F4DD75B6C875B15B762C6FB7CA2CA52D5156B0254AA7820B967AC2DE81DC003C642E1992EFCAB3FFE9CCA4BE95C381FE9F1942A7201834D33714A40BF438C426B9832EED02D6111BA46CD07886E674549ABAB7356A479DF6</vt:lpwstr>
  </property>
</Properties>
</file>