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jc w:val="center"/>
        <w:textAlignment w:val="auto"/>
        <w:rPr>
          <w:rFonts w:hint="default" w:ascii="Times New Roman" w:hAnsi="Times New Roman" w:eastAsia="方正小标宋简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方正小标宋简体" w:cs="Times New Roman"/>
          <w:sz w:val="28"/>
          <w:szCs w:val="28"/>
          <w:lang w:val="en-US" w:eastAsia="zh-CN"/>
        </w:rPr>
        <w:t>从</w:t>
      </w:r>
      <w:r>
        <w:rPr>
          <w:rFonts w:hint="default" w:ascii="Times New Roman" w:hAnsi="Times New Roman" w:eastAsia="方正小标宋简体" w:cs="Times New Roman"/>
          <w:sz w:val="28"/>
          <w:szCs w:val="28"/>
          <w:lang w:eastAsia="zh-CN"/>
        </w:rPr>
        <w:t>保障民生需求</w:t>
      </w:r>
      <w:r>
        <w:rPr>
          <w:rFonts w:hint="eastAsia" w:ascii="Times New Roman" w:hAnsi="Times New Roman" w:eastAsia="方正小标宋简体" w:cs="Times New Roman"/>
          <w:sz w:val="28"/>
          <w:szCs w:val="28"/>
          <w:lang w:val="en-US" w:eastAsia="zh-CN"/>
        </w:rPr>
        <w:t>视角</w:t>
      </w:r>
      <w:r>
        <w:rPr>
          <w:rFonts w:hint="default" w:ascii="Times New Roman" w:hAnsi="Times New Roman" w:eastAsia="方正小标宋简体" w:cs="Times New Roman"/>
          <w:sz w:val="28"/>
          <w:szCs w:val="28"/>
          <w:lang w:eastAsia="zh-CN"/>
        </w:rPr>
        <w:t>看财政</w:t>
      </w:r>
      <w:r>
        <w:rPr>
          <w:rFonts w:hint="default" w:ascii="Times New Roman" w:hAnsi="Times New Roman" w:eastAsia="方正小标宋简体" w:cs="Times New Roman"/>
          <w:sz w:val="28"/>
          <w:szCs w:val="28"/>
          <w:lang w:val="en-US" w:eastAsia="zh-CN"/>
        </w:rPr>
        <w:t>收支运行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firstLine="560" w:firstLineChars="200"/>
        <w:jc w:val="center"/>
        <w:textAlignment w:val="auto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  <w:r>
        <w:rPr>
          <w:rFonts w:hint="default" w:ascii="Times New Roman" w:hAnsi="Times New Roman" w:eastAsia="方正小标宋简体" w:cs="Times New Roman"/>
          <w:sz w:val="28"/>
          <w:szCs w:val="28"/>
          <w:lang w:val="en-US" w:eastAsia="zh-CN"/>
        </w:rPr>
        <w:t xml:space="preserve">        </w:t>
      </w:r>
      <w:r>
        <w:rPr>
          <w:rFonts w:hint="eastAsia" w:ascii="Times New Roman" w:hAnsi="Times New Roman" w:eastAsia="方正小标宋简体" w:cs="Times New Roman"/>
          <w:sz w:val="28"/>
          <w:szCs w:val="28"/>
          <w:lang w:val="en-US" w:eastAsia="zh-CN"/>
        </w:rPr>
        <w:t xml:space="preserve">                   </w:t>
      </w:r>
      <w:r>
        <w:rPr>
          <w:rFonts w:hint="default" w:ascii="Times New Roman" w:hAnsi="Times New Roman" w:eastAsia="方正小标宋简体" w:cs="Times New Roman"/>
          <w:sz w:val="28"/>
          <w:szCs w:val="28"/>
          <w:lang w:val="en-US" w:eastAsia="zh-CN"/>
        </w:rPr>
        <w:t xml:space="preserve">       ——</w:t>
      </w:r>
      <w:r>
        <w:rPr>
          <w:rFonts w:hint="default" w:ascii="Times New Roman" w:hAnsi="Times New Roman" w:eastAsia="楷体_GB2312" w:cs="Times New Roman"/>
          <w:sz w:val="28"/>
          <w:szCs w:val="28"/>
          <w:lang w:val="en-US" w:eastAsia="zh-CN"/>
        </w:rPr>
        <w:t>以X市G区为例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作者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姓名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：程珍珍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工作单位：徐州市鼓楼区财政局  江苏省徐州市 221000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摘要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随着减税降费、供给侧结构性改革等政策的深入实施，我国财政收入质量和结构得到进一步改善，但收入增速明显放缓；而民生领域各项刚性支出不断增加，财政收支矛盾日益显现。在此形势下，齐心协力组织财政收入、科学高效管理财政资金尤为重要。通过分析X市G区财政收支现状及保障民生需求方面面临的困难，提出解决的措施和建议，促进财政高质量发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关键词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：财政收入；保障民生；预算管理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一、X市G区财政收支现状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4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（一）税收增长乏力，财政面临严峻形势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近几年来，X市G区财政收入保持6%左右的增长速度，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经济社会呈现较好发展态势；但是今年以来，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宏观经济形势、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减税降费政策深入施行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等多重因素叠加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影响，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财政收入增幅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下降明显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2019年一般公共预算收入同比下降3.4%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作为X市老城区，G区原有重点企业外迁，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基础税源萎缩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，税收增长乏力；新旧动能转换较慢，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总部楼宇经济、物流、电子商务等新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的税源增长点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多处于培育扶持期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，税收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潜力尚未显现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；税源结构不合理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过度依赖房地产业，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shd w:val="clear" w:color="auto" w:fill="FFFFFF"/>
        </w:rPr>
        <w:t>抵御系统性风险能力较弱，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辖区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内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“缺地少房”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越来越难以为继，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2019年契税收入同比下降23.1%，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房地产建筑业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作为“支柱产业”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税收收入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占比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49.9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%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税源结构亟需优化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shd w:val="clear" w:color="auto" w:fill="FFFFFF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4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（二）民生需求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不断提高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，财政保障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难度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加大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48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随着经济社会转型升级深入推进，各项提标升级政策不断出台，社会对加大财政资金保障力度愿望迫切，各项民生支出需求不断增加。201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年G区一般公共预算支出1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2.6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亿元，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69.2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%的用于保障社保、教育等民生需求，其中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亿元用于完善多层次社会保障体系，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3.8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亿元用于完善教育经费增长机制。由于收入增长乏力，库款紧张，为集中财力保障民生工程和重点项目支出，预算执行进度缓慢，严重降低了财政资金的使用效益。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二、X市G区财政收入保障民生支出面临的问题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（一）财政持续增收面临巨大挑战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区处于转型升级攻坚期，传统经济增长乏力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房地产、建筑业等支柱税源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有限，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缺乏稳定后续税源支撑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税源结构亟需优化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中央、省、市多次部署减税降费工作，客观上加大了财税稳定增长压力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2019年4月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全面实施增值税新规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，X市G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区减税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效应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加速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显现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1-6月份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增值税增速同比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下降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12.8个百分点；叠加小微企业普惠性减税、个税起征点提高和专项扣除等政策，企业所得税同比下降34.7%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个人所得税同比下降32%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（二）保障民生需求财政任务艰巨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X市G区科学安排支出，坚持“突出重点、民生优先”的原则，2015-201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年，民生支出占一般公共预算支出的比重为72%左右（见表1），各项民生投入需求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不断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增长，支出规模日趋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扩大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，在财政收入增长乏力、库款紧张的形势下，财政资金调度日益困难。</w:t>
      </w:r>
    </w:p>
    <w:tbl>
      <w:tblPr>
        <w:tblStyle w:val="7"/>
        <w:tblW w:w="842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8"/>
        <w:gridCol w:w="1201"/>
        <w:gridCol w:w="1201"/>
        <w:gridCol w:w="1201"/>
        <w:gridCol w:w="1201"/>
        <w:gridCol w:w="16"/>
        <w:gridCol w:w="1188"/>
        <w:gridCol w:w="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2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 w:firstLine="422" w:firstLineChars="20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表1                2015-2018年G区民生支出情况表     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单位：万元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 w:firstLine="422" w:firstLineChars="2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23" w:hRule="atLeast"/>
        </w:trPr>
        <w:tc>
          <w:tcPr>
            <w:tcW w:w="2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2015年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2016年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2017年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2018年</w:t>
            </w:r>
          </w:p>
        </w:tc>
        <w:tc>
          <w:tcPr>
            <w:tcW w:w="1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2019年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288" w:hRule="atLeast"/>
        </w:trPr>
        <w:tc>
          <w:tcPr>
            <w:tcW w:w="2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民生支出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79,420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85,662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99,866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98,090</w:t>
            </w:r>
          </w:p>
        </w:tc>
        <w:tc>
          <w:tcPr>
            <w:tcW w:w="1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default" w:asciiTheme="minorEastAsia" w:hAnsi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87,148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288" w:hRule="atLeast"/>
        </w:trPr>
        <w:tc>
          <w:tcPr>
            <w:tcW w:w="2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一般公共预算支出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103,775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111,609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171,887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130,798</w:t>
            </w:r>
          </w:p>
        </w:tc>
        <w:tc>
          <w:tcPr>
            <w:tcW w:w="1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126,025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288" w:hRule="atLeast"/>
        </w:trPr>
        <w:tc>
          <w:tcPr>
            <w:tcW w:w="2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民生支出占一般公共预算支出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比重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76.5%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76.8%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58.1%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75.0%</w:t>
            </w:r>
          </w:p>
        </w:tc>
        <w:tc>
          <w:tcPr>
            <w:tcW w:w="1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69.2%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360" w:firstLineChars="200"/>
        <w:textAlignment w:val="auto"/>
        <w:rPr>
          <w:rFonts w:hint="default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数据来源：江苏省预决算公开统一平台，http://yjsgk.jsczt.cn/list.do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（三）G区财政收支矛盾凸显，收支平衡压力较大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方面，由于年初以来各项减税降费政策不断深入推行，G区增值税、企业所得税、个人所得税等税种增速同比明显放缓，全年一般公共预算收入将显著减少，区级可用财力有限。另一方面，为推进社会事业发展，保障和改善民生各项刚性支出需求不断增加，X市G区民生支出中省市专项转移支付补助资金占比约16.4%（见表2），需要占用本级财力和资金安排的民生支出占比约83.6%，各种因素协同作用，导致收支矛盾突出，库款捉襟见肘，预算执行进度缓慢，G区财政收支平衡面临巨大压力。</w:t>
      </w:r>
    </w:p>
    <w:tbl>
      <w:tblPr>
        <w:tblStyle w:val="7"/>
        <w:tblW w:w="836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0"/>
        <w:gridCol w:w="1096"/>
        <w:gridCol w:w="1096"/>
        <w:gridCol w:w="1096"/>
        <w:gridCol w:w="10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 w:firstLineChars="20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表2    2015-2018年X市对G区专项转移支付民生领域投入情况表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单位：万元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2015年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2016年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2017年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2018年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民生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领域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专项转移支付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资金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13,576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14,750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18,927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12,162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民生支出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79,420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85,662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99,866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98,090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民生领域专项转移投入比重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17.1%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17.2%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19.0%</w:t>
            </w:r>
          </w:p>
        </w:tc>
        <w:tc>
          <w:tcPr>
            <w:tcW w:w="1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12.4%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36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数据来源：江苏省预决算公开统一平台，http://yjsgk.jsczt.cn/list.do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三、强化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财政预算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管理，保障民生需求的对策建议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2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（一）有效组织财政收入，提高收入可持续性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5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pacing w:val="7"/>
          <w:sz w:val="21"/>
          <w:szCs w:val="21"/>
          <w:shd w:val="clear" w:color="auto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调整经济结构，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促进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经济发展方式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转变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。充分挖掘经济发展的内在潜能，培植新的财政增长点，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做大收入“蛋糕”，减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轻支出压力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同时，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shd w:val="clear" w:color="auto" w:fill="FFFFFF"/>
        </w:rPr>
        <w:t>加大税源招商力度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shd w:val="clear" w:color="auto" w:fill="FFFFFF"/>
        </w:rPr>
        <w:t>开展驻点招商，重点招引税收贡献高、投资见效快的应税型、总部型企业，提高招商精准度和高效性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，推动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eastAsia="zh-CN"/>
        </w:rPr>
        <w:t>财政高质量持续发展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shd w:val="clear" w:color="auto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8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pacing w:val="7"/>
          <w:sz w:val="21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shd w:val="clear" w:color="auto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夯实税源基础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lang w:eastAsia="zh-CN"/>
        </w:rPr>
        <w:t>强化收入征管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shd w:val="clear" w:color="auto" w:fill="FFFFFF"/>
        </w:rPr>
        <w:t>紧盯重点税源，加大对重点企业走访力度，及时掌握企业税收申报动态，协调推进重点企业申报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shd w:val="clear" w:color="auto" w:fill="FFFFFF"/>
        </w:rPr>
        <w:t>推进房地产税源增收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深挖税收潜力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shd w:val="clear" w:color="auto" w:fill="FFFFFF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lang w:val="en-US" w:eastAsia="zh-CN"/>
        </w:rPr>
        <w:t>同时，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坚持调度和分析相结合，及时解决税收征管中的问题和难点，本着“抓大不放小”的原则，强化税源调度不放松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shd w:val="clear" w:color="auto" w:fill="FFFFFF"/>
        </w:rPr>
        <w:t>多渠道实现增收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11" w:firstLineChars="196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落实财力分享政策，深化区街财政管理体制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理顺区街两级财力分成关系，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逐步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建立收入合理共享、事权合理分担、共同促进发展的财政体制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充分调动街道办事处发展经济、培育税源的主动性和积极性，增强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自主发展能力。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5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pacing w:val="7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pacing w:val="7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pacing w:val="7"/>
          <w:sz w:val="21"/>
          <w:szCs w:val="21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pacing w:val="7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pacing w:val="7"/>
          <w:sz w:val="21"/>
          <w:szCs w:val="21"/>
        </w:rPr>
        <w:t>加强预算管理，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pacing w:val="7"/>
          <w:sz w:val="21"/>
          <w:szCs w:val="21"/>
          <w:lang w:val="en-US" w:eastAsia="zh-CN"/>
        </w:rPr>
        <w:t>提高预算统筹能力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48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lang w:val="en-US" w:eastAsia="zh-CN"/>
        </w:rPr>
        <w:t>严格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</w:rPr>
        <w:t>部门预算编制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lang w:val="en-US" w:eastAsia="zh-CN"/>
        </w:rPr>
        <w:t>强化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</w:rPr>
        <w:t>预算执行约束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充分考虑国家大规模减税降费等政策影响，按照“统筹兼顾、有保有压、量力而行、尽力而为、收支平衡、集中财力办大事”的原则，统筹安排年度预算，分清轻重缓急，优先做好“保工资、保运转、保基本民生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工作，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加强资金统筹管理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严格执行预算追加审核批准程序，严控预算调整事项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</w:rPr>
        <w:t>积极盘活存量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</w:rPr>
        <w:t>资金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，加大资金统筹力度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pacing w:val="7"/>
          <w:sz w:val="21"/>
          <w:szCs w:val="21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</w:rPr>
        <w:t>对本级预算安排的结余资金和超过一年未用完的结转资金，一律予以收回以补充财力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  <w:lang w:val="en-US" w:eastAsia="zh-CN"/>
        </w:rPr>
        <w:t>二是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</w:rPr>
        <w:t>盘活财政专户存量资金，对各项专项资金、暂存款，连续两年未使用的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  <w:lang w:val="en-US" w:eastAsia="zh-CN"/>
        </w:rPr>
        <w:t>沉淀结余资金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</w:rPr>
        <w:t>，一律予以收回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提高资金使用效率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</w:rPr>
        <w:t>；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  <w:lang w:val="en-US" w:eastAsia="zh-CN"/>
        </w:rPr>
        <w:t>三是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</w:rPr>
        <w:t>将各部门长期沉淀闲置、按原用途难以使用的资金，以及年底前难以使用的预算资金，应按规定收回财政或调整用于其他急需支持的项目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  <w:lang w:val="en-US" w:eastAsia="zh-CN"/>
        </w:rPr>
        <w:t>四是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</w:rPr>
        <w:t>动用预算稳定调节基金统筹使用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</w:rPr>
        <w:t>努力做到收支平衡，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  <w:lang w:val="en-US" w:eastAsia="zh-CN"/>
        </w:rPr>
        <w:t>促进</w:t>
      </w:r>
      <w:r>
        <w:rPr>
          <w:rFonts w:hint="eastAsia" w:asciiTheme="minorEastAsia" w:hAnsiTheme="minorEastAsia" w:eastAsiaTheme="minorEastAsia" w:cstheme="minorEastAsia"/>
          <w:bCs/>
          <w:kern w:val="0"/>
          <w:sz w:val="21"/>
          <w:szCs w:val="21"/>
        </w:rPr>
        <w:t>财政可持续发展。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8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</w:rPr>
        <w:t>强化预算绩效管理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lang w:val="en-US" w:eastAsia="zh-CN"/>
        </w:rPr>
        <w:t>提高资金使用效益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</w:rPr>
        <w:t>。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lang w:val="en-US" w:eastAsia="zh-CN"/>
        </w:rPr>
        <w:t>逐步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</w:rPr>
        <w:t>健全预算绩效管理机制，规范绩效管理工作流程。科学合理设定绩效目标，加强重大项目专项资金评价，实现绩效评价结果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</w:rPr>
        <w:t>政策调整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</w:rPr>
        <w:t>预算安排挂钩。建立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lang w:eastAsia="zh-CN"/>
        </w:rPr>
        <w:t>“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lang w:val="en-US" w:eastAsia="zh-CN"/>
        </w:rPr>
        <w:t>问责、问效</w:t>
      </w:r>
      <w:r>
        <w:rPr>
          <w:rFonts w:hint="eastAsia" w:asciiTheme="minorEastAsia" w:hAnsiTheme="minorEastAsia" w:cstheme="minorEastAsia"/>
          <w:color w:val="000000"/>
          <w:spacing w:val="7"/>
          <w:sz w:val="21"/>
          <w:szCs w:val="21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</w:rPr>
        <w:t>约束机制，不断提高财政资源配置效率</w:t>
      </w:r>
      <w:r>
        <w:rPr>
          <w:rFonts w:hint="eastAsia" w:asciiTheme="minorEastAsia" w:hAnsiTheme="minorEastAsia" w:eastAsiaTheme="minorEastAsia" w:cstheme="minorEastAsia"/>
          <w:color w:val="000000"/>
          <w:spacing w:val="7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2" w:firstLineChars="2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优化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财政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支出结构，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保障民生支出需求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1.明确支出方向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保障基本民生需求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积极落实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紧日子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的思想，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持续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压减一般性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支出，降低行政运行成本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合理安排支出重点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清理长期固化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部门预算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项目支出，对保障标准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障要求过高、资金使用绩效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不明晰的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项目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予以调整优化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确保把有限的财力用于落实“三保”支出、支持打赢三大攻坚战、决胜全面建成小康社会补短板强弱项等重点事项。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2.坚持适度保障原则，处理好经济社会发展需求和财政可承受能力之间的矛盾。结合地区现状，将民生项目财政支出规模和增长速度保持在合理范围内，全面落实各项减税降费政策，循序渐进发展社会事业。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3.厘清财政事权与支出责任，处理好财政支出合理增长和保障民生之间的关系。改善民生是一项长期艰巨的任务，需要明确政府在经济社会发展中的财政保障范围和责任边界，合理界定基本性民生需求和发展性民生需求，有效控制财政支出规模，将人民群众最迫切需要的、目前民生支出中占比较高的义务教育、基本公共卫生服务等方面纳入财政保障范围，避免无效配置以挤占资金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参考文献：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江苏省徐州技师学院财务处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.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徐州市财政局积极落实过“紧日子”思想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[EB/OL]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http://cwc.xzjsxy.com/html/gzdt/2019/08/21/9f900fd7-7842-4b91-b58f-363c1dbff806.html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，2019-08-21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textAlignment w:val="auto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作者简介：程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珍（1988年7月-），女，江苏沛县，现供职于徐州市鼓楼区财政局，中级会计师，会计硕士学位。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200"/>
        <w:jc w:val="both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电话：15951467267；邮箱：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instrText xml:space="preserve"> HYPERLINK "mailto:czzyzu717@163.com；" </w:instrTex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fldChar w:fldCharType="separate"/>
      </w:r>
      <w:r>
        <w:rPr>
          <w:rStyle w:val="9"/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czzyzu717@163.com；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200"/>
        <w:jc w:val="both"/>
        <w:textAlignment w:val="auto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地址：江苏省徐州市中山北路253号鼓楼区政府536办公室；邮编：221000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67712"/>
    <w:rsid w:val="04095760"/>
    <w:rsid w:val="082E7802"/>
    <w:rsid w:val="0A7D5F0B"/>
    <w:rsid w:val="0FD3692B"/>
    <w:rsid w:val="127038E3"/>
    <w:rsid w:val="1589518A"/>
    <w:rsid w:val="19D06120"/>
    <w:rsid w:val="1BB729C9"/>
    <w:rsid w:val="227109D8"/>
    <w:rsid w:val="2A077F7B"/>
    <w:rsid w:val="2E157EB8"/>
    <w:rsid w:val="3B490FF6"/>
    <w:rsid w:val="41680F54"/>
    <w:rsid w:val="41717D65"/>
    <w:rsid w:val="45506E60"/>
    <w:rsid w:val="47104DE0"/>
    <w:rsid w:val="4ADD5CDC"/>
    <w:rsid w:val="4CCA491E"/>
    <w:rsid w:val="57767FA6"/>
    <w:rsid w:val="580F54AC"/>
    <w:rsid w:val="58BB1831"/>
    <w:rsid w:val="59867712"/>
    <w:rsid w:val="60090187"/>
    <w:rsid w:val="62661B22"/>
    <w:rsid w:val="774E44E9"/>
    <w:rsid w:val="7CE9153F"/>
    <w:rsid w:val="7DD8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2019-09-16T02:43:00Z</dcterms:created>
  <dc:creator>章锦</dc:creator>
  <cp:lastModifiedBy>章锦</cp:lastModifiedBy>
  <dcterms:modified xsi:type="dcterms:W3CDTF">2020-03-11T02:49:17Z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