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86" w:rsidRDefault="00037153" w:rsidP="000767C2">
      <w:pPr>
        <w:jc w:val="center"/>
        <w:rPr>
          <w:rFonts w:ascii="宋体" w:eastAsia="宋体" w:hAnsi="宋体" w:cs="Times New Roman"/>
          <w:b/>
          <w:bCs/>
          <w:color w:val="000000"/>
          <w:sz w:val="30"/>
          <w:szCs w:val="30"/>
        </w:rPr>
      </w:pPr>
      <w:proofErr w:type="gramStart"/>
      <w:r>
        <w:rPr>
          <w:rFonts w:ascii="宋体" w:eastAsia="宋体" w:hAnsi="宋体" w:cs="Times New Roman" w:hint="eastAsia"/>
          <w:b/>
          <w:bCs/>
          <w:color w:val="000000"/>
          <w:sz w:val="30"/>
          <w:szCs w:val="30"/>
        </w:rPr>
        <w:t>论</w:t>
      </w:r>
      <w:r w:rsidR="00155F9A">
        <w:rPr>
          <w:rFonts w:ascii="宋体" w:eastAsia="宋体" w:hAnsi="宋体" w:cs="Times New Roman" w:hint="eastAsia"/>
          <w:b/>
          <w:bCs/>
          <w:color w:val="000000"/>
          <w:sz w:val="30"/>
          <w:szCs w:val="30"/>
        </w:rPr>
        <w:t>法院</w:t>
      </w:r>
      <w:proofErr w:type="gramEnd"/>
      <w:r w:rsidR="00155F9A">
        <w:rPr>
          <w:rFonts w:ascii="宋体" w:eastAsia="宋体" w:hAnsi="宋体" w:cs="Times New Roman" w:hint="eastAsia"/>
          <w:b/>
          <w:bCs/>
          <w:color w:val="000000"/>
          <w:sz w:val="30"/>
          <w:szCs w:val="30"/>
        </w:rPr>
        <w:t>对</w:t>
      </w:r>
      <w:r w:rsidR="006D7185">
        <w:rPr>
          <w:rFonts w:ascii="宋体" w:eastAsia="宋体" w:hAnsi="宋体" w:cs="Times New Roman" w:hint="eastAsia"/>
          <w:b/>
          <w:bCs/>
          <w:color w:val="000000"/>
          <w:sz w:val="30"/>
          <w:szCs w:val="30"/>
        </w:rPr>
        <w:t>最高院</w:t>
      </w:r>
      <w:r w:rsidR="00155F9A">
        <w:rPr>
          <w:rFonts w:ascii="宋体" w:eastAsia="宋体" w:hAnsi="宋体" w:cs="Times New Roman" w:hint="eastAsia"/>
          <w:b/>
          <w:bCs/>
          <w:color w:val="000000"/>
          <w:sz w:val="30"/>
          <w:szCs w:val="30"/>
        </w:rPr>
        <w:t>公报案例</w:t>
      </w:r>
      <w:r w:rsidR="00F210EC">
        <w:rPr>
          <w:rFonts w:ascii="宋体" w:eastAsia="宋体" w:hAnsi="宋体" w:cs="Times New Roman" w:hint="eastAsia"/>
          <w:b/>
          <w:bCs/>
          <w:color w:val="000000"/>
          <w:sz w:val="30"/>
          <w:szCs w:val="30"/>
        </w:rPr>
        <w:t>的</w:t>
      </w:r>
      <w:r w:rsidR="000767C2" w:rsidRPr="00EC7157">
        <w:rPr>
          <w:rFonts w:ascii="宋体" w:eastAsia="宋体" w:hAnsi="宋体" w:cs="Times New Roman" w:hint="eastAsia"/>
          <w:b/>
          <w:bCs/>
          <w:color w:val="000000"/>
          <w:sz w:val="30"/>
          <w:szCs w:val="30"/>
        </w:rPr>
        <w:t>适用</w:t>
      </w:r>
      <w:r>
        <w:rPr>
          <w:rFonts w:ascii="宋体" w:eastAsia="宋体" w:hAnsi="宋体" w:cs="Times New Roman" w:hint="eastAsia"/>
          <w:b/>
          <w:bCs/>
          <w:color w:val="000000"/>
          <w:sz w:val="30"/>
          <w:szCs w:val="30"/>
        </w:rPr>
        <w:t>情况</w:t>
      </w:r>
    </w:p>
    <w:p w:rsidR="00893CE1" w:rsidRDefault="00893CE1" w:rsidP="000767C2">
      <w:pPr>
        <w:jc w:val="center"/>
        <w:rPr>
          <w:rFonts w:ascii="宋体" w:eastAsia="宋体" w:hAnsi="宋体" w:cs="宋体" w:hint="eastAsia"/>
          <w:color w:val="000000"/>
          <w:szCs w:val="21"/>
        </w:rPr>
      </w:pPr>
      <w:r w:rsidRPr="00893CE1">
        <w:rPr>
          <w:rFonts w:ascii="宋体" w:eastAsia="宋体" w:hAnsi="宋体" w:cs="宋体" w:hint="eastAsia"/>
          <w:color w:val="000000"/>
          <w:szCs w:val="21"/>
        </w:rPr>
        <w:t>廖艳萍</w:t>
      </w:r>
      <w:r w:rsidR="0041716E">
        <w:rPr>
          <w:rStyle w:val="ac"/>
          <w:rFonts w:ascii="宋体" w:eastAsia="宋体" w:hAnsi="宋体" w:cs="宋体"/>
          <w:color w:val="000000"/>
          <w:szCs w:val="21"/>
        </w:rPr>
        <w:footnoteReference w:id="1"/>
      </w:r>
    </w:p>
    <w:p w:rsidR="00116428" w:rsidRPr="00116428" w:rsidRDefault="00116428" w:rsidP="00116428">
      <w:pPr>
        <w:ind w:firstLineChars="200" w:firstLine="420"/>
        <w:jc w:val="center"/>
        <w:rPr>
          <w:rFonts w:ascii="宋体" w:hAnsi="宋体" w:cs="宋体"/>
          <w:color w:val="000000"/>
          <w:szCs w:val="21"/>
        </w:rPr>
      </w:pPr>
      <w:r w:rsidRPr="009C6B5F">
        <w:rPr>
          <w:rFonts w:ascii="宋体" w:hAnsi="宋体" w:cs="宋体" w:hint="eastAsia"/>
          <w:color w:val="000000"/>
          <w:szCs w:val="21"/>
        </w:rPr>
        <w:t>（湖南师范大学 法学院，湖南 长沙41000</w:t>
      </w:r>
      <w:r w:rsidRPr="009C6B5F">
        <w:rPr>
          <w:rFonts w:ascii="宋体" w:hAnsi="宋体" w:cs="宋体"/>
          <w:color w:val="000000"/>
          <w:szCs w:val="21"/>
        </w:rPr>
        <w:t>6</w:t>
      </w:r>
      <w:r w:rsidRPr="009C6B5F">
        <w:rPr>
          <w:rFonts w:ascii="宋体" w:hAnsi="宋体" w:cs="宋体" w:hint="eastAsia"/>
          <w:color w:val="000000"/>
          <w:szCs w:val="21"/>
        </w:rPr>
        <w:t>）</w:t>
      </w:r>
    </w:p>
    <w:p w:rsidR="000D7AC8" w:rsidRPr="00F210EC" w:rsidRDefault="000767C2" w:rsidP="007F16DF">
      <w:pPr>
        <w:rPr>
          <w:rFonts w:ascii="宋体" w:eastAsia="宋体" w:hAnsi="宋体" w:cs="宋体"/>
          <w:bCs/>
          <w:color w:val="000000"/>
          <w:szCs w:val="21"/>
        </w:rPr>
      </w:pPr>
      <w:r w:rsidRPr="00EC7157">
        <w:rPr>
          <w:rFonts w:ascii="宋体" w:eastAsia="宋体" w:hAnsi="宋体" w:cs="宋体" w:hint="eastAsia"/>
          <w:b/>
          <w:bCs/>
          <w:color w:val="000000"/>
          <w:szCs w:val="21"/>
        </w:rPr>
        <w:t>摘</w:t>
      </w:r>
      <w:r w:rsidR="00EC7157">
        <w:rPr>
          <w:rFonts w:ascii="宋体" w:eastAsia="宋体" w:hAnsi="宋体" w:cs="宋体" w:hint="eastAsia"/>
          <w:b/>
          <w:bCs/>
          <w:color w:val="000000"/>
          <w:szCs w:val="21"/>
        </w:rPr>
        <w:t xml:space="preserve">  </w:t>
      </w:r>
      <w:r w:rsidRPr="00EC7157">
        <w:rPr>
          <w:rFonts w:ascii="宋体" w:eastAsia="宋体" w:hAnsi="宋体" w:cs="宋体" w:hint="eastAsia"/>
          <w:b/>
          <w:bCs/>
          <w:color w:val="000000"/>
          <w:szCs w:val="21"/>
        </w:rPr>
        <w:t>要：</w:t>
      </w:r>
      <w:r w:rsidR="00F210EC" w:rsidRPr="00F210EC">
        <w:rPr>
          <w:rFonts w:ascii="宋体" w:eastAsia="宋体" w:hAnsi="宋体" w:cs="宋体"/>
          <w:bCs/>
          <w:color w:val="000000"/>
          <w:szCs w:val="21"/>
        </w:rPr>
        <w:t>《最高人民法院公报》案例不同于最高人民法院发布的指导性案例，指导性案例必须参照适用，但是最高院公报案例该如何适用各界观点不一，实务中也没有统一的做法</w:t>
      </w:r>
      <w:r w:rsidR="00F210EC" w:rsidRPr="00F210EC">
        <w:rPr>
          <w:rFonts w:ascii="宋体" w:eastAsia="宋体" w:hAnsi="宋体" w:cs="宋体" w:hint="eastAsia"/>
          <w:bCs/>
          <w:color w:val="000000"/>
          <w:szCs w:val="21"/>
        </w:rPr>
        <w:t>。审判实务中，法官在适用最高院公报案例时没有明确的审判标准，导致同案不同判，严重影响司法公正。因此，规范法院对最高院公报案例的适用准则，对最高</w:t>
      </w:r>
      <w:proofErr w:type="gramStart"/>
      <w:r w:rsidR="00F210EC" w:rsidRPr="00F210EC">
        <w:rPr>
          <w:rFonts w:ascii="宋体" w:eastAsia="宋体" w:hAnsi="宋体" w:cs="宋体" w:hint="eastAsia"/>
          <w:bCs/>
          <w:color w:val="000000"/>
          <w:szCs w:val="21"/>
        </w:rPr>
        <w:t>院指导</w:t>
      </w:r>
      <w:proofErr w:type="gramEnd"/>
      <w:r w:rsidR="00F210EC" w:rsidRPr="00F210EC">
        <w:rPr>
          <w:rFonts w:ascii="宋体" w:eastAsia="宋体" w:hAnsi="宋体" w:cs="宋体" w:hint="eastAsia"/>
          <w:bCs/>
          <w:color w:val="000000"/>
          <w:szCs w:val="21"/>
        </w:rPr>
        <w:t>监督各级法院、上级法院监督下级法院、规制法官的审判行为，追求司法公正具有重大意义。</w:t>
      </w:r>
    </w:p>
    <w:p w:rsidR="000D7AC8" w:rsidRDefault="000767C2" w:rsidP="000767C2">
      <w:pPr>
        <w:rPr>
          <w:rFonts w:ascii="宋体" w:eastAsia="宋体" w:hAnsi="宋体" w:cs="宋体"/>
          <w:bCs/>
          <w:color w:val="000000"/>
          <w:szCs w:val="21"/>
        </w:rPr>
      </w:pPr>
      <w:r w:rsidRPr="00EC7157">
        <w:rPr>
          <w:rFonts w:ascii="宋体" w:eastAsia="宋体" w:hAnsi="宋体" w:cs="宋体" w:hint="eastAsia"/>
          <w:b/>
          <w:bCs/>
          <w:color w:val="000000"/>
          <w:szCs w:val="21"/>
        </w:rPr>
        <w:t>关键词：</w:t>
      </w:r>
      <w:r w:rsidR="000D7AC8">
        <w:rPr>
          <w:rFonts w:ascii="宋体" w:eastAsia="宋体" w:hAnsi="宋体" w:cs="宋体" w:hint="eastAsia"/>
          <w:bCs/>
          <w:color w:val="000000"/>
          <w:szCs w:val="21"/>
        </w:rPr>
        <w:t>最高</w:t>
      </w:r>
      <w:r w:rsidR="002F30A7">
        <w:rPr>
          <w:rFonts w:ascii="宋体" w:eastAsia="宋体" w:hAnsi="宋体" w:cs="宋体" w:hint="eastAsia"/>
          <w:bCs/>
          <w:color w:val="000000"/>
          <w:szCs w:val="21"/>
        </w:rPr>
        <w:t>人民法</w:t>
      </w:r>
      <w:r w:rsidR="000D7AC8">
        <w:rPr>
          <w:rFonts w:ascii="宋体" w:eastAsia="宋体" w:hAnsi="宋体" w:cs="宋体" w:hint="eastAsia"/>
          <w:bCs/>
          <w:color w:val="000000"/>
          <w:szCs w:val="21"/>
        </w:rPr>
        <w:t>院;公报案例;</w:t>
      </w:r>
      <w:r w:rsidR="00566D0E">
        <w:rPr>
          <w:rFonts w:ascii="宋体" w:eastAsia="宋体" w:hAnsi="宋体" w:cs="宋体" w:hint="eastAsia"/>
          <w:bCs/>
          <w:color w:val="000000"/>
          <w:szCs w:val="21"/>
        </w:rPr>
        <w:t>参照</w:t>
      </w:r>
      <w:r w:rsidR="006D7185">
        <w:rPr>
          <w:rFonts w:ascii="宋体" w:eastAsia="宋体" w:hAnsi="宋体" w:cs="宋体" w:hint="eastAsia"/>
          <w:bCs/>
          <w:color w:val="000000"/>
          <w:szCs w:val="21"/>
        </w:rPr>
        <w:t>适用</w:t>
      </w:r>
    </w:p>
    <w:p w:rsidR="000D7AC8" w:rsidRDefault="000D7AC8" w:rsidP="000D7AC8">
      <w:pPr>
        <w:rPr>
          <w:rFonts w:ascii="宋体" w:hAnsi="宋体" w:cs="宋体"/>
          <w:color w:val="000000"/>
          <w:szCs w:val="21"/>
        </w:rPr>
      </w:pPr>
      <w:r>
        <w:rPr>
          <w:rFonts w:ascii="宋体" w:hAnsi="宋体" w:cs="宋体" w:hint="eastAsia"/>
          <w:b/>
          <w:bCs/>
          <w:color w:val="000000"/>
          <w:szCs w:val="21"/>
        </w:rPr>
        <w:t>投稿日期：</w:t>
      </w:r>
      <w:r>
        <w:rPr>
          <w:rFonts w:ascii="宋体" w:hAnsi="宋体" w:cs="宋体" w:hint="eastAsia"/>
          <w:bCs/>
          <w:color w:val="000000"/>
          <w:szCs w:val="21"/>
        </w:rPr>
        <w:t>2</w:t>
      </w:r>
      <w:r w:rsidR="00810B2C">
        <w:rPr>
          <w:rFonts w:ascii="宋体" w:hAnsi="宋体" w:cs="宋体"/>
          <w:bCs/>
          <w:color w:val="000000"/>
          <w:szCs w:val="21"/>
        </w:rPr>
        <w:t>0</w:t>
      </w:r>
      <w:r w:rsidR="00810B2C">
        <w:rPr>
          <w:rFonts w:ascii="宋体" w:hAnsi="宋体" w:cs="宋体" w:hint="eastAsia"/>
          <w:bCs/>
          <w:color w:val="000000"/>
          <w:szCs w:val="21"/>
        </w:rPr>
        <w:t>20</w:t>
      </w:r>
      <w:r>
        <w:rPr>
          <w:rFonts w:ascii="宋体" w:hAnsi="宋体" w:cs="宋体"/>
          <w:bCs/>
          <w:color w:val="000000"/>
          <w:szCs w:val="21"/>
        </w:rPr>
        <w:t>-</w:t>
      </w:r>
      <w:r w:rsidR="006563C0">
        <w:rPr>
          <w:rFonts w:ascii="宋体" w:hAnsi="宋体" w:cs="宋体" w:hint="eastAsia"/>
          <w:bCs/>
          <w:color w:val="000000"/>
          <w:szCs w:val="21"/>
        </w:rPr>
        <w:t>2-</w:t>
      </w:r>
    </w:p>
    <w:p w:rsidR="000D7AC8" w:rsidRDefault="000D7AC8" w:rsidP="000D7AC8">
      <w:pPr>
        <w:rPr>
          <w:rFonts w:ascii="宋体" w:hAnsi="宋体" w:cs="宋体"/>
          <w:color w:val="000000"/>
          <w:sz w:val="18"/>
          <w:szCs w:val="18"/>
        </w:rPr>
      </w:pPr>
      <w:r>
        <w:rPr>
          <w:rFonts w:ascii="宋体" w:hAnsi="宋体" w:cs="宋体" w:hint="eastAsia"/>
          <w:b/>
          <w:color w:val="000000"/>
          <w:szCs w:val="21"/>
        </w:rPr>
        <w:t>作者简介：</w:t>
      </w:r>
      <w:r>
        <w:rPr>
          <w:rFonts w:ascii="宋体" w:hAnsi="宋体" w:cs="宋体" w:hint="eastAsia"/>
          <w:color w:val="000000"/>
          <w:sz w:val="18"/>
          <w:szCs w:val="18"/>
        </w:rPr>
        <w:t>廖艳萍（1</w:t>
      </w:r>
      <w:r>
        <w:rPr>
          <w:rFonts w:ascii="宋体" w:hAnsi="宋体" w:cs="宋体"/>
          <w:color w:val="000000"/>
          <w:sz w:val="18"/>
          <w:szCs w:val="18"/>
        </w:rPr>
        <w:t>9</w:t>
      </w:r>
      <w:r>
        <w:rPr>
          <w:rFonts w:ascii="宋体" w:hAnsi="宋体" w:cs="宋体" w:hint="eastAsia"/>
          <w:color w:val="000000"/>
          <w:sz w:val="18"/>
          <w:szCs w:val="18"/>
        </w:rPr>
        <w:t>95</w:t>
      </w:r>
      <w:r>
        <w:rPr>
          <w:rFonts w:ascii="宋体" w:hAnsi="宋体" w:cs="宋体"/>
          <w:color w:val="000000"/>
          <w:sz w:val="18"/>
          <w:szCs w:val="18"/>
        </w:rPr>
        <w:t>-</w:t>
      </w:r>
      <w:r>
        <w:rPr>
          <w:rFonts w:ascii="宋体" w:hAnsi="宋体" w:cs="宋体" w:hint="eastAsia"/>
          <w:color w:val="000000"/>
          <w:sz w:val="18"/>
          <w:szCs w:val="18"/>
        </w:rPr>
        <w:t>），女，</w:t>
      </w:r>
      <w:r w:rsidR="00DE2ABF">
        <w:rPr>
          <w:rFonts w:ascii="宋体" w:hAnsi="宋体" w:cs="宋体" w:hint="eastAsia"/>
          <w:color w:val="000000"/>
          <w:sz w:val="18"/>
          <w:szCs w:val="18"/>
        </w:rPr>
        <w:t>汉族，</w:t>
      </w:r>
      <w:r>
        <w:rPr>
          <w:rFonts w:ascii="宋体" w:hAnsi="宋体" w:cs="宋体" w:hint="eastAsia"/>
          <w:color w:val="000000"/>
          <w:sz w:val="18"/>
          <w:szCs w:val="18"/>
        </w:rPr>
        <w:t>湖南邵阳人，法律硕士，湖南师范大学法学院，主要研究方向：民商法。</w:t>
      </w:r>
    </w:p>
    <w:p w:rsidR="000D7AC8" w:rsidRDefault="000D7AC8" w:rsidP="000D7AC8">
      <w:pPr>
        <w:rPr>
          <w:rFonts w:ascii="宋体" w:hAnsi="宋体" w:cs="宋体"/>
          <w:color w:val="000000"/>
          <w:szCs w:val="21"/>
        </w:rPr>
      </w:pPr>
      <w:r>
        <w:rPr>
          <w:rFonts w:ascii="宋体" w:hAnsi="宋体" w:cs="宋体" w:hint="eastAsia"/>
          <w:b/>
          <w:color w:val="000000"/>
          <w:szCs w:val="21"/>
        </w:rPr>
        <w:t>通讯地址：</w:t>
      </w:r>
      <w:r>
        <w:rPr>
          <w:rFonts w:ascii="宋体" w:hAnsi="宋体" w:cs="宋体" w:hint="eastAsia"/>
          <w:color w:val="000000"/>
          <w:szCs w:val="21"/>
        </w:rPr>
        <w:t>湖南省长沙市岳麓区桔子洲街道湖南师范大学法学院二里半校区。邮编：4</w:t>
      </w:r>
      <w:r>
        <w:rPr>
          <w:rFonts w:ascii="宋体" w:hAnsi="宋体" w:cs="宋体"/>
          <w:color w:val="000000"/>
          <w:szCs w:val="21"/>
        </w:rPr>
        <w:t>10006.</w:t>
      </w:r>
      <w:r>
        <w:rPr>
          <w:rFonts w:ascii="宋体" w:hAnsi="宋体" w:cs="宋体" w:hint="eastAsia"/>
          <w:color w:val="000000"/>
          <w:szCs w:val="21"/>
        </w:rPr>
        <w:t>手机：15574969642（长沙），E</w:t>
      </w:r>
      <w:r>
        <w:rPr>
          <w:rFonts w:ascii="宋体" w:hAnsi="宋体" w:cs="宋体"/>
          <w:color w:val="000000"/>
          <w:szCs w:val="21"/>
        </w:rPr>
        <w:t>mail:</w:t>
      </w:r>
      <w:r>
        <w:rPr>
          <w:rFonts w:ascii="宋体" w:hAnsi="宋体" w:cs="宋体" w:hint="eastAsia"/>
          <w:color w:val="000000"/>
          <w:szCs w:val="21"/>
        </w:rPr>
        <w:t>1443016002</w:t>
      </w:r>
      <w:r>
        <w:rPr>
          <w:rFonts w:ascii="宋体" w:hAnsi="宋体" w:cs="宋体"/>
          <w:color w:val="000000"/>
          <w:szCs w:val="21"/>
        </w:rPr>
        <w:t>@qq.com</w:t>
      </w:r>
    </w:p>
    <w:p w:rsidR="000D7AC8" w:rsidRDefault="000D7AC8" w:rsidP="000D7AC8">
      <w:pPr>
        <w:rPr>
          <w:rFonts w:ascii="宋体" w:hAnsi="宋体" w:cs="宋体"/>
          <w:color w:val="000000"/>
          <w:szCs w:val="21"/>
        </w:rPr>
      </w:pPr>
      <w:r>
        <w:rPr>
          <w:rFonts w:ascii="宋体" w:hAnsi="宋体" w:cs="宋体" w:hint="eastAsia"/>
          <w:b/>
          <w:szCs w:val="21"/>
        </w:rPr>
        <w:t>中图分类号：</w:t>
      </w:r>
      <w:r>
        <w:rPr>
          <w:rFonts w:ascii="宋体" w:hAnsi="宋体" w:cs="宋体"/>
          <w:b/>
          <w:szCs w:val="21"/>
        </w:rPr>
        <w:t xml:space="preserve">D913       </w:t>
      </w:r>
      <w:r>
        <w:rPr>
          <w:rFonts w:ascii="宋体" w:hAnsi="宋体" w:cs="宋体" w:hint="eastAsia"/>
          <w:b/>
          <w:szCs w:val="21"/>
        </w:rPr>
        <w:t xml:space="preserve">文献标识码： </w:t>
      </w:r>
      <w:r>
        <w:rPr>
          <w:rFonts w:ascii="宋体" w:hAnsi="宋体" w:cs="宋体"/>
          <w:b/>
          <w:szCs w:val="21"/>
        </w:rPr>
        <w:t xml:space="preserve">            </w:t>
      </w:r>
      <w:r>
        <w:rPr>
          <w:rFonts w:ascii="宋体" w:hAnsi="宋体" w:cs="宋体" w:hint="eastAsia"/>
          <w:b/>
          <w:szCs w:val="21"/>
        </w:rPr>
        <w:t>文章编号：</w:t>
      </w:r>
    </w:p>
    <w:p w:rsidR="000D7AC8" w:rsidRDefault="000D7AC8" w:rsidP="000767C2">
      <w:pPr>
        <w:rPr>
          <w:rFonts w:ascii="宋体" w:eastAsia="宋体" w:hAnsi="宋体" w:cs="宋体"/>
          <w:bCs/>
          <w:color w:val="000000"/>
          <w:szCs w:val="21"/>
        </w:rPr>
      </w:pPr>
    </w:p>
    <w:p w:rsidR="00F210EC" w:rsidRPr="00F210EC" w:rsidRDefault="00F210EC" w:rsidP="00F210EC">
      <w:pPr>
        <w:ind w:firstLineChars="200" w:firstLine="420"/>
        <w:rPr>
          <w:rFonts w:ascii="宋体" w:eastAsia="宋体" w:hAnsi="宋体" w:cs="宋体"/>
          <w:bCs/>
          <w:color w:val="000000"/>
          <w:szCs w:val="21"/>
        </w:rPr>
      </w:pPr>
      <w:r w:rsidRPr="00F210EC">
        <w:rPr>
          <w:rFonts w:ascii="宋体" w:eastAsia="宋体" w:hAnsi="宋体" w:cs="宋体"/>
          <w:bCs/>
          <w:color w:val="000000"/>
          <w:szCs w:val="21"/>
        </w:rPr>
        <w:t>最高院公报案例是我国创设且特有的一项司法制度，</w:t>
      </w:r>
      <w:r w:rsidR="005B6178" w:rsidRPr="00567932">
        <w:rPr>
          <w:rFonts w:ascii="宋体" w:hAnsi="宋体" w:cs="宋体" w:hint="eastAsia"/>
          <w:color w:val="000000"/>
          <w:szCs w:val="21"/>
          <w:vertAlign w:val="superscript"/>
        </w:rPr>
        <w:t>[</w:t>
      </w:r>
      <w:r w:rsidR="005B6178" w:rsidRPr="00567932">
        <w:rPr>
          <w:rFonts w:ascii="宋体" w:hAnsi="宋体" w:cs="宋体"/>
          <w:color w:val="000000"/>
          <w:szCs w:val="21"/>
          <w:vertAlign w:val="superscript"/>
        </w:rPr>
        <w:t>1]</w:t>
      </w:r>
      <w:r w:rsidR="00736D14">
        <w:rPr>
          <w:rFonts w:ascii="宋体" w:hAnsi="宋体" w:cs="宋体" w:hint="eastAsia"/>
          <w:color w:val="000000"/>
          <w:szCs w:val="21"/>
          <w:vertAlign w:val="superscript"/>
        </w:rPr>
        <w:t>17—18</w:t>
      </w:r>
      <w:r w:rsidRPr="00F210EC">
        <w:rPr>
          <w:rFonts w:ascii="宋体" w:eastAsia="宋体" w:hAnsi="宋体" w:cs="宋体"/>
          <w:bCs/>
          <w:color w:val="000000"/>
          <w:szCs w:val="21"/>
        </w:rPr>
        <w:t>《最高人民法院公报》于1985年创刊</w:t>
      </w:r>
      <w:r w:rsidRPr="00F210EC">
        <w:rPr>
          <w:rFonts w:ascii="宋体" w:eastAsia="宋体" w:hAnsi="宋体" w:cs="宋体" w:hint="eastAsia"/>
          <w:bCs/>
          <w:color w:val="000000"/>
          <w:szCs w:val="21"/>
        </w:rPr>
        <w:t>，</w:t>
      </w:r>
      <w:r w:rsidRPr="00F210EC">
        <w:rPr>
          <w:rFonts w:ascii="宋体" w:eastAsia="宋体" w:hAnsi="宋体" w:cs="宋体"/>
          <w:bCs/>
          <w:color w:val="000000"/>
          <w:szCs w:val="21"/>
        </w:rPr>
        <w:t>由最高人民法院办公厅出版，是最高人民法院向国内外公布司法解释、文件以及各类案例的权威刊物。</w:t>
      </w:r>
      <w:r w:rsidRPr="00F210EC">
        <w:rPr>
          <w:rFonts w:ascii="宋体" w:eastAsia="宋体" w:hAnsi="宋体" w:cs="宋体" w:hint="eastAsia"/>
          <w:bCs/>
          <w:color w:val="000000"/>
          <w:szCs w:val="21"/>
        </w:rPr>
        <w:t>自《最高人民法院公报》创刊后，最高人民法院会定期在刊物上刊登一些具有典型性、公正性、指导性的案例，案例刊登后，各级法院及法官都会订阅，难免会对其审判思维与行为方式产生一定的渲染作用。那么在审判实务中，法官参照最高院公报案例判案的适用情况究竟如何？本文采用案例检索以及</w:t>
      </w:r>
      <w:proofErr w:type="gramStart"/>
      <w:r w:rsidRPr="00F210EC">
        <w:rPr>
          <w:rFonts w:ascii="宋体" w:eastAsia="宋体" w:hAnsi="宋体" w:cs="宋体" w:hint="eastAsia"/>
          <w:bCs/>
          <w:color w:val="000000"/>
          <w:szCs w:val="21"/>
        </w:rPr>
        <w:t>司法大</w:t>
      </w:r>
      <w:proofErr w:type="gramEnd"/>
      <w:r w:rsidRPr="00F210EC">
        <w:rPr>
          <w:rFonts w:ascii="宋体" w:eastAsia="宋体" w:hAnsi="宋体" w:cs="宋体" w:hint="eastAsia"/>
          <w:bCs/>
          <w:color w:val="000000"/>
          <w:szCs w:val="21"/>
        </w:rPr>
        <w:t>数据分析的研究方法，对各法院法官是否参照适用最高院公报案例以及如何适用进行实证研究，在分析现状及原因的基础上，对相关问题进行探析，以完善法院对最高院公报案例适用制度。</w:t>
      </w:r>
    </w:p>
    <w:p w:rsidR="00053006" w:rsidRDefault="00053006" w:rsidP="00116428">
      <w:pPr>
        <w:widowControl/>
        <w:ind w:firstLineChars="200" w:firstLine="482"/>
        <w:rPr>
          <w:rFonts w:ascii="宋体" w:hAnsi="宋体" w:cs="宋体"/>
          <w:b/>
          <w:color w:val="000000"/>
          <w:sz w:val="24"/>
        </w:rPr>
      </w:pPr>
      <w:r>
        <w:rPr>
          <w:rFonts w:ascii="宋体" w:hAnsi="宋体" w:cs="宋体" w:hint="eastAsia"/>
          <w:b/>
          <w:color w:val="000000"/>
          <w:sz w:val="24"/>
        </w:rPr>
        <w:t>一、案例检索的基本情况</w:t>
      </w:r>
    </w:p>
    <w:p w:rsidR="00053006" w:rsidRDefault="008931C1" w:rsidP="00053006">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最高院公报案例的效力究竟如何？</w:t>
      </w:r>
      <w:r w:rsidR="00053006">
        <w:rPr>
          <w:rFonts w:ascii="宋体" w:eastAsia="宋体" w:hAnsi="宋体" w:cs="宋体" w:hint="eastAsia"/>
          <w:bCs/>
          <w:color w:val="000000"/>
          <w:szCs w:val="21"/>
        </w:rPr>
        <w:t>各级法院的法官在审判时是否必须</w:t>
      </w:r>
      <w:proofErr w:type="gramStart"/>
      <w:r w:rsidR="00053006">
        <w:rPr>
          <w:rFonts w:ascii="宋体" w:eastAsia="宋体" w:hAnsi="宋体" w:cs="宋体" w:hint="eastAsia"/>
          <w:bCs/>
          <w:color w:val="000000"/>
          <w:szCs w:val="21"/>
        </w:rPr>
        <w:t>作出</w:t>
      </w:r>
      <w:proofErr w:type="gramEnd"/>
      <w:r w:rsidR="00053006">
        <w:rPr>
          <w:rFonts w:ascii="宋体" w:eastAsia="宋体" w:hAnsi="宋体" w:cs="宋体" w:hint="eastAsia"/>
          <w:bCs/>
          <w:color w:val="000000"/>
          <w:szCs w:val="21"/>
        </w:rPr>
        <w:t>类似或者相一致的判决？即使参照，</w:t>
      </w:r>
      <w:r w:rsidR="00501309">
        <w:rPr>
          <w:rFonts w:ascii="宋体" w:eastAsia="宋体" w:hAnsi="宋体" w:cs="宋体" w:hint="eastAsia"/>
          <w:bCs/>
          <w:color w:val="000000"/>
          <w:szCs w:val="21"/>
        </w:rPr>
        <w:t>参照的</w:t>
      </w:r>
      <w:r w:rsidR="005E0695">
        <w:rPr>
          <w:rFonts w:ascii="宋体" w:eastAsia="宋体" w:hAnsi="宋体" w:cs="宋体" w:hint="eastAsia"/>
          <w:bCs/>
          <w:color w:val="000000"/>
          <w:szCs w:val="21"/>
        </w:rPr>
        <w:t>条件</w:t>
      </w:r>
      <w:r w:rsidR="00501309">
        <w:rPr>
          <w:rFonts w:ascii="宋体" w:eastAsia="宋体" w:hAnsi="宋体" w:cs="宋体" w:hint="eastAsia"/>
          <w:bCs/>
          <w:color w:val="000000"/>
          <w:szCs w:val="21"/>
        </w:rPr>
        <w:t>如何</w:t>
      </w:r>
      <w:r w:rsidR="00053006">
        <w:rPr>
          <w:rFonts w:ascii="宋体" w:eastAsia="宋体" w:hAnsi="宋体" w:cs="宋体" w:hint="eastAsia"/>
          <w:bCs/>
          <w:color w:val="000000"/>
          <w:szCs w:val="21"/>
        </w:rPr>
        <w:t>？这些问题在实务中都没有统一的规范，导致审判结果千差万别。笔者通过“威科先行法律信息库”，以“最高院 公报案例”为关键词进行高级搜索，搜集到二百四十份案例，</w:t>
      </w:r>
      <w:r w:rsidR="00501309">
        <w:rPr>
          <w:rFonts w:ascii="宋体" w:eastAsia="宋体" w:hAnsi="宋体" w:cs="宋体" w:hint="eastAsia"/>
          <w:bCs/>
          <w:color w:val="000000"/>
          <w:szCs w:val="21"/>
        </w:rPr>
        <w:t>由于该二百四十份案例中有很大数量的批量案件，因此避免影响数据的</w:t>
      </w:r>
      <w:r w:rsidR="001D2366">
        <w:rPr>
          <w:rFonts w:ascii="宋体" w:eastAsia="宋体" w:hAnsi="宋体" w:cs="宋体" w:hint="eastAsia"/>
          <w:bCs/>
          <w:color w:val="000000"/>
          <w:szCs w:val="21"/>
        </w:rPr>
        <w:t>客观性和</w:t>
      </w:r>
      <w:r w:rsidR="00501309">
        <w:rPr>
          <w:rFonts w:ascii="宋体" w:eastAsia="宋体" w:hAnsi="宋体" w:cs="宋体" w:hint="eastAsia"/>
          <w:bCs/>
          <w:color w:val="000000"/>
          <w:szCs w:val="21"/>
        </w:rPr>
        <w:t>真实性，</w:t>
      </w:r>
      <w:r w:rsidR="00E01FB8">
        <w:rPr>
          <w:rFonts w:ascii="宋体" w:eastAsia="宋体" w:hAnsi="宋体" w:cs="宋体" w:hint="eastAsia"/>
          <w:bCs/>
          <w:color w:val="000000"/>
          <w:szCs w:val="21"/>
        </w:rPr>
        <w:t>根据数据系统编排案例的时间顺序，</w:t>
      </w:r>
      <w:r w:rsidR="00162809">
        <w:rPr>
          <w:rFonts w:ascii="宋体" w:eastAsia="宋体" w:hAnsi="宋体" w:cs="宋体" w:hint="eastAsia"/>
          <w:bCs/>
          <w:color w:val="000000"/>
          <w:szCs w:val="21"/>
        </w:rPr>
        <w:t>笔者</w:t>
      </w:r>
      <w:r w:rsidR="00F9231C">
        <w:rPr>
          <w:rFonts w:ascii="宋体" w:eastAsia="宋体" w:hAnsi="宋体" w:cs="宋体" w:hint="eastAsia"/>
          <w:bCs/>
          <w:color w:val="000000"/>
          <w:szCs w:val="21"/>
        </w:rPr>
        <w:t>筛</w:t>
      </w:r>
      <w:r w:rsidR="00501309">
        <w:rPr>
          <w:rFonts w:ascii="宋体" w:eastAsia="宋体" w:hAnsi="宋体" w:cs="宋体" w:hint="eastAsia"/>
          <w:bCs/>
          <w:color w:val="000000"/>
          <w:szCs w:val="21"/>
        </w:rPr>
        <w:t>选其中</w:t>
      </w:r>
      <w:r w:rsidR="00E01FB8">
        <w:rPr>
          <w:rFonts w:ascii="宋体" w:eastAsia="宋体" w:hAnsi="宋体" w:cs="宋体" w:hint="eastAsia"/>
          <w:bCs/>
          <w:color w:val="000000"/>
          <w:szCs w:val="21"/>
        </w:rPr>
        <w:t>最新</w:t>
      </w:r>
      <w:r w:rsidR="00501309">
        <w:rPr>
          <w:rFonts w:ascii="宋体" w:eastAsia="宋体" w:hAnsi="宋体" w:cs="宋体" w:hint="eastAsia"/>
          <w:bCs/>
          <w:color w:val="000000"/>
          <w:szCs w:val="21"/>
        </w:rPr>
        <w:t>的一百份</w:t>
      </w:r>
      <w:r w:rsidR="00E01FB8">
        <w:rPr>
          <w:rFonts w:ascii="宋体" w:eastAsia="宋体" w:hAnsi="宋体" w:cs="宋体" w:hint="eastAsia"/>
          <w:bCs/>
          <w:color w:val="000000"/>
          <w:szCs w:val="21"/>
        </w:rPr>
        <w:t>案例</w:t>
      </w:r>
      <w:r w:rsidR="00501309">
        <w:rPr>
          <w:rFonts w:ascii="宋体" w:eastAsia="宋体" w:hAnsi="宋体" w:cs="宋体" w:hint="eastAsia"/>
          <w:bCs/>
          <w:color w:val="000000"/>
          <w:szCs w:val="21"/>
        </w:rPr>
        <w:t>作为案例分析数据库，</w:t>
      </w:r>
      <w:r w:rsidR="00E01FB8">
        <w:rPr>
          <w:rFonts w:ascii="宋体" w:eastAsia="宋体" w:hAnsi="宋体" w:cs="宋体" w:hint="eastAsia"/>
          <w:bCs/>
          <w:color w:val="000000"/>
          <w:szCs w:val="21"/>
        </w:rPr>
        <w:t>并通过逐一统计</w:t>
      </w:r>
      <w:r w:rsidR="00053006">
        <w:rPr>
          <w:rFonts w:ascii="宋体" w:eastAsia="宋体" w:hAnsi="宋体" w:cs="宋体" w:hint="eastAsia"/>
          <w:bCs/>
          <w:color w:val="000000"/>
          <w:szCs w:val="21"/>
        </w:rPr>
        <w:t>分析，得出以下数据：</w:t>
      </w:r>
    </w:p>
    <w:tbl>
      <w:tblPr>
        <w:tblStyle w:val="a5"/>
        <w:tblW w:w="0" w:type="auto"/>
        <w:tblLook w:val="04A0" w:firstRow="1" w:lastRow="0" w:firstColumn="1" w:lastColumn="0" w:noHBand="0" w:noVBand="1"/>
      </w:tblPr>
      <w:tblGrid>
        <w:gridCol w:w="1382"/>
        <w:gridCol w:w="1428"/>
        <w:gridCol w:w="1428"/>
        <w:gridCol w:w="1428"/>
        <w:gridCol w:w="1428"/>
        <w:gridCol w:w="1428"/>
      </w:tblGrid>
      <w:tr w:rsidR="00EB70F3" w:rsidTr="00223051">
        <w:tc>
          <w:tcPr>
            <w:tcW w:w="1382" w:type="dxa"/>
          </w:tcPr>
          <w:p w:rsidR="00EB70F3" w:rsidRDefault="00EB70F3" w:rsidP="00223051">
            <w:pPr>
              <w:spacing w:line="360" w:lineRule="auto"/>
              <w:jc w:val="center"/>
              <w:rPr>
                <w:position w:val="-6"/>
              </w:rPr>
            </w:pPr>
          </w:p>
          <w:p w:rsidR="00EB70F3" w:rsidRPr="006435BE" w:rsidRDefault="00501309" w:rsidP="00223051">
            <w:pPr>
              <w:spacing w:line="360" w:lineRule="auto"/>
              <w:jc w:val="center"/>
              <w:rPr>
                <w:position w:val="-6"/>
              </w:rPr>
            </w:pPr>
            <w:r>
              <w:rPr>
                <w:rFonts w:hint="eastAsia"/>
                <w:position w:val="-6"/>
              </w:rPr>
              <w:t>法官</w:t>
            </w:r>
            <w:r w:rsidR="00EB70F3" w:rsidRPr="006435BE">
              <w:rPr>
                <w:rFonts w:hint="eastAsia"/>
                <w:position w:val="-6"/>
              </w:rPr>
              <w:t>适用情况</w:t>
            </w:r>
          </w:p>
        </w:tc>
        <w:tc>
          <w:tcPr>
            <w:tcW w:w="1428" w:type="dxa"/>
            <w:vAlign w:val="center"/>
          </w:tcPr>
          <w:p w:rsidR="00EB70F3" w:rsidRDefault="00501309" w:rsidP="00223051">
            <w:pPr>
              <w:spacing w:line="360" w:lineRule="auto"/>
              <w:jc w:val="center"/>
            </w:pPr>
            <w:r>
              <w:rPr>
                <w:rFonts w:hint="eastAsia"/>
              </w:rPr>
              <w:t>直接</w:t>
            </w:r>
            <w:r w:rsidR="00EB70F3">
              <w:rPr>
                <w:rFonts w:hint="eastAsia"/>
              </w:rPr>
              <w:t>肯定</w:t>
            </w:r>
            <w:r>
              <w:rPr>
                <w:rFonts w:hint="eastAsia"/>
              </w:rPr>
              <w:t>参照</w:t>
            </w:r>
          </w:p>
        </w:tc>
        <w:tc>
          <w:tcPr>
            <w:tcW w:w="1428" w:type="dxa"/>
            <w:vAlign w:val="center"/>
          </w:tcPr>
          <w:p w:rsidR="00EB70F3" w:rsidRDefault="00501309" w:rsidP="00223051">
            <w:pPr>
              <w:spacing w:line="360" w:lineRule="auto"/>
              <w:jc w:val="center"/>
            </w:pPr>
            <w:r>
              <w:rPr>
                <w:rFonts w:hint="eastAsia"/>
              </w:rPr>
              <w:t>直接否定</w:t>
            </w:r>
            <w:r w:rsidR="00EB70F3">
              <w:rPr>
                <w:rFonts w:hint="eastAsia"/>
              </w:rPr>
              <w:t>参照</w:t>
            </w:r>
          </w:p>
        </w:tc>
        <w:tc>
          <w:tcPr>
            <w:tcW w:w="1428" w:type="dxa"/>
            <w:vAlign w:val="center"/>
          </w:tcPr>
          <w:p w:rsidR="00EB70F3" w:rsidRDefault="00501309" w:rsidP="00223051">
            <w:pPr>
              <w:spacing w:line="360" w:lineRule="auto"/>
              <w:jc w:val="center"/>
            </w:pPr>
            <w:r>
              <w:rPr>
                <w:rFonts w:hint="eastAsia"/>
              </w:rPr>
              <w:t>间接肯定</w:t>
            </w:r>
            <w:r w:rsidR="00792A4B">
              <w:rPr>
                <w:rFonts w:hint="eastAsia"/>
              </w:rPr>
              <w:t>参照</w:t>
            </w:r>
          </w:p>
        </w:tc>
        <w:tc>
          <w:tcPr>
            <w:tcW w:w="1428" w:type="dxa"/>
            <w:vAlign w:val="center"/>
          </w:tcPr>
          <w:p w:rsidR="00EB70F3" w:rsidRDefault="00501309" w:rsidP="00223051">
            <w:pPr>
              <w:spacing w:line="360" w:lineRule="auto"/>
              <w:jc w:val="center"/>
            </w:pPr>
            <w:r>
              <w:rPr>
                <w:rFonts w:hint="eastAsia"/>
              </w:rPr>
              <w:t>间接</w:t>
            </w:r>
            <w:r w:rsidR="00EB70F3">
              <w:rPr>
                <w:rFonts w:hint="eastAsia"/>
              </w:rPr>
              <w:t>否定</w:t>
            </w:r>
            <w:r>
              <w:rPr>
                <w:rFonts w:hint="eastAsia"/>
              </w:rPr>
              <w:t>参照</w:t>
            </w:r>
          </w:p>
        </w:tc>
        <w:tc>
          <w:tcPr>
            <w:tcW w:w="1428" w:type="dxa"/>
            <w:vAlign w:val="center"/>
          </w:tcPr>
          <w:p w:rsidR="00EB70F3" w:rsidRDefault="00EB70F3" w:rsidP="00223051">
            <w:pPr>
              <w:spacing w:line="360" w:lineRule="auto"/>
              <w:jc w:val="center"/>
            </w:pPr>
            <w:r>
              <w:rPr>
                <w:rFonts w:hint="eastAsia"/>
              </w:rPr>
              <w:t>未参照由于不是类似案例</w:t>
            </w:r>
          </w:p>
        </w:tc>
      </w:tr>
      <w:tr w:rsidR="00EB70F3" w:rsidTr="00223051">
        <w:tc>
          <w:tcPr>
            <w:tcW w:w="1382" w:type="dxa"/>
          </w:tcPr>
          <w:p w:rsidR="00EB70F3" w:rsidRDefault="00EB70F3" w:rsidP="00223051">
            <w:pPr>
              <w:spacing w:line="360" w:lineRule="auto"/>
              <w:jc w:val="center"/>
            </w:pPr>
            <w:r>
              <w:rPr>
                <w:rFonts w:hint="eastAsia"/>
              </w:rPr>
              <w:t>案例数量</w:t>
            </w:r>
          </w:p>
        </w:tc>
        <w:tc>
          <w:tcPr>
            <w:tcW w:w="1428" w:type="dxa"/>
          </w:tcPr>
          <w:p w:rsidR="00EB70F3" w:rsidRDefault="0089500C" w:rsidP="00223051">
            <w:pPr>
              <w:spacing w:line="360" w:lineRule="auto"/>
              <w:jc w:val="center"/>
            </w:pPr>
            <w:r>
              <w:rPr>
                <w:rFonts w:hint="eastAsia"/>
              </w:rPr>
              <w:t>48</w:t>
            </w:r>
          </w:p>
        </w:tc>
        <w:tc>
          <w:tcPr>
            <w:tcW w:w="1428" w:type="dxa"/>
          </w:tcPr>
          <w:p w:rsidR="00EB70F3" w:rsidRDefault="0089500C" w:rsidP="00223051">
            <w:pPr>
              <w:spacing w:line="360" w:lineRule="auto"/>
              <w:jc w:val="center"/>
            </w:pPr>
            <w:r>
              <w:rPr>
                <w:rFonts w:hint="eastAsia"/>
              </w:rPr>
              <w:t>18</w:t>
            </w:r>
          </w:p>
        </w:tc>
        <w:tc>
          <w:tcPr>
            <w:tcW w:w="1428" w:type="dxa"/>
          </w:tcPr>
          <w:p w:rsidR="00EB70F3" w:rsidRDefault="0089500C" w:rsidP="00223051">
            <w:pPr>
              <w:spacing w:line="360" w:lineRule="auto"/>
              <w:jc w:val="center"/>
            </w:pPr>
            <w:r>
              <w:rPr>
                <w:rFonts w:hint="eastAsia"/>
              </w:rPr>
              <w:t>16</w:t>
            </w:r>
          </w:p>
        </w:tc>
        <w:tc>
          <w:tcPr>
            <w:tcW w:w="1428" w:type="dxa"/>
          </w:tcPr>
          <w:p w:rsidR="00EB70F3" w:rsidRDefault="0089500C" w:rsidP="00223051">
            <w:pPr>
              <w:spacing w:line="360" w:lineRule="auto"/>
              <w:jc w:val="center"/>
            </w:pPr>
            <w:r>
              <w:rPr>
                <w:rFonts w:hint="eastAsia"/>
              </w:rPr>
              <w:t>5</w:t>
            </w:r>
          </w:p>
        </w:tc>
        <w:tc>
          <w:tcPr>
            <w:tcW w:w="1428" w:type="dxa"/>
          </w:tcPr>
          <w:p w:rsidR="00EB70F3" w:rsidRDefault="0089500C" w:rsidP="00223051">
            <w:pPr>
              <w:spacing w:line="360" w:lineRule="auto"/>
              <w:jc w:val="center"/>
            </w:pPr>
            <w:r>
              <w:rPr>
                <w:rFonts w:hint="eastAsia"/>
              </w:rPr>
              <w:t>13</w:t>
            </w:r>
          </w:p>
        </w:tc>
      </w:tr>
    </w:tbl>
    <w:p w:rsidR="00854F96" w:rsidRDefault="002F30A7" w:rsidP="00162809">
      <w:pPr>
        <w:ind w:firstLineChars="200" w:firstLine="420"/>
        <w:rPr>
          <w:rFonts w:ascii="宋体" w:eastAsia="宋体" w:hAnsi="宋体" w:cs="宋体"/>
          <w:bCs/>
          <w:color w:val="FF0000"/>
          <w:szCs w:val="21"/>
        </w:rPr>
      </w:pPr>
      <w:r>
        <w:rPr>
          <w:rFonts w:ascii="宋体" w:eastAsia="宋体" w:hAnsi="宋体" w:cs="宋体" w:hint="eastAsia"/>
          <w:bCs/>
          <w:color w:val="000000"/>
          <w:szCs w:val="21"/>
        </w:rPr>
        <w:t>从上述表格我们可以发现一共有五</w:t>
      </w:r>
      <w:r w:rsidR="00F9231C">
        <w:rPr>
          <w:rFonts w:ascii="宋体" w:eastAsia="宋体" w:hAnsi="宋体" w:cs="宋体" w:hint="eastAsia"/>
          <w:bCs/>
          <w:color w:val="000000"/>
          <w:szCs w:val="21"/>
        </w:rPr>
        <w:t>种不同程度的适用结果：</w:t>
      </w:r>
    </w:p>
    <w:p w:rsidR="00F9231C" w:rsidRDefault="00854F96" w:rsidP="00162809">
      <w:pPr>
        <w:ind w:firstLineChars="100" w:firstLine="210"/>
        <w:rPr>
          <w:rFonts w:ascii="宋体" w:eastAsia="宋体" w:hAnsi="宋体" w:cs="宋体"/>
          <w:bCs/>
          <w:color w:val="000000"/>
          <w:szCs w:val="21"/>
        </w:rPr>
      </w:pPr>
      <w:r>
        <w:rPr>
          <w:rFonts w:ascii="宋体" w:eastAsia="宋体" w:hAnsi="宋体" w:cs="宋体" w:hint="eastAsia"/>
          <w:bCs/>
          <w:color w:val="000000"/>
          <w:szCs w:val="21"/>
        </w:rPr>
        <w:t xml:space="preserve"> </w:t>
      </w:r>
      <w:r w:rsidR="00A84AE4">
        <w:rPr>
          <w:rFonts w:ascii="宋体" w:eastAsia="宋体" w:hAnsi="宋体" w:cs="宋体" w:hint="eastAsia"/>
          <w:bCs/>
          <w:color w:val="000000"/>
          <w:szCs w:val="21"/>
        </w:rPr>
        <w:t xml:space="preserve">  </w:t>
      </w:r>
      <w:r w:rsidR="00F9231C">
        <w:rPr>
          <w:rFonts w:ascii="宋体" w:eastAsia="宋体" w:hAnsi="宋体" w:cs="宋体" w:hint="eastAsia"/>
          <w:bCs/>
          <w:color w:val="000000"/>
          <w:szCs w:val="21"/>
        </w:rPr>
        <w:t>(1)直接肯定参照：该种情况下法院在审判时直接</w:t>
      </w:r>
      <w:r>
        <w:rPr>
          <w:rFonts w:ascii="宋体" w:eastAsia="宋体" w:hAnsi="宋体" w:cs="宋体" w:hint="eastAsia"/>
          <w:bCs/>
          <w:color w:val="000000"/>
          <w:szCs w:val="21"/>
        </w:rPr>
        <w:t>参照最高院公报案例，并以最高院公报案例作为判决依据。</w:t>
      </w:r>
      <w:r w:rsidR="009C3DAB">
        <w:rPr>
          <w:rFonts w:ascii="宋体" w:eastAsia="宋体" w:hAnsi="宋体" w:cs="宋体" w:hint="eastAsia"/>
          <w:bCs/>
          <w:color w:val="000000"/>
          <w:szCs w:val="21"/>
        </w:rPr>
        <w:t>如</w:t>
      </w:r>
      <w:r w:rsidR="00F9231C">
        <w:rPr>
          <w:rFonts w:ascii="宋体" w:eastAsia="宋体" w:hAnsi="宋体" w:cs="宋体" w:hint="eastAsia"/>
          <w:bCs/>
          <w:color w:val="000000"/>
          <w:szCs w:val="21"/>
        </w:rPr>
        <w:t>：“</w:t>
      </w:r>
      <w:r w:rsidR="001A3A20" w:rsidRPr="001A3A20">
        <w:rPr>
          <w:rFonts w:ascii="宋体" w:eastAsia="宋体" w:hAnsi="宋体" w:cs="宋体" w:hint="eastAsia"/>
          <w:bCs/>
          <w:color w:val="000000"/>
          <w:szCs w:val="21"/>
        </w:rPr>
        <w:t>根据(2016)最高法民终484号公报指导案例认定的裁判意见</w:t>
      </w:r>
      <w:r w:rsidR="001A3A20">
        <w:rPr>
          <w:rFonts w:ascii="宋体" w:eastAsia="宋体" w:hAnsi="宋体" w:cs="宋体" w:hint="eastAsia"/>
          <w:bCs/>
          <w:color w:val="000000"/>
          <w:szCs w:val="21"/>
        </w:rPr>
        <w:t>”</w:t>
      </w:r>
      <w:r w:rsidR="00EC18B8" w:rsidRPr="00EC18B8">
        <w:rPr>
          <w:rFonts w:ascii="宋体" w:eastAsia="宋体" w:hAnsi="宋体" w:cs="宋体" w:hint="eastAsia"/>
          <w:bCs/>
          <w:color w:val="000000"/>
          <w:szCs w:val="21"/>
          <w:vertAlign w:val="superscript"/>
        </w:rPr>
        <w:sym w:font="Wingdings" w:char="F081"/>
      </w:r>
      <w:r w:rsidR="00EC18B8">
        <w:rPr>
          <w:rFonts w:ascii="宋体" w:eastAsia="宋体" w:hAnsi="宋体" w:cs="宋体" w:hint="eastAsia"/>
          <w:bCs/>
          <w:color w:val="000000"/>
          <w:szCs w:val="21"/>
        </w:rPr>
        <w:t xml:space="preserve">、 </w:t>
      </w:r>
      <w:r w:rsidR="00F9231C">
        <w:rPr>
          <w:rFonts w:ascii="宋体" w:eastAsia="宋体" w:hAnsi="宋体" w:cs="宋体" w:hint="eastAsia"/>
          <w:bCs/>
          <w:color w:val="000000"/>
          <w:szCs w:val="21"/>
        </w:rPr>
        <w:lastRenderedPageBreak/>
        <w:t>“</w:t>
      </w:r>
      <w:r w:rsidR="001A3A20" w:rsidRPr="001A3A20">
        <w:rPr>
          <w:rFonts w:ascii="宋体" w:eastAsia="宋体" w:hAnsi="宋体" w:cs="宋体" w:hint="eastAsia"/>
          <w:bCs/>
          <w:color w:val="000000"/>
          <w:szCs w:val="21"/>
        </w:rPr>
        <w:t>最高人民法院曾在2017</w:t>
      </w:r>
      <w:r w:rsidR="001A3A20">
        <w:rPr>
          <w:rFonts w:ascii="宋体" w:eastAsia="宋体" w:hAnsi="宋体" w:cs="宋体" w:hint="eastAsia"/>
          <w:bCs/>
          <w:color w:val="000000"/>
          <w:szCs w:val="21"/>
        </w:rPr>
        <w:t>年公报案例中表明”</w:t>
      </w:r>
      <w:r w:rsidR="00F9231C">
        <w:rPr>
          <w:rFonts w:ascii="宋体" w:eastAsia="宋体" w:hAnsi="宋体" w:cs="宋体" w:hint="eastAsia"/>
          <w:bCs/>
          <w:color w:val="000000"/>
          <w:szCs w:val="21"/>
        </w:rPr>
        <w:t>。</w:t>
      </w:r>
    </w:p>
    <w:p w:rsidR="00F9231C" w:rsidRDefault="00F9231C" w:rsidP="00162809">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（2）直接否定参照：该种情况下法院</w:t>
      </w:r>
      <w:r w:rsidR="00854F96">
        <w:rPr>
          <w:rFonts w:ascii="宋体" w:eastAsia="宋体" w:hAnsi="宋体" w:cs="宋体" w:hint="eastAsia"/>
          <w:bCs/>
          <w:color w:val="000000"/>
          <w:szCs w:val="21"/>
        </w:rPr>
        <w:t>不予参照最高院公报案例，直接否定最高院公报案例的指导性作用。</w:t>
      </w:r>
      <w:r w:rsidR="009C3DAB">
        <w:rPr>
          <w:rFonts w:ascii="宋体" w:eastAsia="宋体" w:hAnsi="宋体" w:cs="宋体" w:hint="eastAsia"/>
          <w:bCs/>
          <w:color w:val="000000"/>
          <w:szCs w:val="21"/>
        </w:rPr>
        <w:t>如</w:t>
      </w:r>
      <w:r w:rsidR="00854F96" w:rsidRPr="00854F96">
        <w:rPr>
          <w:rFonts w:ascii="宋体" w:eastAsia="宋体" w:hAnsi="宋体" w:cs="宋体" w:hint="eastAsia"/>
          <w:bCs/>
          <w:color w:val="000000" w:themeColor="text1"/>
          <w:szCs w:val="21"/>
        </w:rPr>
        <w:t>“深业公司所称的最高人民法院公报案例显然非最高人民法院公布的指导性案例，其上诉称一审判决与最高人民法院的指导性案例相悖，缺乏事实根据，对该上诉意见本院不予采纳</w:t>
      </w:r>
      <w:r w:rsidR="00884F0B">
        <w:rPr>
          <w:rFonts w:ascii="宋体" w:eastAsia="宋体" w:hAnsi="宋体" w:cs="宋体" w:hint="eastAsia"/>
          <w:bCs/>
          <w:color w:val="000000"/>
          <w:szCs w:val="21"/>
        </w:rPr>
        <w:t>”</w:t>
      </w:r>
      <w:r w:rsidR="00EC18B8" w:rsidRPr="00EC18B8">
        <w:rPr>
          <w:rFonts w:ascii="宋体" w:eastAsia="宋体" w:hAnsi="宋体" w:cs="宋体" w:hint="eastAsia"/>
          <w:bCs/>
          <w:color w:val="000000"/>
          <w:szCs w:val="21"/>
          <w:vertAlign w:val="superscript"/>
        </w:rPr>
        <w:sym w:font="Wingdings" w:char="F083"/>
      </w:r>
      <w:r w:rsidR="00884F0B">
        <w:rPr>
          <w:rFonts w:ascii="宋体" w:eastAsia="宋体" w:hAnsi="宋体" w:cs="宋体" w:hint="eastAsia"/>
          <w:bCs/>
          <w:color w:val="000000"/>
          <w:szCs w:val="21"/>
        </w:rPr>
        <w:t>、</w:t>
      </w:r>
      <w:r w:rsidR="00390F3F">
        <w:rPr>
          <w:rFonts w:ascii="宋体" w:eastAsia="宋体" w:hAnsi="宋体" w:cs="宋体" w:hint="eastAsia"/>
          <w:bCs/>
          <w:color w:val="000000"/>
          <w:szCs w:val="21"/>
        </w:rPr>
        <w:t xml:space="preserve"> </w:t>
      </w:r>
      <w:r w:rsidR="00884F0B">
        <w:rPr>
          <w:rFonts w:ascii="宋体" w:eastAsia="宋体" w:hAnsi="宋体" w:cs="宋体" w:hint="eastAsia"/>
          <w:bCs/>
          <w:color w:val="000000"/>
          <w:szCs w:val="21"/>
        </w:rPr>
        <w:t>“我国属于大陆法系，判例不能作为民事裁判的依据”</w:t>
      </w:r>
      <w:r w:rsidR="00EC18B8" w:rsidRPr="00EC18B8">
        <w:rPr>
          <w:rFonts w:ascii="宋体" w:eastAsia="宋体" w:hAnsi="宋体" w:cs="宋体" w:hint="eastAsia"/>
          <w:bCs/>
          <w:color w:val="000000"/>
          <w:szCs w:val="21"/>
          <w:vertAlign w:val="superscript"/>
        </w:rPr>
        <w:sym w:font="Wingdings" w:char="F084"/>
      </w:r>
      <w:r w:rsidR="00884F0B">
        <w:rPr>
          <w:rFonts w:ascii="宋体" w:eastAsia="宋体" w:hAnsi="宋体" w:cs="宋体" w:hint="eastAsia"/>
          <w:bCs/>
          <w:color w:val="000000"/>
          <w:szCs w:val="21"/>
        </w:rPr>
        <w:t>。</w:t>
      </w:r>
    </w:p>
    <w:p w:rsidR="00D34AEC" w:rsidRDefault="00D34AEC" w:rsidP="00162809">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（3</w:t>
      </w:r>
      <w:r w:rsidR="00854F96">
        <w:rPr>
          <w:rFonts w:ascii="宋体" w:eastAsia="宋体" w:hAnsi="宋体" w:cs="宋体" w:hint="eastAsia"/>
          <w:bCs/>
          <w:color w:val="000000"/>
          <w:szCs w:val="21"/>
        </w:rPr>
        <w:t>）间接肯定参照：即法院在适用时未直接适用最高院公报案例</w:t>
      </w:r>
      <w:r>
        <w:rPr>
          <w:rFonts w:ascii="宋体" w:eastAsia="宋体" w:hAnsi="宋体" w:cs="宋体" w:hint="eastAsia"/>
          <w:bCs/>
          <w:color w:val="000000"/>
          <w:szCs w:val="21"/>
        </w:rPr>
        <w:t>，也未将其作为</w:t>
      </w:r>
      <w:r w:rsidR="009C3DAB">
        <w:rPr>
          <w:rFonts w:ascii="宋体" w:eastAsia="宋体" w:hAnsi="宋体" w:cs="宋体" w:hint="eastAsia"/>
          <w:bCs/>
          <w:color w:val="000000"/>
          <w:szCs w:val="21"/>
        </w:rPr>
        <w:t>判决依据，</w:t>
      </w:r>
      <w:r w:rsidR="00854F96">
        <w:rPr>
          <w:rFonts w:ascii="宋体" w:eastAsia="宋体" w:hAnsi="宋体" w:cs="宋体" w:hint="eastAsia"/>
          <w:bCs/>
          <w:color w:val="000000"/>
          <w:szCs w:val="21"/>
        </w:rPr>
        <w:t>而是</w:t>
      </w:r>
      <w:r w:rsidR="009C3DAB">
        <w:rPr>
          <w:rFonts w:ascii="宋体" w:eastAsia="宋体" w:hAnsi="宋体" w:cs="宋体" w:hint="eastAsia"/>
          <w:bCs/>
          <w:color w:val="000000"/>
          <w:szCs w:val="21"/>
        </w:rPr>
        <w:t>作为</w:t>
      </w:r>
      <w:r w:rsidR="00854F96">
        <w:rPr>
          <w:rFonts w:ascii="宋体" w:eastAsia="宋体" w:hAnsi="宋体" w:cs="宋体" w:hint="eastAsia"/>
          <w:bCs/>
          <w:color w:val="000000"/>
          <w:szCs w:val="21"/>
        </w:rPr>
        <w:t>本案</w:t>
      </w:r>
      <w:r w:rsidR="009C3DAB">
        <w:rPr>
          <w:rFonts w:ascii="宋体" w:eastAsia="宋体" w:hAnsi="宋体" w:cs="宋体" w:hint="eastAsia"/>
          <w:bCs/>
          <w:color w:val="000000"/>
          <w:szCs w:val="21"/>
        </w:rPr>
        <w:t>说理理由</w:t>
      </w:r>
      <w:r w:rsidR="00854F96">
        <w:rPr>
          <w:rFonts w:ascii="宋体" w:eastAsia="宋体" w:hAnsi="宋体" w:cs="宋体" w:hint="eastAsia"/>
          <w:bCs/>
          <w:color w:val="000000"/>
          <w:szCs w:val="21"/>
        </w:rPr>
        <w:t>或者不予否定其指导性效力</w:t>
      </w:r>
      <w:r w:rsidR="009C3DAB">
        <w:rPr>
          <w:rFonts w:ascii="宋体" w:eastAsia="宋体" w:hAnsi="宋体" w:cs="宋体" w:hint="eastAsia"/>
          <w:bCs/>
          <w:color w:val="000000"/>
          <w:szCs w:val="21"/>
        </w:rPr>
        <w:t>。如</w:t>
      </w:r>
      <w:r w:rsidR="00007F4F">
        <w:rPr>
          <w:rFonts w:ascii="宋体" w:eastAsia="宋体" w:hAnsi="宋体" w:cs="宋体" w:hint="eastAsia"/>
          <w:bCs/>
          <w:color w:val="000000"/>
          <w:szCs w:val="21"/>
        </w:rPr>
        <w:t>“</w:t>
      </w:r>
      <w:r w:rsidR="00390F3F" w:rsidRPr="00390F3F">
        <w:rPr>
          <w:rFonts w:ascii="宋体" w:eastAsia="宋体" w:hAnsi="宋体" w:cs="宋体" w:hint="eastAsia"/>
          <w:bCs/>
          <w:color w:val="000000"/>
          <w:szCs w:val="21"/>
        </w:rPr>
        <w:t>原审判决就此问题裁判方法与全国法院就此问题的主流裁判规则相符，亦符合最高人民法院就此问题所颁布的公报案例和指导性案例确立的裁判规则</w:t>
      </w:r>
      <w:r w:rsidR="00AB1B72">
        <w:rPr>
          <w:rFonts w:ascii="宋体" w:eastAsia="宋体" w:hAnsi="宋体" w:cs="宋体"/>
          <w:bCs/>
          <w:color w:val="000000"/>
          <w:szCs w:val="21"/>
        </w:rPr>
        <w:t>”</w:t>
      </w:r>
      <w:r w:rsidR="00EC18B8" w:rsidRPr="00EC18B8">
        <w:rPr>
          <w:rFonts w:ascii="宋体" w:eastAsia="宋体" w:hAnsi="宋体" w:cs="宋体"/>
          <w:bCs/>
          <w:color w:val="000000"/>
          <w:szCs w:val="21"/>
          <w:vertAlign w:val="superscript"/>
        </w:rPr>
        <w:sym w:font="Wingdings" w:char="F085"/>
      </w:r>
      <w:r w:rsidR="00AB1B72">
        <w:rPr>
          <w:rFonts w:ascii="宋体" w:eastAsia="宋体" w:hAnsi="宋体" w:cs="宋体" w:hint="eastAsia"/>
          <w:bCs/>
          <w:color w:val="000000"/>
          <w:szCs w:val="21"/>
        </w:rPr>
        <w:t>、“</w:t>
      </w:r>
      <w:r w:rsidR="009C3DAB">
        <w:rPr>
          <w:rFonts w:ascii="宋体" w:eastAsia="宋体" w:hAnsi="宋体" w:cs="宋体" w:hint="eastAsia"/>
          <w:bCs/>
          <w:color w:val="000000"/>
          <w:szCs w:val="21"/>
        </w:rPr>
        <w:t>丹阳法院的判决</w:t>
      </w:r>
      <w:r w:rsidR="00AB1B72">
        <w:rPr>
          <w:rFonts w:ascii="宋体" w:eastAsia="宋体" w:hAnsi="宋体" w:cs="宋体" w:hint="eastAsia"/>
          <w:bCs/>
          <w:color w:val="000000"/>
          <w:szCs w:val="21"/>
        </w:rPr>
        <w:t>并非</w:t>
      </w:r>
      <w:r w:rsidR="009C3DAB">
        <w:rPr>
          <w:rFonts w:ascii="宋体" w:eastAsia="宋体" w:hAnsi="宋体" w:cs="宋体" w:hint="eastAsia"/>
          <w:bCs/>
          <w:color w:val="000000"/>
          <w:szCs w:val="21"/>
        </w:rPr>
        <w:t>最高院公报</w:t>
      </w:r>
      <w:r w:rsidR="00AB1B72">
        <w:rPr>
          <w:rFonts w:ascii="宋体" w:eastAsia="宋体" w:hAnsi="宋体" w:cs="宋体" w:hint="eastAsia"/>
          <w:bCs/>
          <w:color w:val="000000"/>
          <w:szCs w:val="21"/>
        </w:rPr>
        <w:t>案例，不能作为本案的裁决依据”</w:t>
      </w:r>
      <w:r w:rsidR="00EC18B8" w:rsidRPr="00EC18B8">
        <w:rPr>
          <w:rFonts w:ascii="宋体" w:eastAsia="宋体" w:hAnsi="宋体" w:cs="宋体" w:hint="eastAsia"/>
          <w:bCs/>
          <w:color w:val="000000"/>
          <w:szCs w:val="21"/>
          <w:vertAlign w:val="superscript"/>
        </w:rPr>
        <w:sym w:font="Wingdings" w:char="F086"/>
      </w:r>
      <w:r w:rsidR="00AB1B72">
        <w:rPr>
          <w:rFonts w:ascii="宋体" w:eastAsia="宋体" w:hAnsi="宋体" w:cs="宋体" w:hint="eastAsia"/>
          <w:bCs/>
          <w:color w:val="000000"/>
          <w:szCs w:val="21"/>
        </w:rPr>
        <w:t>。</w:t>
      </w:r>
    </w:p>
    <w:p w:rsidR="00AB1B72" w:rsidRDefault="00AB1B72" w:rsidP="00F9231C">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（4）间接否定参照：即法院既</w:t>
      </w:r>
      <w:r w:rsidR="00854F96">
        <w:rPr>
          <w:rFonts w:ascii="宋体" w:eastAsia="宋体" w:hAnsi="宋体" w:cs="宋体" w:hint="eastAsia"/>
          <w:bCs/>
          <w:color w:val="000000"/>
          <w:szCs w:val="21"/>
        </w:rPr>
        <w:t>未</w:t>
      </w:r>
      <w:r>
        <w:rPr>
          <w:rFonts w:ascii="宋体" w:eastAsia="宋体" w:hAnsi="宋体" w:cs="宋体" w:hint="eastAsia"/>
          <w:bCs/>
          <w:color w:val="000000"/>
          <w:szCs w:val="21"/>
        </w:rPr>
        <w:t>直接参照，也没有直接否认其效力，而是对当事人提交的最高院公报案例</w:t>
      </w:r>
      <w:r w:rsidR="00854F96">
        <w:rPr>
          <w:rFonts w:ascii="宋体" w:eastAsia="宋体" w:hAnsi="宋体" w:cs="宋体" w:hint="eastAsia"/>
          <w:bCs/>
          <w:color w:val="000000"/>
          <w:szCs w:val="21"/>
        </w:rPr>
        <w:t>的证据</w:t>
      </w:r>
      <w:r>
        <w:rPr>
          <w:rFonts w:ascii="宋体" w:eastAsia="宋体" w:hAnsi="宋体" w:cs="宋体" w:hint="eastAsia"/>
          <w:bCs/>
          <w:color w:val="000000"/>
          <w:szCs w:val="21"/>
        </w:rPr>
        <w:t>不予认定。</w:t>
      </w:r>
      <w:r w:rsidR="009C3DAB">
        <w:rPr>
          <w:rFonts w:ascii="宋体" w:eastAsia="宋体" w:hAnsi="宋体" w:cs="宋体" w:hint="eastAsia"/>
          <w:bCs/>
          <w:color w:val="000000"/>
          <w:szCs w:val="21"/>
        </w:rPr>
        <w:t>如</w:t>
      </w:r>
      <w:r>
        <w:rPr>
          <w:rFonts w:ascii="宋体" w:eastAsia="宋体" w:hAnsi="宋体" w:cs="宋体" w:hint="eastAsia"/>
          <w:bCs/>
          <w:color w:val="000000"/>
          <w:szCs w:val="21"/>
        </w:rPr>
        <w:t>“</w:t>
      </w:r>
      <w:r w:rsidR="009C3DAB">
        <w:rPr>
          <w:rFonts w:ascii="宋体" w:eastAsia="宋体" w:hAnsi="宋体" w:cs="宋体" w:hint="eastAsia"/>
          <w:bCs/>
          <w:color w:val="000000"/>
          <w:szCs w:val="21"/>
        </w:rPr>
        <w:t>法院对上述证据的证明效力不予认定”</w:t>
      </w:r>
      <w:r w:rsidR="00390F3F" w:rsidRPr="00390F3F">
        <w:rPr>
          <w:rFonts w:ascii="宋体" w:eastAsia="宋体" w:hAnsi="宋体" w:cs="宋体" w:hint="eastAsia"/>
          <w:bCs/>
          <w:color w:val="000000"/>
          <w:szCs w:val="21"/>
          <w:vertAlign w:val="superscript"/>
        </w:rPr>
        <w:sym w:font="Wingdings" w:char="F087"/>
      </w:r>
      <w:r w:rsidR="00390F3F">
        <w:rPr>
          <w:rFonts w:ascii="宋体" w:eastAsia="宋体" w:hAnsi="宋体" w:cs="宋体" w:hint="eastAsia"/>
          <w:bCs/>
          <w:color w:val="000000"/>
          <w:szCs w:val="21"/>
        </w:rPr>
        <w:t xml:space="preserve">、 </w:t>
      </w:r>
      <w:r w:rsidR="009C3DAB">
        <w:rPr>
          <w:rFonts w:ascii="宋体" w:eastAsia="宋体" w:hAnsi="宋体" w:cs="宋体" w:hint="eastAsia"/>
          <w:bCs/>
          <w:color w:val="000000"/>
          <w:szCs w:val="21"/>
        </w:rPr>
        <w:t>“该证据虽来源合法，形式真实，但与本案不具有关联性，故对其效力本院不予确认”</w:t>
      </w:r>
      <w:r w:rsidR="00854F96" w:rsidRPr="00854F96">
        <w:rPr>
          <w:rFonts w:ascii="宋体" w:eastAsia="宋体" w:hAnsi="宋体" w:cs="宋体" w:hint="eastAsia"/>
          <w:bCs/>
          <w:color w:val="000000"/>
          <w:szCs w:val="21"/>
          <w:vertAlign w:val="superscript"/>
        </w:rPr>
        <w:t xml:space="preserve"> </w:t>
      </w:r>
      <w:r w:rsidR="00334A11" w:rsidRPr="00390F3F">
        <w:rPr>
          <w:rFonts w:ascii="宋体" w:eastAsia="宋体" w:hAnsi="宋体" w:cs="宋体" w:hint="eastAsia"/>
          <w:bCs/>
          <w:color w:val="000000"/>
          <w:szCs w:val="21"/>
          <w:vertAlign w:val="superscript"/>
        </w:rPr>
        <w:sym w:font="Wingdings" w:char="F088"/>
      </w:r>
      <w:r w:rsidR="009C3DAB">
        <w:rPr>
          <w:rFonts w:ascii="宋体" w:eastAsia="宋体" w:hAnsi="宋体" w:cs="宋体" w:hint="eastAsia"/>
          <w:bCs/>
          <w:color w:val="000000"/>
          <w:szCs w:val="21"/>
        </w:rPr>
        <w:t>。</w:t>
      </w:r>
    </w:p>
    <w:p w:rsidR="001A3A20" w:rsidRDefault="001A3A20" w:rsidP="00F9231C">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（5）未参照由于不是类似案件：该种情况下，</w:t>
      </w:r>
      <w:r w:rsidR="004933FC">
        <w:rPr>
          <w:rFonts w:ascii="宋体" w:eastAsia="宋体" w:hAnsi="宋体" w:cs="宋体" w:hint="eastAsia"/>
          <w:bCs/>
          <w:color w:val="000000"/>
          <w:szCs w:val="21"/>
        </w:rPr>
        <w:t>实质也是间接肯定参照的一种，只是</w:t>
      </w:r>
      <w:r>
        <w:rPr>
          <w:rFonts w:ascii="宋体" w:eastAsia="宋体" w:hAnsi="宋体" w:cs="宋体" w:hint="eastAsia"/>
          <w:bCs/>
          <w:color w:val="000000"/>
          <w:szCs w:val="21"/>
        </w:rPr>
        <w:t>法院明确在判决书中注明未采纳当事人提交的公报</w:t>
      </w:r>
      <w:r w:rsidR="00390F3F">
        <w:rPr>
          <w:rFonts w:ascii="宋体" w:eastAsia="宋体" w:hAnsi="宋体" w:cs="宋体" w:hint="eastAsia"/>
          <w:bCs/>
          <w:color w:val="000000"/>
          <w:szCs w:val="21"/>
        </w:rPr>
        <w:t>案例是由于公报案例的案情与本案案情</w:t>
      </w:r>
      <w:r w:rsidR="00AB6A53">
        <w:rPr>
          <w:rFonts w:ascii="宋体" w:eastAsia="宋体" w:hAnsi="宋体" w:cs="宋体" w:hint="eastAsia"/>
          <w:bCs/>
          <w:color w:val="000000"/>
          <w:szCs w:val="21"/>
        </w:rPr>
        <w:t>不同，</w:t>
      </w:r>
      <w:r w:rsidR="00390F3F">
        <w:rPr>
          <w:rFonts w:ascii="宋体" w:eastAsia="宋体" w:hAnsi="宋体" w:cs="宋体" w:hint="eastAsia"/>
          <w:bCs/>
          <w:color w:val="000000"/>
          <w:szCs w:val="21"/>
        </w:rPr>
        <w:t xml:space="preserve">不是类似案件。如 </w:t>
      </w:r>
      <w:r>
        <w:rPr>
          <w:rFonts w:ascii="宋体" w:eastAsia="宋体" w:hAnsi="宋体" w:cs="宋体" w:hint="eastAsia"/>
          <w:bCs/>
          <w:color w:val="000000"/>
          <w:szCs w:val="21"/>
        </w:rPr>
        <w:t>“</w:t>
      </w:r>
      <w:r w:rsidRPr="001A3A20">
        <w:rPr>
          <w:rFonts w:ascii="宋体" w:eastAsia="宋体" w:hAnsi="宋体" w:cs="宋体" w:hint="eastAsia"/>
          <w:bCs/>
          <w:color w:val="000000"/>
          <w:szCs w:val="21"/>
        </w:rPr>
        <w:t>上诉人援引的《最高人民法院公报》所刊载(2016)最高法民终字第484</w:t>
      </w:r>
      <w:r>
        <w:rPr>
          <w:rFonts w:ascii="宋体" w:eastAsia="宋体" w:hAnsi="宋体" w:cs="宋体" w:hint="eastAsia"/>
          <w:bCs/>
          <w:color w:val="000000"/>
          <w:szCs w:val="21"/>
        </w:rPr>
        <w:t>号案件情况与本案有所不同</w:t>
      </w:r>
      <w:r w:rsidRPr="001A3A20">
        <w:rPr>
          <w:rFonts w:ascii="宋体" w:eastAsia="宋体" w:hAnsi="宋体" w:cs="宋体" w:hint="eastAsia"/>
          <w:bCs/>
          <w:color w:val="000000"/>
          <w:szCs w:val="21"/>
        </w:rPr>
        <w:t>……因</w:t>
      </w:r>
      <w:r w:rsidR="00275FA8">
        <w:rPr>
          <w:rFonts w:ascii="宋体" w:eastAsia="宋体" w:hAnsi="宋体" w:cs="宋体" w:hint="eastAsia"/>
          <w:bCs/>
          <w:color w:val="000000"/>
          <w:szCs w:val="21"/>
        </w:rPr>
        <w:t>此，上诉人所援引的公报案例中的裁判观点并不能用以支持其上诉主张”</w:t>
      </w:r>
      <w:r w:rsidR="00334A11" w:rsidRPr="00334A11">
        <w:rPr>
          <w:rFonts w:ascii="宋体" w:eastAsia="宋体" w:hAnsi="宋体" w:cs="宋体" w:hint="eastAsia"/>
          <w:bCs/>
          <w:color w:val="000000"/>
          <w:szCs w:val="21"/>
          <w:vertAlign w:val="superscript"/>
        </w:rPr>
        <w:t xml:space="preserve"> </w:t>
      </w:r>
      <w:r w:rsidR="00334A11" w:rsidRPr="00390F3F">
        <w:rPr>
          <w:rFonts w:ascii="宋体" w:eastAsia="宋体" w:hAnsi="宋体" w:cs="宋体" w:hint="eastAsia"/>
          <w:bCs/>
          <w:color w:val="000000"/>
          <w:szCs w:val="21"/>
          <w:vertAlign w:val="superscript"/>
        </w:rPr>
        <w:sym w:font="Wingdings" w:char="F089"/>
      </w:r>
      <w:r w:rsidR="00390F3F">
        <w:rPr>
          <w:rFonts w:ascii="宋体" w:eastAsia="宋体" w:hAnsi="宋体" w:cs="宋体" w:hint="eastAsia"/>
          <w:bCs/>
          <w:color w:val="000000"/>
          <w:szCs w:val="21"/>
        </w:rPr>
        <w:t xml:space="preserve">、 </w:t>
      </w:r>
      <w:r w:rsidR="00275FA8">
        <w:rPr>
          <w:rFonts w:ascii="宋体" w:eastAsia="宋体" w:hAnsi="宋体" w:cs="宋体" w:hint="eastAsia"/>
          <w:bCs/>
          <w:color w:val="000000"/>
          <w:szCs w:val="21"/>
        </w:rPr>
        <w:t>“</w:t>
      </w:r>
      <w:r w:rsidR="00275FA8" w:rsidRPr="00275FA8">
        <w:rPr>
          <w:rFonts w:ascii="宋体" w:eastAsia="宋体" w:hAnsi="宋体" w:cs="宋体" w:hint="eastAsia"/>
          <w:bCs/>
          <w:color w:val="000000"/>
          <w:szCs w:val="21"/>
        </w:rPr>
        <w:t>上诉人秦安农商银行主张依据《最高人民法院公报》（2012年第09期）案例认定，银行报送征信信息的行为不构成名誉权侵权。本院认为</w:t>
      </w:r>
      <w:r w:rsidR="00390F3F">
        <w:rPr>
          <w:rFonts w:ascii="宋体" w:eastAsia="宋体" w:hAnsi="宋体" w:cs="宋体" w:hint="eastAsia"/>
          <w:bCs/>
          <w:color w:val="000000"/>
          <w:szCs w:val="21"/>
        </w:rPr>
        <w:t>，该案例与本案二者所依据的事实基础不同，故对其该项主张不予支持</w:t>
      </w:r>
      <w:r w:rsidR="00275FA8">
        <w:rPr>
          <w:rFonts w:ascii="宋体" w:eastAsia="宋体" w:hAnsi="宋体" w:cs="宋体" w:hint="eastAsia"/>
          <w:bCs/>
          <w:color w:val="000000"/>
          <w:szCs w:val="21"/>
        </w:rPr>
        <w:t>”</w:t>
      </w:r>
      <w:r w:rsidR="00334A11" w:rsidRPr="00334A11">
        <w:rPr>
          <w:rFonts w:ascii="宋体" w:eastAsia="宋体" w:hAnsi="宋体" w:cs="宋体" w:hint="eastAsia"/>
          <w:bCs/>
          <w:color w:val="000000"/>
          <w:szCs w:val="21"/>
          <w:vertAlign w:val="superscript"/>
        </w:rPr>
        <w:t xml:space="preserve"> </w:t>
      </w:r>
      <w:r w:rsidR="00334A11" w:rsidRPr="00AB6A53">
        <w:rPr>
          <w:rFonts w:ascii="宋体" w:eastAsia="宋体" w:hAnsi="宋体" w:cs="宋体" w:hint="eastAsia"/>
          <w:bCs/>
          <w:color w:val="000000"/>
          <w:szCs w:val="21"/>
          <w:vertAlign w:val="superscript"/>
        </w:rPr>
        <w:sym w:font="Wingdings" w:char="F08A"/>
      </w:r>
      <w:r w:rsidR="00390F3F">
        <w:rPr>
          <w:rFonts w:ascii="宋体" w:eastAsia="宋体" w:hAnsi="宋体" w:cs="宋体" w:hint="eastAsia"/>
          <w:bCs/>
          <w:color w:val="000000"/>
          <w:szCs w:val="21"/>
        </w:rPr>
        <w:t>。</w:t>
      </w:r>
    </w:p>
    <w:p w:rsidR="005639C5" w:rsidRDefault="00711A1A" w:rsidP="00116428">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以上数据可以看出，法院在审判时对最高院公报案例的直接肯定适用的概率几乎接近百分之五十，加上间接肯定适用</w:t>
      </w:r>
      <w:r w:rsidR="002F30A7">
        <w:rPr>
          <w:rFonts w:ascii="宋体" w:eastAsia="宋体" w:hAnsi="宋体" w:cs="宋体" w:hint="eastAsia"/>
          <w:bCs/>
          <w:color w:val="000000"/>
          <w:szCs w:val="21"/>
        </w:rPr>
        <w:t>则高达百分之六十六。从司法界普通认同的理论观点而言，最高院发布的公报案例并非指导性案例，</w:t>
      </w:r>
      <w:bookmarkStart w:id="0" w:name="_GoBack"/>
      <w:bookmarkEnd w:id="0"/>
      <w:r w:rsidR="002F30A7">
        <w:rPr>
          <w:rFonts w:ascii="宋体" w:eastAsia="宋体" w:hAnsi="宋体" w:cs="宋体" w:hint="eastAsia"/>
          <w:bCs/>
          <w:color w:val="000000"/>
          <w:szCs w:val="21"/>
        </w:rPr>
        <w:t>也如一些法官所说：</w:t>
      </w:r>
      <w:proofErr w:type="gramStart"/>
      <w:r w:rsidR="002F30A7">
        <w:rPr>
          <w:rFonts w:ascii="宋体" w:eastAsia="宋体" w:hAnsi="宋体" w:cs="宋体" w:hint="eastAsia"/>
          <w:bCs/>
          <w:color w:val="000000"/>
          <w:szCs w:val="21"/>
        </w:rPr>
        <w:t>“</w:t>
      </w:r>
      <w:proofErr w:type="gramEnd"/>
      <w:r w:rsidR="002F30A7">
        <w:rPr>
          <w:rFonts w:ascii="宋体" w:eastAsia="宋体" w:hAnsi="宋体" w:cs="宋体" w:hint="eastAsia"/>
          <w:bCs/>
          <w:color w:val="000000"/>
          <w:szCs w:val="21"/>
        </w:rPr>
        <w:t>我国非判例法国家“，可是事实上，经过大量</w:t>
      </w:r>
      <w:r w:rsidR="00162809">
        <w:rPr>
          <w:rFonts w:ascii="宋体" w:eastAsia="宋体" w:hAnsi="宋体" w:cs="宋体" w:hint="eastAsia"/>
          <w:bCs/>
          <w:color w:val="000000"/>
          <w:szCs w:val="21"/>
        </w:rPr>
        <w:t>的数据分析，法院在审判过程中直接参照最高院公报案例的比重非常大，</w:t>
      </w:r>
      <w:r w:rsidR="002F30A7">
        <w:rPr>
          <w:rFonts w:ascii="宋体" w:eastAsia="宋体" w:hAnsi="宋体" w:cs="宋体" w:hint="eastAsia"/>
          <w:bCs/>
          <w:color w:val="000000"/>
          <w:szCs w:val="21"/>
        </w:rPr>
        <w:t>那么是什么原因导致这一现象呢？</w:t>
      </w:r>
      <w:r w:rsidR="00162809">
        <w:rPr>
          <w:rFonts w:ascii="宋体" w:eastAsia="宋体" w:hAnsi="宋体" w:cs="宋体" w:hint="eastAsia"/>
          <w:bCs/>
          <w:color w:val="000000"/>
          <w:szCs w:val="21"/>
        </w:rPr>
        <w:t>具体原因笔者分析如下：</w:t>
      </w:r>
    </w:p>
    <w:p w:rsidR="005639C5" w:rsidRDefault="005639C5" w:rsidP="00116428">
      <w:pPr>
        <w:ind w:firstLineChars="200" w:firstLine="422"/>
        <w:rPr>
          <w:rFonts w:ascii="宋体" w:eastAsia="宋体" w:hAnsi="宋体" w:cs="宋体"/>
          <w:b/>
          <w:bCs/>
          <w:color w:val="000000"/>
          <w:szCs w:val="21"/>
        </w:rPr>
      </w:pPr>
      <w:r w:rsidRPr="005639C5">
        <w:rPr>
          <w:rFonts w:ascii="宋体" w:eastAsia="宋体" w:hAnsi="宋体" w:cs="宋体" w:hint="eastAsia"/>
          <w:b/>
          <w:bCs/>
          <w:color w:val="000000"/>
          <w:szCs w:val="21"/>
        </w:rPr>
        <w:t>二、法院大量适用最高院公报案例的原因分析</w:t>
      </w:r>
    </w:p>
    <w:p w:rsidR="005639C5" w:rsidRDefault="005639C5" w:rsidP="00116428">
      <w:pPr>
        <w:ind w:firstLineChars="200" w:firstLine="422"/>
        <w:rPr>
          <w:rFonts w:ascii="宋体" w:eastAsia="宋体" w:hAnsi="宋体" w:cs="宋体"/>
          <w:b/>
          <w:bCs/>
          <w:color w:val="000000"/>
          <w:szCs w:val="21"/>
        </w:rPr>
      </w:pPr>
      <w:r>
        <w:rPr>
          <w:rFonts w:ascii="宋体" w:eastAsia="宋体" w:hAnsi="宋体" w:cs="宋体" w:hint="eastAsia"/>
          <w:b/>
          <w:bCs/>
          <w:color w:val="000000"/>
          <w:szCs w:val="21"/>
        </w:rPr>
        <w:t>（一）</w:t>
      </w:r>
      <w:r w:rsidR="00DB1A39">
        <w:rPr>
          <w:rFonts w:ascii="宋体" w:eastAsia="宋体" w:hAnsi="宋体" w:cs="宋体" w:hint="eastAsia"/>
          <w:b/>
          <w:bCs/>
          <w:color w:val="000000"/>
          <w:szCs w:val="21"/>
        </w:rPr>
        <w:t>指导各级法院的审判工作</w:t>
      </w:r>
      <w:r w:rsidR="00301BD2">
        <w:rPr>
          <w:rFonts w:ascii="宋体" w:eastAsia="宋体" w:hAnsi="宋体" w:cs="宋体" w:hint="eastAsia"/>
          <w:b/>
          <w:bCs/>
          <w:color w:val="000000"/>
          <w:szCs w:val="21"/>
        </w:rPr>
        <w:t>是</w:t>
      </w:r>
      <w:r w:rsidR="00F97DEC" w:rsidRPr="00F97DEC">
        <w:rPr>
          <w:rFonts w:ascii="宋体" w:eastAsia="宋体" w:hAnsi="宋体" w:cs="宋体" w:hint="eastAsia"/>
          <w:b/>
          <w:bCs/>
          <w:color w:val="000000"/>
          <w:szCs w:val="21"/>
        </w:rPr>
        <w:t>《最高人民法院公报》</w:t>
      </w:r>
      <w:r>
        <w:rPr>
          <w:rFonts w:ascii="宋体" w:eastAsia="宋体" w:hAnsi="宋体" w:cs="宋体" w:hint="eastAsia"/>
          <w:b/>
          <w:bCs/>
          <w:color w:val="000000"/>
          <w:szCs w:val="21"/>
        </w:rPr>
        <w:t>的创刊目的</w:t>
      </w:r>
    </w:p>
    <w:p w:rsidR="005639C5" w:rsidRDefault="00F210EC" w:rsidP="00F210EC">
      <w:pPr>
        <w:ind w:firstLineChars="200" w:firstLine="420"/>
        <w:rPr>
          <w:rFonts w:ascii="宋体" w:eastAsia="宋体" w:hAnsi="宋体" w:cs="宋体"/>
          <w:bCs/>
          <w:color w:val="000000"/>
          <w:szCs w:val="21"/>
        </w:rPr>
      </w:pPr>
      <w:r w:rsidRPr="00F210EC">
        <w:rPr>
          <w:rFonts w:ascii="宋体" w:eastAsia="宋体" w:hAnsi="宋体" w:cs="宋体" w:hint="eastAsia"/>
          <w:bCs/>
          <w:color w:val="000000"/>
          <w:szCs w:val="21"/>
        </w:rPr>
        <w:t>《最高人民法院公报》创设时，科学技术和通讯技术都十分落后，其目的是想对当时十分混乱的司法现状与极不完善的司法体制进行一定的规整。</w:t>
      </w:r>
      <w:r w:rsidR="00301BD2">
        <w:rPr>
          <w:rFonts w:ascii="宋体" w:eastAsia="宋体" w:hAnsi="宋体" w:cs="宋体" w:hint="eastAsia"/>
          <w:bCs/>
          <w:color w:val="000000"/>
          <w:szCs w:val="21"/>
        </w:rPr>
        <w:t>因此</w:t>
      </w:r>
      <w:r w:rsidR="001720A6">
        <w:rPr>
          <w:rFonts w:ascii="宋体" w:eastAsia="宋体" w:hAnsi="宋体" w:cs="宋体" w:hint="eastAsia"/>
          <w:bCs/>
          <w:color w:val="000000"/>
          <w:szCs w:val="21"/>
        </w:rPr>
        <w:t>通过司法水平相对较高的最高人民法院挑选出具有代表性的、公正性的、社会效应较好的审判案例</w:t>
      </w:r>
      <w:r w:rsidR="001B16A7">
        <w:rPr>
          <w:rFonts w:ascii="宋体" w:eastAsia="宋体" w:hAnsi="宋体" w:cs="宋体" w:hint="eastAsia"/>
          <w:bCs/>
          <w:color w:val="000000"/>
          <w:szCs w:val="21"/>
        </w:rPr>
        <w:t>，进行编写</w:t>
      </w:r>
      <w:proofErr w:type="gramStart"/>
      <w:r w:rsidR="001B16A7">
        <w:rPr>
          <w:rFonts w:ascii="宋体" w:eastAsia="宋体" w:hAnsi="宋体" w:cs="宋体" w:hint="eastAsia"/>
          <w:bCs/>
          <w:color w:val="000000"/>
          <w:szCs w:val="21"/>
        </w:rPr>
        <w:t>成刊</w:t>
      </w:r>
      <w:r w:rsidR="00301BD2">
        <w:rPr>
          <w:rFonts w:ascii="宋体" w:eastAsia="宋体" w:hAnsi="宋体" w:cs="宋体" w:hint="eastAsia"/>
          <w:bCs/>
          <w:color w:val="000000"/>
          <w:szCs w:val="21"/>
        </w:rPr>
        <w:t>进行</w:t>
      </w:r>
      <w:proofErr w:type="gramEnd"/>
      <w:r w:rsidR="00301BD2">
        <w:rPr>
          <w:rFonts w:ascii="宋体" w:eastAsia="宋体" w:hAnsi="宋体" w:cs="宋体" w:hint="eastAsia"/>
          <w:bCs/>
          <w:color w:val="000000"/>
          <w:szCs w:val="21"/>
        </w:rPr>
        <w:t>发布，以此达到指导各级法院参照</w:t>
      </w:r>
      <w:r w:rsidR="00D85A1B">
        <w:rPr>
          <w:rFonts w:ascii="宋体" w:eastAsia="宋体" w:hAnsi="宋体" w:cs="宋体" w:hint="eastAsia"/>
          <w:bCs/>
          <w:color w:val="000000"/>
          <w:szCs w:val="21"/>
        </w:rPr>
        <w:t>公报案例进行审判的目的。此</w:t>
      </w:r>
      <w:r w:rsidR="001B16A7">
        <w:rPr>
          <w:rFonts w:ascii="宋体" w:eastAsia="宋体" w:hAnsi="宋体" w:cs="宋体" w:hint="eastAsia"/>
          <w:bCs/>
          <w:color w:val="000000"/>
          <w:szCs w:val="21"/>
        </w:rPr>
        <w:t>后，</w:t>
      </w:r>
      <w:r w:rsidR="00BC2FB2" w:rsidRPr="00A43211">
        <w:rPr>
          <w:rFonts w:ascii="宋体" w:eastAsia="宋体" w:hAnsi="宋体" w:cs="宋体" w:hint="eastAsia"/>
          <w:bCs/>
          <w:color w:val="000000"/>
          <w:szCs w:val="21"/>
        </w:rPr>
        <w:t>《</w:t>
      </w:r>
      <w:r w:rsidR="00BC2FB2">
        <w:rPr>
          <w:rFonts w:ascii="宋体" w:eastAsia="宋体" w:hAnsi="宋体" w:cs="宋体" w:hint="eastAsia"/>
          <w:bCs/>
          <w:color w:val="000000"/>
          <w:szCs w:val="21"/>
        </w:rPr>
        <w:t>最高人民法院公报》</w:t>
      </w:r>
      <w:r w:rsidR="001B16A7">
        <w:rPr>
          <w:rFonts w:ascii="宋体" w:eastAsia="宋体" w:hAnsi="宋体" w:cs="宋体" w:hint="eastAsia"/>
          <w:bCs/>
          <w:color w:val="000000"/>
          <w:szCs w:val="21"/>
        </w:rPr>
        <w:t>发布</w:t>
      </w:r>
      <w:r w:rsidR="00F936D4">
        <w:rPr>
          <w:rFonts w:ascii="宋体" w:eastAsia="宋体" w:hAnsi="宋体" w:cs="宋体" w:hint="eastAsia"/>
          <w:bCs/>
          <w:color w:val="000000"/>
          <w:szCs w:val="21"/>
        </w:rPr>
        <w:t>的</w:t>
      </w:r>
      <w:r w:rsidR="001B16A7">
        <w:rPr>
          <w:rFonts w:ascii="宋体" w:eastAsia="宋体" w:hAnsi="宋体" w:cs="宋体" w:hint="eastAsia"/>
          <w:bCs/>
          <w:color w:val="000000"/>
          <w:szCs w:val="21"/>
        </w:rPr>
        <w:t>内容逐步扩增到法律法规、</w:t>
      </w:r>
      <w:r w:rsidR="001B16A7">
        <w:rPr>
          <w:rFonts w:ascii="宋体" w:eastAsia="宋体" w:hAnsi="宋体" w:cs="宋体"/>
          <w:bCs/>
          <w:color w:val="000000"/>
          <w:szCs w:val="21"/>
        </w:rPr>
        <w:t>司法解释</w:t>
      </w:r>
      <w:r w:rsidR="009F13DB">
        <w:rPr>
          <w:rFonts w:ascii="宋体" w:eastAsia="宋体" w:hAnsi="宋体" w:cs="宋体" w:hint="eastAsia"/>
          <w:bCs/>
          <w:color w:val="000000"/>
          <w:szCs w:val="21"/>
        </w:rPr>
        <w:t>、</w:t>
      </w:r>
      <w:r w:rsidR="001B16A7">
        <w:rPr>
          <w:rFonts w:ascii="宋体" w:eastAsia="宋体" w:hAnsi="宋体" w:cs="宋体" w:hint="eastAsia"/>
          <w:bCs/>
          <w:color w:val="000000"/>
          <w:szCs w:val="21"/>
        </w:rPr>
        <w:t>司法</w:t>
      </w:r>
      <w:r w:rsidR="001B16A7" w:rsidRPr="00A43211">
        <w:rPr>
          <w:rFonts w:ascii="宋体" w:eastAsia="宋体" w:hAnsi="宋体" w:cs="宋体"/>
          <w:bCs/>
          <w:color w:val="000000"/>
          <w:szCs w:val="21"/>
        </w:rPr>
        <w:t>文件</w:t>
      </w:r>
      <w:r w:rsidR="009F13DB">
        <w:rPr>
          <w:rFonts w:ascii="宋体" w:eastAsia="宋体" w:hAnsi="宋体" w:cs="宋体" w:hint="eastAsia"/>
          <w:bCs/>
          <w:color w:val="000000"/>
          <w:szCs w:val="21"/>
        </w:rPr>
        <w:t>和司法统计公报</w:t>
      </w:r>
      <w:r w:rsidR="001B16A7">
        <w:rPr>
          <w:rFonts w:ascii="宋体" w:eastAsia="宋体" w:hAnsi="宋体" w:cs="宋体" w:hint="eastAsia"/>
          <w:bCs/>
          <w:color w:val="000000"/>
          <w:szCs w:val="21"/>
        </w:rPr>
        <w:t>等，</w:t>
      </w:r>
      <w:r w:rsidR="00DC501D">
        <w:rPr>
          <w:rFonts w:ascii="宋体" w:eastAsia="宋体" w:hAnsi="宋体" w:cs="宋体" w:hint="eastAsia"/>
          <w:bCs/>
          <w:color w:val="000000"/>
          <w:szCs w:val="21"/>
        </w:rPr>
        <w:t>且</w:t>
      </w:r>
      <w:r w:rsidR="00100C93">
        <w:rPr>
          <w:rFonts w:ascii="宋体" w:eastAsia="宋体" w:hAnsi="宋体" w:cs="宋体" w:hint="eastAsia"/>
          <w:bCs/>
          <w:color w:val="000000"/>
          <w:szCs w:val="21"/>
        </w:rPr>
        <w:t>最高院</w:t>
      </w:r>
      <w:r w:rsidR="001B16A7">
        <w:rPr>
          <w:rFonts w:ascii="宋体" w:eastAsia="宋体" w:hAnsi="宋体" w:cs="宋体" w:hint="eastAsia"/>
          <w:bCs/>
          <w:color w:val="000000"/>
          <w:szCs w:val="21"/>
        </w:rPr>
        <w:t>定期遴选和发布案例的惯例一直延续至今。</w:t>
      </w:r>
    </w:p>
    <w:p w:rsidR="00426ABB" w:rsidRDefault="00426ABB" w:rsidP="00DC501D">
      <w:pPr>
        <w:snapToGrid w:val="0"/>
        <w:ind w:firstLineChars="200" w:firstLine="420"/>
        <w:rPr>
          <w:rFonts w:ascii="宋体" w:eastAsia="宋体" w:hAnsi="宋体" w:cs="宋体"/>
          <w:bCs/>
          <w:color w:val="000000"/>
          <w:szCs w:val="21"/>
        </w:rPr>
      </w:pPr>
      <w:r>
        <w:rPr>
          <w:rFonts w:ascii="宋体" w:eastAsia="宋体" w:hAnsi="宋体" w:cs="宋体" w:hint="eastAsia"/>
          <w:bCs/>
          <w:color w:val="000000"/>
          <w:szCs w:val="21"/>
        </w:rPr>
        <w:t>最高院公</w:t>
      </w:r>
      <w:r w:rsidR="008637C2">
        <w:rPr>
          <w:rFonts w:ascii="宋体" w:eastAsia="宋体" w:hAnsi="宋体" w:cs="宋体" w:hint="eastAsia"/>
          <w:bCs/>
          <w:color w:val="000000"/>
          <w:szCs w:val="21"/>
        </w:rPr>
        <w:t>报案例一定是事实清楚、程序合法、适用法律正确、社会效应良好的民事</w:t>
      </w:r>
      <w:r>
        <w:rPr>
          <w:rFonts w:ascii="宋体" w:eastAsia="宋体" w:hAnsi="宋体" w:cs="宋体" w:hint="eastAsia"/>
          <w:bCs/>
          <w:color w:val="000000"/>
          <w:szCs w:val="21"/>
        </w:rPr>
        <w:t>案例，或者是审判程序合法、适用法律正确、定罪量刑恰当的刑事案例</w:t>
      </w:r>
      <w:r w:rsidR="008637C2">
        <w:rPr>
          <w:rFonts w:ascii="宋体" w:eastAsia="宋体" w:hAnsi="宋体" w:cs="宋体" w:hint="eastAsia"/>
          <w:bCs/>
          <w:color w:val="000000"/>
          <w:szCs w:val="21"/>
        </w:rPr>
        <w:t>等典型性案例</w:t>
      </w:r>
      <w:r>
        <w:rPr>
          <w:rFonts w:ascii="宋体" w:eastAsia="宋体" w:hAnsi="宋体" w:cs="宋体" w:hint="eastAsia"/>
          <w:bCs/>
          <w:color w:val="000000"/>
          <w:szCs w:val="21"/>
        </w:rPr>
        <w:t>。</w:t>
      </w:r>
      <w:r w:rsidR="00BE3807">
        <w:rPr>
          <w:rFonts w:ascii="宋体" w:eastAsia="宋体" w:hAnsi="宋体" w:cs="宋体" w:hint="eastAsia"/>
          <w:bCs/>
          <w:color w:val="000000"/>
          <w:szCs w:val="21"/>
        </w:rPr>
        <w:t>在早期最高院公报全集的出版文书中</w:t>
      </w:r>
      <w:r w:rsidR="008F77A7">
        <w:rPr>
          <w:rFonts w:ascii="宋体" w:eastAsia="宋体" w:hAnsi="宋体" w:cs="宋体" w:hint="eastAsia"/>
          <w:bCs/>
          <w:color w:val="000000"/>
          <w:szCs w:val="21"/>
        </w:rPr>
        <w:t>的前部分</w:t>
      </w:r>
      <w:r w:rsidR="00BE3807">
        <w:rPr>
          <w:rFonts w:ascii="宋体" w:eastAsia="宋体" w:hAnsi="宋体" w:cs="宋体" w:hint="eastAsia"/>
          <w:bCs/>
          <w:color w:val="000000"/>
          <w:szCs w:val="21"/>
        </w:rPr>
        <w:t>写过这样一句话：“最高院公报是最高人民法院指导各级法院审判的重要工具。”</w:t>
      </w:r>
      <w:r w:rsidR="002116D7" w:rsidRPr="00334A11">
        <w:rPr>
          <w:rFonts w:ascii="宋体" w:eastAsia="宋体" w:hAnsi="宋体" w:cs="Times New Roman"/>
          <w:color w:val="000000" w:themeColor="text1"/>
          <w:sz w:val="18"/>
          <w:szCs w:val="18"/>
          <w:vertAlign w:val="superscript"/>
        </w:rPr>
        <w:t xml:space="preserve"> </w:t>
      </w:r>
      <w:r w:rsidR="00334A11" w:rsidRPr="00334A11">
        <w:rPr>
          <w:rFonts w:ascii="宋体" w:eastAsia="宋体" w:hAnsi="宋体" w:cs="Times New Roman"/>
          <w:color w:val="000000" w:themeColor="text1"/>
          <w:sz w:val="18"/>
          <w:szCs w:val="18"/>
          <w:vertAlign w:val="superscript"/>
        </w:rPr>
        <w:t>⑪</w:t>
      </w:r>
      <w:r w:rsidR="001D0D9B" w:rsidRPr="005E0695">
        <w:rPr>
          <w:rFonts w:ascii="宋体" w:eastAsia="宋体" w:hAnsi="宋体" w:cs="宋体" w:hint="eastAsia"/>
          <w:bCs/>
          <w:color w:val="000000" w:themeColor="text1"/>
          <w:szCs w:val="21"/>
        </w:rPr>
        <w:t>可以</w:t>
      </w:r>
      <w:r w:rsidR="001D0D9B">
        <w:rPr>
          <w:rFonts w:ascii="宋体" w:eastAsia="宋体" w:hAnsi="宋体" w:cs="宋体" w:hint="eastAsia"/>
          <w:bCs/>
          <w:color w:val="000000"/>
          <w:szCs w:val="21"/>
        </w:rPr>
        <w:t>看出，</w:t>
      </w:r>
      <w:r w:rsidR="00F936D4" w:rsidRPr="00A43211">
        <w:rPr>
          <w:rFonts w:ascii="宋体" w:eastAsia="宋体" w:hAnsi="宋体" w:cs="宋体" w:hint="eastAsia"/>
          <w:bCs/>
          <w:color w:val="000000"/>
          <w:szCs w:val="21"/>
        </w:rPr>
        <w:t>《</w:t>
      </w:r>
      <w:r w:rsidR="00F936D4">
        <w:rPr>
          <w:rFonts w:ascii="宋体" w:eastAsia="宋体" w:hAnsi="宋体" w:cs="宋体" w:hint="eastAsia"/>
          <w:bCs/>
          <w:color w:val="000000"/>
          <w:szCs w:val="21"/>
        </w:rPr>
        <w:t>最高人民法院公报》</w:t>
      </w:r>
      <w:r w:rsidR="00C24542">
        <w:rPr>
          <w:rFonts w:ascii="宋体" w:eastAsia="宋体" w:hAnsi="宋体" w:cs="宋体" w:hint="eastAsia"/>
          <w:bCs/>
          <w:color w:val="000000"/>
          <w:szCs w:val="21"/>
        </w:rPr>
        <w:t>的创刊目的</w:t>
      </w:r>
      <w:r w:rsidR="001D0D9B">
        <w:rPr>
          <w:rFonts w:ascii="宋体" w:eastAsia="宋体" w:hAnsi="宋体" w:cs="宋体" w:hint="eastAsia"/>
          <w:bCs/>
          <w:color w:val="000000"/>
          <w:szCs w:val="21"/>
        </w:rPr>
        <w:t>意在指导各级法院的审判工作</w:t>
      </w:r>
      <w:r w:rsidR="00C24542">
        <w:rPr>
          <w:rFonts w:ascii="宋体" w:eastAsia="宋体" w:hAnsi="宋体" w:cs="宋体" w:hint="eastAsia"/>
          <w:bCs/>
          <w:color w:val="000000"/>
          <w:szCs w:val="21"/>
        </w:rPr>
        <w:t>，为各级法院提供裁判规范</w:t>
      </w:r>
      <w:r w:rsidR="001D0D9B">
        <w:rPr>
          <w:rFonts w:ascii="宋体" w:eastAsia="宋体" w:hAnsi="宋体" w:cs="宋体" w:hint="eastAsia"/>
          <w:bCs/>
          <w:color w:val="000000"/>
          <w:szCs w:val="21"/>
        </w:rPr>
        <w:t>。</w:t>
      </w:r>
      <w:r w:rsidR="00AD0586">
        <w:rPr>
          <w:rFonts w:ascii="宋体" w:eastAsia="宋体" w:hAnsi="宋体" w:cs="宋体" w:hint="eastAsia"/>
          <w:bCs/>
          <w:color w:val="000000"/>
          <w:szCs w:val="21"/>
        </w:rPr>
        <w:t>法律规定不可能包罗万象、</w:t>
      </w:r>
      <w:r w:rsidR="00A05E58">
        <w:rPr>
          <w:rFonts w:ascii="宋体" w:eastAsia="宋体" w:hAnsi="宋体" w:cs="宋体" w:hint="eastAsia"/>
          <w:bCs/>
          <w:color w:val="000000"/>
          <w:szCs w:val="21"/>
        </w:rPr>
        <w:t>且我国的地方化和行政化问题也较为严重</w:t>
      </w:r>
      <w:r w:rsidR="00AD0586">
        <w:rPr>
          <w:rFonts w:ascii="宋体" w:eastAsia="宋体" w:hAnsi="宋体" w:cs="宋体" w:hint="eastAsia"/>
          <w:bCs/>
          <w:color w:val="000000"/>
          <w:szCs w:val="21"/>
        </w:rPr>
        <w:t>，</w:t>
      </w:r>
      <w:r w:rsidR="00A623E3" w:rsidRPr="00567932">
        <w:rPr>
          <w:rFonts w:ascii="宋体" w:hAnsi="宋体" w:cs="宋体"/>
          <w:color w:val="000000"/>
          <w:szCs w:val="21"/>
          <w:vertAlign w:val="superscript"/>
        </w:rPr>
        <w:t>[2]</w:t>
      </w:r>
      <w:r w:rsidR="001E0F1C">
        <w:rPr>
          <w:rFonts w:ascii="宋体" w:hAnsi="宋体" w:cs="宋体" w:hint="eastAsia"/>
          <w:color w:val="000000"/>
          <w:szCs w:val="21"/>
          <w:vertAlign w:val="superscript"/>
        </w:rPr>
        <w:t>688—693</w:t>
      </w:r>
      <w:r w:rsidR="00AD0586">
        <w:rPr>
          <w:rFonts w:ascii="宋体" w:eastAsia="宋体" w:hAnsi="宋体" w:cs="宋体" w:hint="eastAsia"/>
          <w:bCs/>
          <w:color w:val="000000"/>
          <w:szCs w:val="21"/>
        </w:rPr>
        <w:t>此时</w:t>
      </w:r>
      <w:r w:rsidR="00F936D4">
        <w:rPr>
          <w:rFonts w:ascii="宋体" w:eastAsia="宋体" w:hAnsi="宋体" w:cs="宋体" w:hint="eastAsia"/>
          <w:bCs/>
          <w:color w:val="000000"/>
          <w:szCs w:val="21"/>
        </w:rPr>
        <w:t>最高院</w:t>
      </w:r>
      <w:r w:rsidR="00AD0586">
        <w:rPr>
          <w:rFonts w:ascii="宋体" w:eastAsia="宋体" w:hAnsi="宋体" w:cs="宋体" w:hint="eastAsia"/>
          <w:bCs/>
          <w:color w:val="000000"/>
          <w:szCs w:val="21"/>
        </w:rPr>
        <w:t>公报案例的作用就</w:t>
      </w:r>
      <w:proofErr w:type="gramStart"/>
      <w:r w:rsidR="00AD0586">
        <w:rPr>
          <w:rFonts w:ascii="宋体" w:eastAsia="宋体" w:hAnsi="宋体" w:cs="宋体" w:hint="eastAsia"/>
          <w:bCs/>
          <w:color w:val="000000"/>
          <w:szCs w:val="21"/>
        </w:rPr>
        <w:t>凸</w:t>
      </w:r>
      <w:proofErr w:type="gramEnd"/>
      <w:r w:rsidR="00AD0586">
        <w:rPr>
          <w:rFonts w:ascii="宋体" w:eastAsia="宋体" w:hAnsi="宋体" w:cs="宋体" w:hint="eastAsia"/>
          <w:bCs/>
          <w:color w:val="000000"/>
          <w:szCs w:val="21"/>
        </w:rPr>
        <w:t>显出来了。</w:t>
      </w:r>
      <w:r w:rsidR="00BE3807">
        <w:rPr>
          <w:rFonts w:ascii="宋体" w:eastAsia="宋体" w:hAnsi="宋体" w:cs="宋体" w:hint="eastAsia"/>
          <w:bCs/>
          <w:color w:val="000000"/>
          <w:szCs w:val="21"/>
        </w:rPr>
        <w:t>且最高院公报案例分为裁判摘要和</w:t>
      </w:r>
      <w:proofErr w:type="gramStart"/>
      <w:r w:rsidR="00BE3807">
        <w:rPr>
          <w:rFonts w:ascii="宋体" w:eastAsia="宋体" w:hAnsi="宋体" w:cs="宋体" w:hint="eastAsia"/>
          <w:bCs/>
          <w:color w:val="000000"/>
          <w:szCs w:val="21"/>
        </w:rPr>
        <w:t>裁判书</w:t>
      </w:r>
      <w:proofErr w:type="gramEnd"/>
      <w:r w:rsidR="00BE3807">
        <w:rPr>
          <w:rFonts w:ascii="宋体" w:eastAsia="宋体" w:hAnsi="宋体" w:cs="宋体" w:hint="eastAsia"/>
          <w:bCs/>
          <w:color w:val="000000"/>
          <w:szCs w:val="21"/>
        </w:rPr>
        <w:t>全文两部分，裁判摘要部分</w:t>
      </w:r>
      <w:r w:rsidR="00C24542">
        <w:rPr>
          <w:rFonts w:ascii="宋体" w:eastAsia="宋体" w:hAnsi="宋体" w:cs="宋体" w:hint="eastAsia"/>
          <w:bCs/>
          <w:color w:val="000000"/>
          <w:szCs w:val="21"/>
        </w:rPr>
        <w:t>是公报案例的精华</w:t>
      </w:r>
      <w:r w:rsidR="00BE3807">
        <w:rPr>
          <w:rFonts w:ascii="宋体" w:eastAsia="宋体" w:hAnsi="宋体" w:cs="宋体" w:hint="eastAsia"/>
          <w:bCs/>
          <w:color w:val="000000"/>
          <w:szCs w:val="21"/>
        </w:rPr>
        <w:t>，</w:t>
      </w:r>
      <w:r w:rsidR="00C24542">
        <w:rPr>
          <w:rFonts w:ascii="宋体" w:eastAsia="宋体" w:hAnsi="宋体" w:cs="宋体" w:hint="eastAsia"/>
          <w:bCs/>
          <w:color w:val="000000"/>
          <w:szCs w:val="21"/>
        </w:rPr>
        <w:t>是审判观点的总结，</w:t>
      </w:r>
      <w:r w:rsidR="00BE3807">
        <w:rPr>
          <w:rFonts w:ascii="宋体" w:eastAsia="宋体" w:hAnsi="宋体" w:cs="宋体" w:hint="eastAsia"/>
          <w:bCs/>
          <w:color w:val="000000"/>
          <w:szCs w:val="21"/>
        </w:rPr>
        <w:t>其代表的是最高人民法院的审判观点</w:t>
      </w:r>
      <w:r w:rsidR="003C2C80">
        <w:rPr>
          <w:rFonts w:ascii="宋体" w:eastAsia="宋体" w:hAnsi="宋体" w:cs="宋体" w:hint="eastAsia"/>
          <w:bCs/>
          <w:color w:val="000000"/>
          <w:szCs w:val="21"/>
        </w:rPr>
        <w:t>，目的也在于以对裁判规则说明的方式，</w:t>
      </w:r>
      <w:r w:rsidR="001D0D9B">
        <w:rPr>
          <w:rFonts w:ascii="宋体" w:eastAsia="宋体" w:hAnsi="宋体" w:cs="宋体" w:hint="eastAsia"/>
          <w:bCs/>
          <w:color w:val="000000"/>
          <w:szCs w:val="21"/>
        </w:rPr>
        <w:t>为各级法院提供类似案件的审判标本</w:t>
      </w:r>
      <w:r w:rsidR="00F97DEC">
        <w:rPr>
          <w:rFonts w:ascii="宋体" w:eastAsia="宋体" w:hAnsi="宋体" w:cs="宋体" w:hint="eastAsia"/>
          <w:bCs/>
          <w:color w:val="000000"/>
          <w:szCs w:val="21"/>
        </w:rPr>
        <w:t>和价值导向</w:t>
      </w:r>
      <w:r w:rsidR="001D0D9B">
        <w:rPr>
          <w:rFonts w:ascii="宋体" w:eastAsia="宋体" w:hAnsi="宋体" w:cs="宋体" w:hint="eastAsia"/>
          <w:bCs/>
          <w:color w:val="000000"/>
          <w:szCs w:val="21"/>
        </w:rPr>
        <w:t>。</w:t>
      </w:r>
      <w:r w:rsidR="00A623E3" w:rsidRPr="00567932">
        <w:rPr>
          <w:rFonts w:ascii="宋体" w:hAnsi="宋体" w:cs="宋体" w:hint="eastAsia"/>
          <w:color w:val="000000"/>
          <w:szCs w:val="21"/>
          <w:shd w:val="clear" w:color="auto" w:fill="FFFFFF"/>
          <w:vertAlign w:val="superscript"/>
        </w:rPr>
        <w:t>[</w:t>
      </w:r>
      <w:r w:rsidR="00A623E3" w:rsidRPr="00567932">
        <w:rPr>
          <w:rFonts w:ascii="宋体" w:hAnsi="宋体" w:cs="宋体"/>
          <w:color w:val="000000"/>
          <w:szCs w:val="21"/>
          <w:shd w:val="clear" w:color="auto" w:fill="FFFFFF"/>
          <w:vertAlign w:val="superscript"/>
        </w:rPr>
        <w:t>3]</w:t>
      </w:r>
      <w:r w:rsidR="001E0F1C">
        <w:rPr>
          <w:rFonts w:ascii="宋体" w:hAnsi="宋体" w:cs="宋体" w:hint="eastAsia"/>
          <w:color w:val="000000"/>
          <w:szCs w:val="21"/>
          <w:shd w:val="clear" w:color="auto" w:fill="FFFFFF"/>
          <w:vertAlign w:val="superscript"/>
        </w:rPr>
        <w:t>141—148</w:t>
      </w:r>
    </w:p>
    <w:p w:rsidR="00DB1A39" w:rsidRDefault="00DB1A39" w:rsidP="00116428">
      <w:pPr>
        <w:ind w:firstLineChars="200" w:firstLine="422"/>
        <w:rPr>
          <w:rFonts w:ascii="宋体" w:eastAsia="宋体" w:hAnsi="宋体" w:cs="宋体"/>
          <w:b/>
          <w:bCs/>
          <w:color w:val="000000"/>
          <w:szCs w:val="21"/>
        </w:rPr>
      </w:pPr>
      <w:r w:rsidRPr="00DB1A39">
        <w:rPr>
          <w:rFonts w:ascii="宋体" w:eastAsia="宋体" w:hAnsi="宋体" w:cs="宋体" w:hint="eastAsia"/>
          <w:b/>
          <w:bCs/>
          <w:color w:val="000000"/>
          <w:szCs w:val="21"/>
        </w:rPr>
        <w:t>（二）最高院公报案例的审核程序严格</w:t>
      </w:r>
    </w:p>
    <w:p w:rsidR="00F210EC" w:rsidRPr="00F210EC" w:rsidRDefault="00F210EC" w:rsidP="00F210EC">
      <w:pPr>
        <w:ind w:firstLineChars="200" w:firstLine="420"/>
        <w:rPr>
          <w:rFonts w:ascii="宋体" w:eastAsia="宋体" w:hAnsi="宋体" w:cs="宋体"/>
          <w:bCs/>
          <w:color w:val="000000"/>
          <w:szCs w:val="21"/>
        </w:rPr>
      </w:pPr>
      <w:r w:rsidRPr="00F210EC">
        <w:rPr>
          <w:rFonts w:ascii="宋体" w:eastAsia="宋体" w:hAnsi="宋体" w:cs="宋体" w:hint="eastAsia"/>
          <w:bCs/>
          <w:color w:val="000000"/>
          <w:szCs w:val="21"/>
        </w:rPr>
        <w:t>公报案例的审核程序较为严格，一般而言，地方法院公报案例的报送采取逐级报送的工作原则。基层人民法院或者中级人民法院原则上只能向所属区域的高级人民法院报送指导性</w:t>
      </w:r>
      <w:r w:rsidRPr="00F210EC">
        <w:rPr>
          <w:rFonts w:ascii="宋体" w:eastAsia="宋体" w:hAnsi="宋体" w:cs="宋体" w:hint="eastAsia"/>
          <w:bCs/>
          <w:color w:val="000000"/>
          <w:szCs w:val="21"/>
        </w:rPr>
        <w:lastRenderedPageBreak/>
        <w:t>案例，</w:t>
      </w:r>
      <w:proofErr w:type="gramStart"/>
      <w:r w:rsidRPr="00F210EC">
        <w:rPr>
          <w:rFonts w:ascii="宋体" w:eastAsia="宋体" w:hAnsi="宋体" w:cs="宋体" w:hint="eastAsia"/>
          <w:bCs/>
          <w:color w:val="000000"/>
          <w:szCs w:val="21"/>
        </w:rPr>
        <w:t>且前提</w:t>
      </w:r>
      <w:proofErr w:type="gramEnd"/>
      <w:r w:rsidRPr="00F210EC">
        <w:rPr>
          <w:rFonts w:ascii="宋体" w:eastAsia="宋体" w:hAnsi="宋体" w:cs="宋体" w:hint="eastAsia"/>
          <w:bCs/>
          <w:color w:val="000000"/>
          <w:szCs w:val="21"/>
        </w:rPr>
        <w:t>是必须先提交本院审判委员会讨论决定通过。指导性案例报送至高级人民法院之后，高级人民法院的相关业务庭召开会议讨论研究后决定是否提交本院研究室，报送本院研究室后再提交本院的审判委员会，最终决定是否向最高人民法院推荐的是高级人民法院的审判委员会。原则上所有的拟</w:t>
      </w:r>
      <w:proofErr w:type="gramStart"/>
      <w:r w:rsidRPr="00F210EC">
        <w:rPr>
          <w:rFonts w:ascii="宋体" w:eastAsia="宋体" w:hAnsi="宋体" w:cs="宋体" w:hint="eastAsia"/>
          <w:bCs/>
          <w:color w:val="000000"/>
          <w:szCs w:val="21"/>
        </w:rPr>
        <w:t>报最高</w:t>
      </w:r>
      <w:proofErr w:type="gramEnd"/>
      <w:r w:rsidRPr="00F210EC">
        <w:rPr>
          <w:rFonts w:ascii="宋体" w:eastAsia="宋体" w:hAnsi="宋体" w:cs="宋体" w:hint="eastAsia"/>
          <w:bCs/>
          <w:color w:val="000000"/>
          <w:szCs w:val="21"/>
        </w:rPr>
        <w:t>院公报案例只能逐级报送，例外情况下至少需经高级人民法院相关业务庭召开会议讨论确定并报最高人民法院，且须向高级人民法院研究室备案。</w:t>
      </w:r>
    </w:p>
    <w:p w:rsidR="00F210EC" w:rsidRPr="00F210EC" w:rsidRDefault="00F210EC" w:rsidP="00F210EC">
      <w:pPr>
        <w:ind w:firstLineChars="200" w:firstLine="420"/>
        <w:rPr>
          <w:rFonts w:ascii="宋体" w:eastAsia="宋体" w:hAnsi="宋体" w:cs="宋体"/>
          <w:bCs/>
          <w:color w:val="000000"/>
          <w:szCs w:val="21"/>
        </w:rPr>
      </w:pPr>
      <w:r w:rsidRPr="00F210EC">
        <w:rPr>
          <w:rFonts w:ascii="宋体" w:eastAsia="宋体" w:hAnsi="宋体" w:cs="宋体" w:hint="eastAsia"/>
          <w:bCs/>
          <w:color w:val="000000"/>
          <w:szCs w:val="21"/>
        </w:rPr>
        <w:t>经过层层审报，拟报送最高院公报的案例最终到达最高人民法院的案例指导工作办公室，由其审查、遴选所有的送报案例，经最高人民法院的案例指导工作办公室初步审查遴选后，认为符合条件的，再报送至最高人民法院相关的业务庭。相关的业务庭通过审查，认为符合规定的，最终报请最高人民法院院长或者主管副院长提交最高人民法院审判委员会讨论决定。经审判委员会讨论决定通过后，统一在《最高人民法院公报》、最高人民法院网站、《人民法院报》上公开发布。</w:t>
      </w:r>
    </w:p>
    <w:p w:rsidR="00F210EC" w:rsidRPr="00F210EC" w:rsidRDefault="00F210EC" w:rsidP="00F210EC">
      <w:pPr>
        <w:ind w:firstLineChars="200" w:firstLine="420"/>
        <w:rPr>
          <w:rFonts w:ascii="宋体" w:eastAsia="宋体" w:hAnsi="宋体" w:cs="宋体"/>
          <w:bCs/>
          <w:color w:val="000000"/>
          <w:szCs w:val="21"/>
        </w:rPr>
      </w:pPr>
      <w:r w:rsidRPr="00F210EC">
        <w:rPr>
          <w:rFonts w:ascii="宋体" w:eastAsia="宋体" w:hAnsi="宋体" w:cs="宋体" w:hint="eastAsia"/>
          <w:bCs/>
          <w:color w:val="000000"/>
          <w:szCs w:val="21"/>
        </w:rPr>
        <w:t>从地方法院到最高人民法院，公报案例需经层层审核与讨论通过、层层把关，最终才得以以最高院公报案例的形式发布。正是因为最高院公报案例审核程序的严格性，各级法院对其具有较深的信任度，由此在办案过程中视最高院公报案例为审判标本。</w:t>
      </w:r>
    </w:p>
    <w:p w:rsidR="00DB1A39" w:rsidRDefault="00DB1A39" w:rsidP="00116428">
      <w:pPr>
        <w:ind w:firstLineChars="200" w:firstLine="422"/>
        <w:rPr>
          <w:rFonts w:ascii="宋体" w:eastAsia="宋体" w:hAnsi="宋体" w:cs="宋体"/>
          <w:b/>
          <w:bCs/>
          <w:color w:val="000000"/>
          <w:szCs w:val="21"/>
        </w:rPr>
      </w:pPr>
      <w:r w:rsidRPr="00DB1A39">
        <w:rPr>
          <w:rFonts w:ascii="宋体" w:eastAsia="宋体" w:hAnsi="宋体" w:cs="宋体" w:hint="eastAsia"/>
          <w:b/>
          <w:bCs/>
          <w:color w:val="000000"/>
          <w:szCs w:val="21"/>
        </w:rPr>
        <w:t>（三）最高院公报案例因其权威性而具有很强的影响力</w:t>
      </w:r>
    </w:p>
    <w:p w:rsidR="001D6C31" w:rsidRDefault="002E09F7" w:rsidP="00C15211">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虽然最高院从未承认</w:t>
      </w:r>
      <w:r w:rsidR="007C0C30">
        <w:rPr>
          <w:rFonts w:ascii="宋体" w:eastAsia="宋体" w:hAnsi="宋体" w:cs="宋体" w:hint="eastAsia"/>
          <w:bCs/>
          <w:color w:val="000000"/>
          <w:szCs w:val="21"/>
        </w:rPr>
        <w:t>最高院公报案例在各级法院审判时“应当参照”，而只是说“可以参考、借鉴”，法学界普遍认同一个共识也是：最高院公报案例不是指导性案例，没有强制约束力。</w:t>
      </w:r>
      <w:r w:rsidR="00A623E3" w:rsidRPr="00567932">
        <w:rPr>
          <w:rFonts w:ascii="宋体" w:hAnsi="宋体" w:cs="宋体" w:hint="eastAsia"/>
          <w:color w:val="000000"/>
          <w:szCs w:val="21"/>
          <w:shd w:val="clear" w:color="auto" w:fill="FFFFFF"/>
          <w:vertAlign w:val="superscript"/>
        </w:rPr>
        <w:t>[</w:t>
      </w:r>
      <w:r w:rsidR="00A623E3" w:rsidRPr="00567932">
        <w:rPr>
          <w:rFonts w:ascii="宋体" w:hAnsi="宋体" w:cs="宋体"/>
          <w:color w:val="000000"/>
          <w:szCs w:val="21"/>
          <w:shd w:val="clear" w:color="auto" w:fill="FFFFFF"/>
          <w:vertAlign w:val="superscript"/>
        </w:rPr>
        <w:t>4]</w:t>
      </w:r>
      <w:r w:rsidR="001E0F1C">
        <w:rPr>
          <w:rFonts w:ascii="宋体" w:hAnsi="宋体" w:cs="宋体" w:hint="eastAsia"/>
          <w:color w:val="000000"/>
          <w:szCs w:val="21"/>
          <w:shd w:val="clear" w:color="auto" w:fill="FFFFFF"/>
          <w:vertAlign w:val="superscript"/>
        </w:rPr>
        <w:t>65—71</w:t>
      </w:r>
      <w:r w:rsidR="00E216D0">
        <w:rPr>
          <w:rFonts w:ascii="宋体" w:eastAsia="宋体" w:hAnsi="宋体" w:cs="宋体" w:hint="eastAsia"/>
          <w:bCs/>
          <w:color w:val="000000"/>
          <w:szCs w:val="21"/>
        </w:rPr>
        <w:t>但是</w:t>
      </w:r>
      <w:r w:rsidR="00570432">
        <w:rPr>
          <w:rFonts w:ascii="宋体" w:eastAsia="宋体" w:hAnsi="宋体" w:cs="宋体" w:hint="eastAsia"/>
          <w:bCs/>
          <w:color w:val="000000"/>
          <w:szCs w:val="21"/>
        </w:rPr>
        <w:t>从</w:t>
      </w:r>
      <w:proofErr w:type="gramStart"/>
      <w:r w:rsidR="00570432">
        <w:rPr>
          <w:rFonts w:ascii="宋体" w:eastAsia="宋体" w:hAnsi="宋体" w:cs="宋体" w:hint="eastAsia"/>
          <w:bCs/>
          <w:color w:val="000000"/>
          <w:szCs w:val="21"/>
        </w:rPr>
        <w:t>司法大</w:t>
      </w:r>
      <w:proofErr w:type="gramEnd"/>
      <w:r w:rsidR="00570432">
        <w:rPr>
          <w:rFonts w:ascii="宋体" w:eastAsia="宋体" w:hAnsi="宋体" w:cs="宋体" w:hint="eastAsia"/>
          <w:bCs/>
          <w:color w:val="000000"/>
          <w:szCs w:val="21"/>
        </w:rPr>
        <w:t>数据分析的结果来看，法院直接或间接肯定最高院公报案例指导效力的情况十分普遍，涉及各大省级区域以及各级法院</w:t>
      </w:r>
      <w:r w:rsidR="00F936D4">
        <w:rPr>
          <w:rFonts w:ascii="宋体" w:eastAsia="宋体" w:hAnsi="宋体" w:cs="宋体" w:hint="eastAsia"/>
          <w:bCs/>
          <w:color w:val="000000"/>
          <w:szCs w:val="21"/>
        </w:rPr>
        <w:t>，尤其是基层法院，适用的</w:t>
      </w:r>
      <w:r w:rsidR="00864768">
        <w:rPr>
          <w:rFonts w:ascii="宋体" w:eastAsia="宋体" w:hAnsi="宋体" w:cs="宋体" w:hint="eastAsia"/>
          <w:bCs/>
          <w:color w:val="000000"/>
          <w:szCs w:val="21"/>
        </w:rPr>
        <w:t>概率相对更大</w:t>
      </w:r>
      <w:r w:rsidR="00570432">
        <w:rPr>
          <w:rFonts w:ascii="宋体" w:eastAsia="宋体" w:hAnsi="宋体" w:cs="宋体" w:hint="eastAsia"/>
          <w:bCs/>
          <w:color w:val="000000"/>
          <w:szCs w:val="21"/>
        </w:rPr>
        <w:t>。最高院公报案例代表的是最高院的司法观点，在全国范围内具有典型性和权威性</w:t>
      </w:r>
      <w:r w:rsidR="001D6C31">
        <w:rPr>
          <w:rFonts w:ascii="宋体" w:eastAsia="宋体" w:hAnsi="宋体" w:cs="宋体" w:hint="eastAsia"/>
          <w:bCs/>
          <w:color w:val="000000"/>
          <w:szCs w:val="21"/>
        </w:rPr>
        <w:t>，因此各级法院都高度重视，其影响范围十分广泛。</w:t>
      </w:r>
    </w:p>
    <w:p w:rsidR="00943CAB" w:rsidRDefault="00201E38" w:rsidP="00943CAB">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最高院公报案例的权威性主要来自其是经最高院审判委员会讨论决定、在官方权威的平台发布，且案例本身具有巨大的社会影响性和参照价值性。</w:t>
      </w:r>
      <w:r w:rsidR="00351155">
        <w:rPr>
          <w:rFonts w:ascii="宋体" w:eastAsia="宋体" w:hAnsi="宋体" w:cs="宋体" w:hint="eastAsia"/>
          <w:bCs/>
          <w:color w:val="000000"/>
          <w:szCs w:val="21"/>
        </w:rPr>
        <w:t>凡是被最高院公报出来的案例，</w:t>
      </w:r>
      <w:r w:rsidR="00864768">
        <w:rPr>
          <w:rFonts w:ascii="宋体" w:eastAsia="宋体" w:hAnsi="宋体" w:cs="宋体" w:hint="eastAsia"/>
          <w:bCs/>
          <w:color w:val="000000"/>
          <w:szCs w:val="21"/>
        </w:rPr>
        <w:t>代表的是最高人民法院所认可的观点，案例</w:t>
      </w:r>
      <w:r w:rsidR="00351155">
        <w:rPr>
          <w:rFonts w:ascii="宋体" w:eastAsia="宋体" w:hAnsi="宋体" w:cs="宋体" w:hint="eastAsia"/>
          <w:bCs/>
          <w:color w:val="000000"/>
          <w:szCs w:val="21"/>
        </w:rPr>
        <w:t>一经发布，则对</w:t>
      </w:r>
      <w:r w:rsidR="00864768">
        <w:rPr>
          <w:rFonts w:ascii="宋体" w:eastAsia="宋体" w:hAnsi="宋体" w:cs="宋体" w:hint="eastAsia"/>
          <w:bCs/>
          <w:color w:val="000000"/>
          <w:szCs w:val="21"/>
        </w:rPr>
        <w:t>国内外公开。经过公示后，最高院公报案例在不成文中</w:t>
      </w:r>
      <w:r w:rsidR="003F4B56">
        <w:rPr>
          <w:rFonts w:ascii="宋体" w:eastAsia="宋体" w:hAnsi="宋体" w:cs="宋体" w:hint="eastAsia"/>
          <w:bCs/>
          <w:color w:val="000000"/>
          <w:szCs w:val="21"/>
        </w:rPr>
        <w:t>形式上</w:t>
      </w:r>
      <w:r w:rsidR="00864768">
        <w:rPr>
          <w:rFonts w:ascii="宋体" w:eastAsia="宋体" w:hAnsi="宋体" w:cs="宋体" w:hint="eastAsia"/>
          <w:bCs/>
          <w:color w:val="000000"/>
          <w:szCs w:val="21"/>
        </w:rPr>
        <w:t>被赋予</w:t>
      </w:r>
      <w:r w:rsidR="00351155">
        <w:rPr>
          <w:rFonts w:ascii="宋体" w:eastAsia="宋体" w:hAnsi="宋体" w:cs="宋体" w:hint="eastAsia"/>
          <w:bCs/>
          <w:color w:val="000000"/>
          <w:szCs w:val="21"/>
        </w:rPr>
        <w:t>一定的指导作用，</w:t>
      </w:r>
      <w:r w:rsidR="003F4B56">
        <w:rPr>
          <w:rFonts w:ascii="宋体" w:eastAsia="宋体" w:hAnsi="宋体" w:cs="宋体" w:hint="eastAsia"/>
          <w:bCs/>
          <w:color w:val="000000"/>
          <w:szCs w:val="21"/>
        </w:rPr>
        <w:t>事实上</w:t>
      </w:r>
      <w:r w:rsidR="00943CAB">
        <w:rPr>
          <w:rFonts w:ascii="宋体" w:eastAsia="宋体" w:hAnsi="宋体" w:cs="宋体" w:hint="eastAsia"/>
          <w:bCs/>
          <w:color w:val="000000"/>
          <w:szCs w:val="21"/>
        </w:rPr>
        <w:t>产生一定的约束力。</w:t>
      </w:r>
    </w:p>
    <w:p w:rsidR="006D48A1" w:rsidRDefault="00570432" w:rsidP="00116428">
      <w:pPr>
        <w:ind w:firstLineChars="200" w:firstLine="420"/>
        <w:rPr>
          <w:rFonts w:ascii="宋体" w:eastAsia="宋体" w:hAnsi="宋体" w:cs="宋体"/>
          <w:bCs/>
          <w:color w:val="000000"/>
          <w:szCs w:val="21"/>
        </w:rPr>
      </w:pPr>
      <w:r>
        <w:rPr>
          <w:rFonts w:ascii="宋体" w:eastAsia="宋体" w:hAnsi="宋体" w:cs="宋体" w:hint="eastAsia"/>
          <w:bCs/>
          <w:color w:val="000000"/>
          <w:szCs w:val="21"/>
        </w:rPr>
        <w:t>此外，</w:t>
      </w:r>
      <w:r w:rsidR="00004A6A">
        <w:rPr>
          <w:rFonts w:ascii="宋体" w:eastAsia="宋体" w:hAnsi="宋体" w:cs="宋体" w:hint="eastAsia"/>
          <w:bCs/>
          <w:color w:val="000000"/>
          <w:szCs w:val="21"/>
        </w:rPr>
        <w:t>基于最高院公报案例的权威性，</w:t>
      </w:r>
      <w:r w:rsidR="00C15211">
        <w:rPr>
          <w:rFonts w:ascii="宋体" w:eastAsia="宋体" w:hAnsi="宋体" w:cs="宋体" w:hint="eastAsia"/>
          <w:bCs/>
          <w:color w:val="000000"/>
          <w:szCs w:val="21"/>
        </w:rPr>
        <w:t>由于</w:t>
      </w:r>
      <w:r>
        <w:rPr>
          <w:rFonts w:ascii="宋体" w:eastAsia="宋体" w:hAnsi="宋体" w:cs="宋体" w:hint="eastAsia"/>
          <w:bCs/>
          <w:color w:val="000000"/>
          <w:szCs w:val="21"/>
        </w:rPr>
        <w:t>法律对此</w:t>
      </w:r>
      <w:r w:rsidR="00C15211">
        <w:rPr>
          <w:rFonts w:ascii="宋体" w:eastAsia="宋体" w:hAnsi="宋体" w:cs="宋体" w:hint="eastAsia"/>
          <w:bCs/>
          <w:color w:val="000000"/>
          <w:szCs w:val="21"/>
        </w:rPr>
        <w:t>没有强制性的规定，法官在审判时是否参照最高院公报案例以及适用程度如何，都不影响法官在法律</w:t>
      </w:r>
      <w:r w:rsidR="00004A6A">
        <w:rPr>
          <w:rFonts w:ascii="宋体" w:eastAsia="宋体" w:hAnsi="宋体" w:cs="宋体" w:hint="eastAsia"/>
          <w:bCs/>
          <w:color w:val="000000"/>
          <w:szCs w:val="21"/>
        </w:rPr>
        <w:t>允许</w:t>
      </w:r>
      <w:r w:rsidR="00C15211">
        <w:rPr>
          <w:rFonts w:ascii="宋体" w:eastAsia="宋体" w:hAnsi="宋体" w:cs="宋体" w:hint="eastAsia"/>
          <w:bCs/>
          <w:color w:val="000000"/>
          <w:szCs w:val="21"/>
        </w:rPr>
        <w:t>范围</w:t>
      </w:r>
      <w:r w:rsidR="00004A6A">
        <w:rPr>
          <w:rFonts w:ascii="宋体" w:eastAsia="宋体" w:hAnsi="宋体" w:cs="宋体" w:hint="eastAsia"/>
          <w:bCs/>
          <w:color w:val="000000"/>
          <w:szCs w:val="21"/>
        </w:rPr>
        <w:t>内自由裁量权的行使，也不会使其受</w:t>
      </w:r>
      <w:r>
        <w:rPr>
          <w:rFonts w:ascii="宋体" w:eastAsia="宋体" w:hAnsi="宋体" w:cs="宋体" w:hint="eastAsia"/>
          <w:bCs/>
          <w:color w:val="000000"/>
          <w:szCs w:val="21"/>
        </w:rPr>
        <w:t>到任何处罚。</w:t>
      </w:r>
      <w:r w:rsidR="00334A11" w:rsidRPr="00334A11">
        <w:rPr>
          <w:rFonts w:ascii="宋体" w:eastAsia="宋体" w:hAnsi="宋体" w:cs="宋体" w:hint="eastAsia"/>
          <w:bCs/>
          <w:color w:val="000000"/>
          <w:szCs w:val="21"/>
        </w:rPr>
        <w:t>相反，如果没有参照相似的指导性案例</w:t>
      </w:r>
      <w:proofErr w:type="gramStart"/>
      <w:r w:rsidR="00334A11" w:rsidRPr="00334A11">
        <w:rPr>
          <w:rFonts w:ascii="宋体" w:eastAsia="宋体" w:hAnsi="宋体" w:cs="宋体" w:hint="eastAsia"/>
          <w:bCs/>
          <w:color w:val="000000"/>
          <w:szCs w:val="21"/>
        </w:rPr>
        <w:t>作出</w:t>
      </w:r>
      <w:proofErr w:type="gramEnd"/>
      <w:r w:rsidR="00334A11" w:rsidRPr="00334A11">
        <w:rPr>
          <w:rFonts w:ascii="宋体" w:eastAsia="宋体" w:hAnsi="宋体" w:cs="宋体" w:hint="eastAsia"/>
          <w:bCs/>
          <w:color w:val="000000"/>
          <w:szCs w:val="21"/>
        </w:rPr>
        <w:t>裁判，还可能会要求</w:t>
      </w:r>
      <w:proofErr w:type="gramStart"/>
      <w:r w:rsidR="00334A11" w:rsidRPr="00334A11">
        <w:rPr>
          <w:rFonts w:ascii="宋体" w:eastAsia="宋体" w:hAnsi="宋体" w:cs="宋体" w:hint="eastAsia"/>
          <w:bCs/>
          <w:color w:val="000000"/>
          <w:szCs w:val="21"/>
        </w:rPr>
        <w:t>写相关</w:t>
      </w:r>
      <w:proofErr w:type="gramEnd"/>
      <w:r w:rsidR="00334A11" w:rsidRPr="00334A11">
        <w:rPr>
          <w:rFonts w:ascii="宋体" w:eastAsia="宋体" w:hAnsi="宋体" w:cs="宋体" w:hint="eastAsia"/>
          <w:bCs/>
          <w:color w:val="000000"/>
          <w:szCs w:val="21"/>
        </w:rPr>
        <w:t>的书面报告。</w:t>
      </w:r>
      <w:r w:rsidR="009B7C0E">
        <w:rPr>
          <w:rFonts w:ascii="宋体" w:eastAsia="宋体" w:hAnsi="宋体" w:cs="宋体" w:hint="eastAsia"/>
          <w:bCs/>
          <w:color w:val="000000"/>
          <w:szCs w:val="21"/>
        </w:rPr>
        <w:t>同时</w:t>
      </w:r>
      <w:r w:rsidR="00943CAB">
        <w:rPr>
          <w:rFonts w:ascii="宋体" w:eastAsia="宋体" w:hAnsi="宋体" w:cs="宋体" w:hint="eastAsia"/>
          <w:bCs/>
          <w:color w:val="000000"/>
          <w:szCs w:val="21"/>
        </w:rPr>
        <w:t>，法官在审判时参照最高院公报案例的做法有利于加强其审判的公信力与说服力。</w:t>
      </w:r>
      <w:r w:rsidR="006D48A1">
        <w:rPr>
          <w:rFonts w:ascii="宋体" w:eastAsia="宋体" w:hAnsi="宋体" w:cs="宋体" w:hint="eastAsia"/>
          <w:bCs/>
          <w:color w:val="000000"/>
          <w:szCs w:val="21"/>
        </w:rPr>
        <w:t>即使是出现审判有误的情况下进行二次审判，在未违背裁判原则的前提下，上级法院对同一法律问题的认识态度和裁判方式倾向于最高</w:t>
      </w:r>
      <w:proofErr w:type="gramStart"/>
      <w:r w:rsidR="006D48A1">
        <w:rPr>
          <w:rFonts w:ascii="宋体" w:eastAsia="宋体" w:hAnsi="宋体" w:cs="宋体" w:hint="eastAsia"/>
          <w:bCs/>
          <w:color w:val="000000"/>
          <w:szCs w:val="21"/>
        </w:rPr>
        <w:t>院观点</w:t>
      </w:r>
      <w:proofErr w:type="gramEnd"/>
      <w:r w:rsidR="006D48A1">
        <w:rPr>
          <w:rFonts w:ascii="宋体" w:eastAsia="宋体" w:hAnsi="宋体" w:cs="宋体" w:hint="eastAsia"/>
          <w:bCs/>
          <w:color w:val="000000"/>
          <w:szCs w:val="21"/>
        </w:rPr>
        <w:t>的可能性更高。</w:t>
      </w:r>
    </w:p>
    <w:p w:rsidR="00334A11" w:rsidRPr="00334A11" w:rsidRDefault="00445D52" w:rsidP="00116428">
      <w:pPr>
        <w:ind w:firstLineChars="200" w:firstLine="422"/>
        <w:rPr>
          <w:rFonts w:ascii="宋体" w:eastAsia="宋体" w:hAnsi="宋体" w:cs="宋体"/>
          <w:b/>
          <w:bCs/>
          <w:color w:val="000000" w:themeColor="text1"/>
          <w:szCs w:val="21"/>
        </w:rPr>
      </w:pPr>
      <w:r>
        <w:rPr>
          <w:rFonts w:ascii="宋体" w:eastAsia="宋体" w:hAnsi="宋体" w:cs="宋体" w:hint="eastAsia"/>
          <w:b/>
          <w:bCs/>
          <w:color w:val="000000" w:themeColor="text1"/>
          <w:szCs w:val="21"/>
        </w:rPr>
        <w:t>三</w:t>
      </w:r>
      <w:r w:rsidR="00334A11" w:rsidRPr="00334A11">
        <w:rPr>
          <w:rFonts w:ascii="宋体" w:eastAsia="宋体" w:hAnsi="宋体" w:cs="宋体" w:hint="eastAsia"/>
          <w:b/>
          <w:bCs/>
          <w:color w:val="000000" w:themeColor="text1"/>
          <w:szCs w:val="21"/>
        </w:rPr>
        <w:t>、最高院公报案例适用问题探析</w:t>
      </w:r>
    </w:p>
    <w:p w:rsidR="00334A11" w:rsidRPr="00334A11" w:rsidRDefault="00334A11" w:rsidP="00116428">
      <w:pPr>
        <w:ind w:firstLineChars="200" w:firstLine="422"/>
        <w:rPr>
          <w:rFonts w:ascii="宋体" w:eastAsia="宋体" w:hAnsi="宋体" w:cs="宋体"/>
          <w:b/>
          <w:bCs/>
          <w:color w:val="000000" w:themeColor="text1"/>
          <w:szCs w:val="21"/>
        </w:rPr>
      </w:pPr>
      <w:r w:rsidRPr="00334A11">
        <w:rPr>
          <w:rFonts w:ascii="宋体" w:eastAsia="宋体" w:hAnsi="宋体" w:cs="宋体" w:hint="eastAsia"/>
          <w:b/>
          <w:bCs/>
          <w:color w:val="000000" w:themeColor="text1"/>
          <w:szCs w:val="21"/>
        </w:rPr>
        <w:t>（一）</w:t>
      </w:r>
      <w:r w:rsidR="00810B2C">
        <w:rPr>
          <w:rFonts w:ascii="宋体" w:eastAsia="宋体" w:hAnsi="宋体" w:cs="宋体" w:hint="eastAsia"/>
          <w:b/>
          <w:bCs/>
          <w:color w:val="000000" w:themeColor="text1"/>
          <w:szCs w:val="21"/>
        </w:rPr>
        <w:t>参照</w:t>
      </w:r>
      <w:r w:rsidRPr="00334A11">
        <w:rPr>
          <w:rFonts w:ascii="宋体" w:eastAsia="宋体" w:hAnsi="宋体" w:cs="宋体" w:hint="eastAsia"/>
          <w:b/>
          <w:bCs/>
          <w:color w:val="000000" w:themeColor="text1"/>
          <w:szCs w:val="21"/>
        </w:rPr>
        <w:t>适用的必要性</w:t>
      </w:r>
    </w:p>
    <w:p w:rsidR="00445D52" w:rsidRPr="00334A11" w:rsidRDefault="00445D52" w:rsidP="00445D52">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司法公正是司法活动的最高追求和最终目的，司法公正是实质上的公正而非形式上的公正，既要形式合法又要实质合理。就如两例相似的继承纠纷，最高院公报案例的判决结果为所有继承人均等继承被继承人全部遗产，但是在判案</w:t>
      </w:r>
      <w:proofErr w:type="gramStart"/>
      <w:r w:rsidRPr="00334A11">
        <w:rPr>
          <w:rFonts w:ascii="宋体" w:eastAsia="宋体" w:hAnsi="宋体" w:cs="宋体" w:hint="eastAsia"/>
          <w:bCs/>
          <w:color w:val="000000" w:themeColor="text1"/>
          <w:szCs w:val="21"/>
        </w:rPr>
        <w:t>件由于</w:t>
      </w:r>
      <w:proofErr w:type="gramEnd"/>
      <w:r w:rsidRPr="00334A11">
        <w:rPr>
          <w:rFonts w:ascii="宋体" w:eastAsia="宋体" w:hAnsi="宋体" w:cs="宋体" w:hint="eastAsia"/>
          <w:bCs/>
          <w:color w:val="000000" w:themeColor="text1"/>
          <w:szCs w:val="21"/>
        </w:rPr>
        <w:t>某些特殊情况，所有继承人均等继承被继承人的全部遗产并非实质上的正义之举。从情理的层面来看，适当保护“弱势</w:t>
      </w:r>
      <w:r w:rsidRPr="00334A11">
        <w:rPr>
          <w:rFonts w:ascii="宋体" w:eastAsia="宋体" w:hAnsi="宋体" w:cs="宋体"/>
          <w:bCs/>
          <w:color w:val="000000" w:themeColor="text1"/>
          <w:szCs w:val="21"/>
        </w:rPr>
        <w:t>”</w:t>
      </w:r>
      <w:r w:rsidRPr="00334A11">
        <w:rPr>
          <w:rFonts w:ascii="宋体" w:eastAsia="宋体" w:hAnsi="宋体" w:cs="宋体" w:hint="eastAsia"/>
          <w:bCs/>
          <w:color w:val="000000" w:themeColor="text1"/>
          <w:szCs w:val="21"/>
        </w:rPr>
        <w:t>或者“落难”群体或许更加符合最高院的审判精神。因此，参照并非生搬硬套判决结果，而是坚持正确的审判规则、贯彻合理的审判精神，以实质公正为最终目的。</w:t>
      </w:r>
      <w:r w:rsidR="00A623E3" w:rsidRPr="00567932">
        <w:rPr>
          <w:rFonts w:ascii="宋体" w:hAnsi="宋体" w:cs="宋体" w:hint="eastAsia"/>
          <w:color w:val="000000"/>
          <w:szCs w:val="21"/>
          <w:shd w:val="clear" w:color="auto" w:fill="FFFFFF"/>
          <w:vertAlign w:val="superscript"/>
        </w:rPr>
        <w:t>[</w:t>
      </w:r>
      <w:r w:rsidR="00A623E3" w:rsidRPr="00567932">
        <w:rPr>
          <w:rFonts w:ascii="宋体" w:hAnsi="宋体" w:cs="宋体"/>
          <w:color w:val="000000"/>
          <w:szCs w:val="21"/>
          <w:shd w:val="clear" w:color="auto" w:fill="FFFFFF"/>
          <w:vertAlign w:val="superscript"/>
        </w:rPr>
        <w:t>5]</w:t>
      </w:r>
      <w:r w:rsidR="007E6A5E">
        <w:rPr>
          <w:rFonts w:ascii="宋体" w:hAnsi="宋体" w:cs="宋体" w:hint="eastAsia"/>
          <w:color w:val="000000"/>
          <w:szCs w:val="21"/>
          <w:shd w:val="clear" w:color="auto" w:fill="FFFFFF"/>
          <w:vertAlign w:val="superscript"/>
        </w:rPr>
        <w:t>86—94</w:t>
      </w:r>
    </w:p>
    <w:p w:rsidR="00445D52" w:rsidRPr="00334A11" w:rsidRDefault="00445D52" w:rsidP="00445D52">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从最高人民法院公报中的司法统计数据来看，最新一年的统计结果即2017年，全国刑事案件和民事案件中经过二次审判的数量均占总案件数的10%左右，这说明实现我国全面的司法公正仍需</w:t>
      </w:r>
      <w:r w:rsidRPr="005E0695">
        <w:rPr>
          <w:rFonts w:ascii="宋体" w:eastAsia="宋体" w:hAnsi="宋体" w:cs="宋体" w:hint="eastAsia"/>
          <w:bCs/>
          <w:color w:val="000000" w:themeColor="text1"/>
          <w:szCs w:val="21"/>
        </w:rPr>
        <w:t>努力。</w:t>
      </w:r>
      <w:r w:rsidRPr="005E0695">
        <w:rPr>
          <w:rFonts w:ascii="宋体" w:eastAsia="宋体" w:hAnsi="宋体" w:cs="Times New Roman"/>
          <w:color w:val="000000" w:themeColor="text1"/>
          <w:sz w:val="18"/>
          <w:szCs w:val="18"/>
          <w:vertAlign w:val="superscript"/>
        </w:rPr>
        <w:t>⑫</w:t>
      </w:r>
      <w:r w:rsidRPr="005E0695">
        <w:rPr>
          <w:rFonts w:ascii="宋体" w:eastAsia="宋体" w:hAnsi="宋体" w:cs="宋体" w:hint="eastAsia"/>
          <w:bCs/>
          <w:color w:val="000000" w:themeColor="text1"/>
          <w:szCs w:val="21"/>
        </w:rPr>
        <w:t>就</w:t>
      </w:r>
      <w:r w:rsidRPr="00334A11">
        <w:rPr>
          <w:rFonts w:ascii="宋体" w:eastAsia="宋体" w:hAnsi="宋体" w:cs="宋体" w:hint="eastAsia"/>
          <w:bCs/>
          <w:color w:val="000000" w:themeColor="text1"/>
          <w:szCs w:val="21"/>
        </w:rPr>
        <w:t>目前形势而言，最高院公报案例的数量已经远远超过指导性案例，在很大程度上最高院公报案例既弥补了法律规定的漏洞，也弥补了指导性案例示例不全面的缺陷。最高院公报案例示范正是因其标准的审判方式、正确的价值取向，才得以发挥较大的</w:t>
      </w:r>
      <w:r w:rsidRPr="00334A11">
        <w:rPr>
          <w:rFonts w:ascii="宋体" w:eastAsia="宋体" w:hAnsi="宋体" w:cs="宋体" w:hint="eastAsia"/>
          <w:bCs/>
          <w:color w:val="000000" w:themeColor="text1"/>
          <w:szCs w:val="21"/>
        </w:rPr>
        <w:lastRenderedPageBreak/>
        <w:t>指导作用，最高人民法院公布的公报案例更是代表着全国最高水平的审判观点和理论观。</w:t>
      </w:r>
      <w:r w:rsidR="00A623E3" w:rsidRPr="00567932">
        <w:rPr>
          <w:rFonts w:ascii="宋体" w:hAnsi="宋体" w:cs="宋体" w:hint="eastAsia"/>
          <w:color w:val="000000"/>
          <w:szCs w:val="21"/>
          <w:shd w:val="clear" w:color="auto" w:fill="FFFFFF"/>
          <w:vertAlign w:val="superscript"/>
        </w:rPr>
        <w:t>[</w:t>
      </w:r>
      <w:r w:rsidR="00A623E3" w:rsidRPr="00567932">
        <w:rPr>
          <w:rFonts w:ascii="宋体" w:hAnsi="宋体" w:cs="宋体"/>
          <w:color w:val="000000"/>
          <w:szCs w:val="21"/>
          <w:shd w:val="clear" w:color="auto" w:fill="FFFFFF"/>
          <w:vertAlign w:val="superscript"/>
        </w:rPr>
        <w:t>6]</w:t>
      </w:r>
      <w:r w:rsidR="008D3323">
        <w:rPr>
          <w:rFonts w:ascii="宋体" w:hAnsi="宋体" w:cs="宋体" w:hint="eastAsia"/>
          <w:color w:val="000000"/>
          <w:szCs w:val="21"/>
          <w:shd w:val="clear" w:color="auto" w:fill="FFFFFF"/>
          <w:vertAlign w:val="superscript"/>
        </w:rPr>
        <w:t>205—221</w:t>
      </w:r>
      <w:r w:rsidRPr="00334A11">
        <w:rPr>
          <w:rFonts w:ascii="宋体" w:eastAsia="宋体" w:hAnsi="宋体" w:cs="宋体" w:hint="eastAsia"/>
          <w:bCs/>
          <w:color w:val="000000" w:themeColor="text1"/>
          <w:szCs w:val="21"/>
        </w:rPr>
        <w:t>如果各级法院和法官都能按照公报案例示例的各方</w:t>
      </w:r>
      <w:proofErr w:type="gramStart"/>
      <w:r w:rsidRPr="00334A11">
        <w:rPr>
          <w:rFonts w:ascii="宋体" w:eastAsia="宋体" w:hAnsi="宋体" w:cs="宋体" w:hint="eastAsia"/>
          <w:bCs/>
          <w:color w:val="000000" w:themeColor="text1"/>
          <w:szCs w:val="21"/>
        </w:rPr>
        <w:t>面标准</w:t>
      </w:r>
      <w:proofErr w:type="gramEnd"/>
      <w:r w:rsidRPr="00334A11">
        <w:rPr>
          <w:rFonts w:ascii="宋体" w:eastAsia="宋体" w:hAnsi="宋体" w:cs="宋体" w:hint="eastAsia"/>
          <w:bCs/>
          <w:color w:val="000000" w:themeColor="text1"/>
          <w:szCs w:val="21"/>
        </w:rPr>
        <w:t>进行审判，一定能够有效减小地方法院冤假错案、二次审判的概率。</w:t>
      </w:r>
    </w:p>
    <w:p w:rsidR="00334A11" w:rsidRPr="00334A11" w:rsidRDefault="00334A11" w:rsidP="00116428">
      <w:pPr>
        <w:ind w:firstLineChars="200" w:firstLine="422"/>
        <w:rPr>
          <w:rFonts w:ascii="宋体" w:eastAsia="宋体" w:hAnsi="宋体" w:cs="宋体"/>
          <w:b/>
          <w:bCs/>
          <w:color w:val="000000" w:themeColor="text1"/>
          <w:szCs w:val="21"/>
        </w:rPr>
      </w:pPr>
      <w:r w:rsidRPr="00334A11">
        <w:rPr>
          <w:rFonts w:ascii="宋体" w:eastAsia="宋体" w:hAnsi="宋体" w:cs="宋体" w:hint="eastAsia"/>
          <w:b/>
          <w:bCs/>
          <w:color w:val="000000" w:themeColor="text1"/>
          <w:szCs w:val="21"/>
        </w:rPr>
        <w:t>（二）完善参照适用制度</w:t>
      </w:r>
    </w:p>
    <w:p w:rsidR="00334A11" w:rsidRPr="00116428" w:rsidRDefault="00334A11" w:rsidP="00116428">
      <w:pPr>
        <w:ind w:firstLineChars="200" w:firstLine="420"/>
        <w:rPr>
          <w:rFonts w:ascii="宋体" w:eastAsia="宋体" w:hAnsi="宋体" w:cs="宋体"/>
          <w:bCs/>
          <w:color w:val="000000" w:themeColor="text1"/>
          <w:szCs w:val="21"/>
        </w:rPr>
      </w:pPr>
      <w:r w:rsidRPr="00116428">
        <w:rPr>
          <w:rFonts w:ascii="宋体" w:eastAsia="宋体" w:hAnsi="宋体" w:cs="宋体" w:hint="eastAsia"/>
          <w:bCs/>
          <w:color w:val="000000" w:themeColor="text1"/>
          <w:szCs w:val="21"/>
        </w:rPr>
        <w:t>1</w:t>
      </w:r>
      <w:r w:rsidR="00116428" w:rsidRPr="00116428">
        <w:rPr>
          <w:rFonts w:ascii="宋体" w:eastAsia="宋体" w:hAnsi="宋体" w:cs="宋体" w:hint="eastAsia"/>
          <w:bCs/>
          <w:color w:val="000000" w:themeColor="text1"/>
          <w:szCs w:val="21"/>
        </w:rPr>
        <w:t>.</w:t>
      </w:r>
      <w:r w:rsidRPr="00116428">
        <w:rPr>
          <w:rFonts w:ascii="宋体" w:eastAsia="宋体" w:hAnsi="宋体" w:cs="宋体" w:hint="eastAsia"/>
          <w:bCs/>
          <w:color w:val="000000" w:themeColor="text1"/>
          <w:szCs w:val="21"/>
        </w:rPr>
        <w:t>规范“相似”的认定标准</w:t>
      </w:r>
    </w:p>
    <w:p w:rsidR="00334A11" w:rsidRPr="00334A11" w:rsidRDefault="00334A11" w:rsidP="00334A11">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无论是指导性案例还是最高院公报案例，我们适用的都是相似案例，“相似”是各法院适用具有指导意义案例的前提要件，只有在在审案件与公报案例属于相似案件前提下，二者才具有可比性和</w:t>
      </w:r>
      <w:proofErr w:type="gramStart"/>
      <w:r w:rsidRPr="00334A11">
        <w:rPr>
          <w:rFonts w:ascii="宋体" w:eastAsia="宋体" w:hAnsi="宋体" w:cs="宋体" w:hint="eastAsia"/>
          <w:bCs/>
          <w:color w:val="000000" w:themeColor="text1"/>
          <w:szCs w:val="21"/>
        </w:rPr>
        <w:t>可</w:t>
      </w:r>
      <w:proofErr w:type="gramEnd"/>
      <w:r w:rsidRPr="00334A11">
        <w:rPr>
          <w:rFonts w:ascii="宋体" w:eastAsia="宋体" w:hAnsi="宋体" w:cs="宋体" w:hint="eastAsia"/>
          <w:bCs/>
          <w:color w:val="000000" w:themeColor="text1"/>
          <w:szCs w:val="21"/>
        </w:rPr>
        <w:t>参照性。认定相似的标准有两个：一个是案件的法律事实，另一个是案件的法律关系。</w:t>
      </w:r>
    </w:p>
    <w:p w:rsidR="00334A11" w:rsidRPr="00334A11" w:rsidRDefault="00334A11" w:rsidP="00334A11">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第一个标准：案件的法律事实，指的是法院认定的、</w:t>
      </w:r>
      <w:r w:rsidRPr="00334A11">
        <w:rPr>
          <w:rFonts w:ascii="宋体" w:eastAsia="宋体" w:hAnsi="宋体" w:cs="宋体"/>
          <w:bCs/>
          <w:color w:val="000000" w:themeColor="text1"/>
          <w:szCs w:val="21"/>
        </w:rPr>
        <w:t>依法能够引起</w:t>
      </w:r>
      <w:hyperlink r:id="rId8" w:tgtFrame="_blank" w:history="1">
        <w:r w:rsidRPr="00334A11">
          <w:rPr>
            <w:rFonts w:ascii="宋体" w:eastAsia="宋体" w:hAnsi="宋体" w:cs="宋体"/>
            <w:bCs/>
            <w:color w:val="000000" w:themeColor="text1"/>
            <w:szCs w:val="21"/>
          </w:rPr>
          <w:t>法律关系</w:t>
        </w:r>
      </w:hyperlink>
      <w:r w:rsidRPr="00334A11">
        <w:rPr>
          <w:rFonts w:ascii="宋体" w:eastAsia="宋体" w:hAnsi="宋体" w:cs="宋体"/>
          <w:bCs/>
          <w:color w:val="000000" w:themeColor="text1"/>
          <w:szCs w:val="21"/>
        </w:rPr>
        <w:t>产生、变更、消灭的客观情况</w:t>
      </w:r>
      <w:r w:rsidRPr="00334A11">
        <w:rPr>
          <w:rFonts w:ascii="宋体" w:eastAsia="宋体" w:hAnsi="宋体" w:cs="宋体" w:hint="eastAsia"/>
          <w:bCs/>
          <w:color w:val="000000" w:themeColor="text1"/>
          <w:szCs w:val="21"/>
        </w:rPr>
        <w:t>，主要包括法律行为和法律事件。认定案件的法律事实有两个关键点，首先要是法律事实，要有能够影响到法律关系发生变化的因素。其次是法院认定的，而不是当事人所主张的，因为民事诉讼中的证明标准是达到高度的盖然性，原被告双方所主张的事实总有相出入的地方。客观性是法律事实的第一特征，法律事实必须是建立在案件客观事实基础上的、与案件客观事实相一致的。</w:t>
      </w:r>
    </w:p>
    <w:p w:rsidR="00334A11" w:rsidRPr="00334A11" w:rsidRDefault="00334A11" w:rsidP="00334A11">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第二个标准：案件的基础法律关系。法律关系</w:t>
      </w:r>
      <w:r w:rsidRPr="00334A11">
        <w:rPr>
          <w:rFonts w:ascii="宋体" w:eastAsia="宋体" w:hAnsi="宋体" w:cs="宋体"/>
          <w:bCs/>
          <w:color w:val="000000" w:themeColor="text1"/>
          <w:szCs w:val="21"/>
        </w:rPr>
        <w:t>指法律规范在调整人们的行为过程中所形成的具有法律上权利义务形式的社会关系</w:t>
      </w:r>
      <w:r w:rsidRPr="00334A11">
        <w:rPr>
          <w:rFonts w:ascii="宋体" w:eastAsia="宋体" w:hAnsi="宋体" w:cs="宋体" w:hint="eastAsia"/>
          <w:bCs/>
          <w:color w:val="000000" w:themeColor="text1"/>
          <w:szCs w:val="21"/>
        </w:rPr>
        <w:t>，其构成要素有三：法律关系主体、法律关系内容、法律关系客体，那么我们在判断的时候就可以从这三个要素为出发点分析判断</w:t>
      </w:r>
      <w:r w:rsidRPr="00334A11">
        <w:rPr>
          <w:rFonts w:ascii="宋体" w:eastAsia="宋体" w:hAnsi="宋体" w:cs="宋体"/>
          <w:bCs/>
          <w:color w:val="000000" w:themeColor="text1"/>
          <w:szCs w:val="21"/>
        </w:rPr>
        <w:t>。</w:t>
      </w:r>
      <w:r w:rsidRPr="00334A11">
        <w:rPr>
          <w:rFonts w:ascii="宋体" w:eastAsia="宋体" w:hAnsi="宋体" w:cs="宋体" w:hint="eastAsia"/>
          <w:bCs/>
          <w:color w:val="000000" w:themeColor="text1"/>
          <w:szCs w:val="21"/>
        </w:rPr>
        <w:t>法律关系主体即法律关系的参与人，一定权利的享有者或者一定义务的承担者；法律关系内容即特定法律主体之间的权利义务关系；法律关系客体即法律主体之间权利义务所针对的对象。如果两个案件在基础法律关系的三个要素上具有一致性或者相似性，那么结合上述的法律事实，最终综合判断在审案件与最高院公报案例是否属于相似案件。</w:t>
      </w:r>
    </w:p>
    <w:p w:rsidR="00334A11" w:rsidRPr="00116428" w:rsidRDefault="00334A11" w:rsidP="00116428">
      <w:pPr>
        <w:ind w:firstLineChars="200" w:firstLine="420"/>
        <w:rPr>
          <w:rFonts w:ascii="宋体" w:eastAsia="宋体" w:hAnsi="宋体" w:cs="宋体"/>
          <w:bCs/>
          <w:color w:val="000000" w:themeColor="text1"/>
          <w:szCs w:val="21"/>
        </w:rPr>
      </w:pPr>
      <w:r w:rsidRPr="00116428">
        <w:rPr>
          <w:rFonts w:ascii="宋体" w:eastAsia="宋体" w:hAnsi="宋体" w:cs="宋体" w:hint="eastAsia"/>
          <w:bCs/>
          <w:color w:val="000000" w:themeColor="text1"/>
          <w:szCs w:val="21"/>
        </w:rPr>
        <w:t>2</w:t>
      </w:r>
      <w:r w:rsidR="00116428" w:rsidRPr="00116428">
        <w:rPr>
          <w:rFonts w:ascii="宋体" w:eastAsia="宋体" w:hAnsi="宋体" w:cs="宋体" w:hint="eastAsia"/>
          <w:bCs/>
          <w:color w:val="000000" w:themeColor="text1"/>
          <w:szCs w:val="21"/>
        </w:rPr>
        <w:t>.</w:t>
      </w:r>
      <w:r w:rsidRPr="00116428">
        <w:rPr>
          <w:rFonts w:ascii="宋体" w:eastAsia="宋体" w:hAnsi="宋体" w:cs="宋体" w:hint="eastAsia"/>
          <w:bCs/>
          <w:color w:val="000000" w:themeColor="text1"/>
          <w:szCs w:val="21"/>
        </w:rPr>
        <w:t>统一“参照适用”的制度规范</w:t>
      </w:r>
    </w:p>
    <w:p w:rsidR="00334A11" w:rsidRPr="00334A11" w:rsidRDefault="00334A11" w:rsidP="00334A11">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首先，关于参照适用中“参照”一词的具体理解，各界没有统一的说法。参照的标准是什么，是参照案例的裁判规则方法还是审判价值理念；参照的程度是什么，是“参考、比照”还是“参照、依照”；参照的内容是什么，是参照适用具有争议的部分内容还是参照案件全部。笔者认为，关于“参照”，很难做到有统一的标准，因为实践办案中，案件情况千变万化，不可能一一</w:t>
      </w:r>
      <w:proofErr w:type="gramStart"/>
      <w:r w:rsidRPr="00334A11">
        <w:rPr>
          <w:rFonts w:ascii="宋体" w:eastAsia="宋体" w:hAnsi="宋体" w:cs="宋体" w:hint="eastAsia"/>
          <w:bCs/>
          <w:color w:val="000000" w:themeColor="text1"/>
          <w:szCs w:val="21"/>
        </w:rPr>
        <w:t>悉</w:t>
      </w:r>
      <w:proofErr w:type="gramEnd"/>
      <w:r w:rsidRPr="00334A11">
        <w:rPr>
          <w:rFonts w:ascii="宋体" w:eastAsia="宋体" w:hAnsi="宋体" w:cs="宋体" w:hint="eastAsia"/>
          <w:bCs/>
          <w:color w:val="000000" w:themeColor="text1"/>
          <w:szCs w:val="21"/>
        </w:rPr>
        <w:t>梳出每种情况</w:t>
      </w:r>
      <w:r w:rsidR="007B771A">
        <w:rPr>
          <w:rFonts w:ascii="宋体" w:eastAsia="宋体" w:hAnsi="宋体" w:cs="宋体" w:hint="eastAsia"/>
          <w:bCs/>
          <w:color w:val="000000" w:themeColor="text1"/>
          <w:szCs w:val="21"/>
        </w:rPr>
        <w:t>的适用标准。不可否定的是，我们不能将裁判规则与审判价值脱离开来、</w:t>
      </w:r>
      <w:r w:rsidRPr="00334A11">
        <w:rPr>
          <w:rFonts w:ascii="宋体" w:eastAsia="宋体" w:hAnsi="宋体" w:cs="宋体" w:hint="eastAsia"/>
          <w:bCs/>
          <w:color w:val="000000" w:themeColor="text1"/>
          <w:szCs w:val="21"/>
        </w:rPr>
        <w:t>只顾其一，真正的司法公正是合法与合理的有机统一，也是法律效果与社会效果的双赢。在参照最高院公报案例的时候，我们要领会裁判要点的意图，不可仅仅将裁</w:t>
      </w:r>
      <w:r w:rsidR="007B771A">
        <w:rPr>
          <w:rFonts w:ascii="宋体" w:eastAsia="宋体" w:hAnsi="宋体" w:cs="宋体" w:hint="eastAsia"/>
          <w:bCs/>
          <w:color w:val="000000" w:themeColor="text1"/>
          <w:szCs w:val="21"/>
        </w:rPr>
        <w:t>判规则作为单一的参照点，而应站在审判价值的角度，合理参照裁判原则</w:t>
      </w:r>
      <w:r w:rsidRPr="00334A11">
        <w:rPr>
          <w:rFonts w:ascii="宋体" w:eastAsia="宋体" w:hAnsi="宋体" w:cs="宋体" w:hint="eastAsia"/>
          <w:bCs/>
          <w:color w:val="000000" w:themeColor="text1"/>
          <w:szCs w:val="21"/>
        </w:rPr>
        <w:t>。</w:t>
      </w:r>
      <w:r w:rsidR="00A623E3" w:rsidRPr="00567932">
        <w:rPr>
          <w:rFonts w:ascii="宋体" w:hAnsi="宋体" w:cs="宋体" w:hint="eastAsia"/>
          <w:color w:val="000000"/>
          <w:szCs w:val="21"/>
          <w:shd w:val="clear" w:color="auto" w:fill="FFFFFF"/>
          <w:vertAlign w:val="superscript"/>
        </w:rPr>
        <w:t>[</w:t>
      </w:r>
      <w:r w:rsidR="00A623E3" w:rsidRPr="00567932">
        <w:rPr>
          <w:rFonts w:ascii="宋体" w:hAnsi="宋体" w:cs="宋体"/>
          <w:color w:val="000000"/>
          <w:szCs w:val="21"/>
          <w:shd w:val="clear" w:color="auto" w:fill="FFFFFF"/>
          <w:vertAlign w:val="superscript"/>
        </w:rPr>
        <w:t>7]</w:t>
      </w:r>
      <w:r w:rsidR="00007DBF">
        <w:rPr>
          <w:rFonts w:ascii="宋体" w:hAnsi="宋体" w:cs="宋体" w:hint="eastAsia"/>
          <w:color w:val="000000"/>
          <w:szCs w:val="21"/>
          <w:shd w:val="clear" w:color="auto" w:fill="FFFFFF"/>
          <w:vertAlign w:val="superscript"/>
        </w:rPr>
        <w:t>196</w:t>
      </w:r>
    </w:p>
    <w:p w:rsidR="00164FB1" w:rsidRPr="00116428" w:rsidRDefault="00334A11" w:rsidP="00116428">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其次，关于最高院公报案例在</w:t>
      </w:r>
      <w:proofErr w:type="gramStart"/>
      <w:r w:rsidRPr="00334A11">
        <w:rPr>
          <w:rFonts w:ascii="宋体" w:eastAsia="宋体" w:hAnsi="宋体" w:cs="宋体" w:hint="eastAsia"/>
          <w:bCs/>
          <w:color w:val="000000" w:themeColor="text1"/>
          <w:szCs w:val="21"/>
        </w:rPr>
        <w:t>裁判书</w:t>
      </w:r>
      <w:proofErr w:type="gramEnd"/>
      <w:r w:rsidRPr="00334A11">
        <w:rPr>
          <w:rFonts w:ascii="宋体" w:eastAsia="宋体" w:hAnsi="宋体" w:cs="宋体" w:hint="eastAsia"/>
          <w:bCs/>
          <w:color w:val="000000" w:themeColor="text1"/>
          <w:szCs w:val="21"/>
        </w:rPr>
        <w:t>中能否引用以及如何引用，实务中也没有统一的制度规范。最高院公报案例的判决以及裁判要点，在参照适用的时候如何体现在在审案件的</w:t>
      </w:r>
      <w:proofErr w:type="gramStart"/>
      <w:r w:rsidRPr="00334A11">
        <w:rPr>
          <w:rFonts w:ascii="宋体" w:eastAsia="宋体" w:hAnsi="宋体" w:cs="宋体" w:hint="eastAsia"/>
          <w:bCs/>
          <w:color w:val="000000" w:themeColor="text1"/>
          <w:szCs w:val="21"/>
        </w:rPr>
        <w:t>裁判书</w:t>
      </w:r>
      <w:proofErr w:type="gramEnd"/>
      <w:r w:rsidRPr="00334A11">
        <w:rPr>
          <w:rFonts w:ascii="宋体" w:eastAsia="宋体" w:hAnsi="宋体" w:cs="宋体" w:hint="eastAsia"/>
          <w:bCs/>
          <w:color w:val="000000" w:themeColor="text1"/>
          <w:szCs w:val="21"/>
        </w:rPr>
        <w:t>中，是作为说理依据体现还是直接</w:t>
      </w:r>
      <w:proofErr w:type="gramStart"/>
      <w:r w:rsidRPr="00334A11">
        <w:rPr>
          <w:rFonts w:ascii="宋体" w:eastAsia="宋体" w:hAnsi="宋体" w:cs="宋体" w:hint="eastAsia"/>
          <w:bCs/>
          <w:color w:val="000000" w:themeColor="text1"/>
          <w:szCs w:val="21"/>
        </w:rPr>
        <w:t>像根据</w:t>
      </w:r>
      <w:proofErr w:type="gramEnd"/>
      <w:r w:rsidRPr="00334A11">
        <w:rPr>
          <w:rFonts w:ascii="宋体" w:eastAsia="宋体" w:hAnsi="宋体" w:cs="宋体" w:hint="eastAsia"/>
          <w:bCs/>
          <w:color w:val="000000" w:themeColor="text1"/>
          <w:szCs w:val="21"/>
        </w:rPr>
        <w:t>我国法律</w:t>
      </w:r>
      <w:proofErr w:type="gramStart"/>
      <w:r w:rsidRPr="00334A11">
        <w:rPr>
          <w:rFonts w:ascii="宋体" w:eastAsia="宋体" w:hAnsi="宋体" w:cs="宋体" w:hint="eastAsia"/>
          <w:bCs/>
          <w:color w:val="000000" w:themeColor="text1"/>
          <w:szCs w:val="21"/>
        </w:rPr>
        <w:t>作出</w:t>
      </w:r>
      <w:proofErr w:type="gramEnd"/>
      <w:r w:rsidRPr="00334A11">
        <w:rPr>
          <w:rFonts w:ascii="宋体" w:eastAsia="宋体" w:hAnsi="宋体" w:cs="宋体" w:hint="eastAsia"/>
          <w:bCs/>
          <w:color w:val="000000" w:themeColor="text1"/>
          <w:szCs w:val="21"/>
        </w:rPr>
        <w:t>裁判那样写明“参照最高人民法院公报案例2018年第一期钦肽锐丰钒钛铁科技有限公司与北京航空航天大学技术合同纠纷一案……”笔者认为，可以通过司法解释这一途径，将实务中对指导性案例以及具有指导意义的案例如最高院公报案例在</w:t>
      </w:r>
      <w:proofErr w:type="gramStart"/>
      <w:r w:rsidRPr="00334A11">
        <w:rPr>
          <w:rFonts w:ascii="宋体" w:eastAsia="宋体" w:hAnsi="宋体" w:cs="宋体" w:hint="eastAsia"/>
          <w:bCs/>
          <w:color w:val="000000" w:themeColor="text1"/>
          <w:szCs w:val="21"/>
        </w:rPr>
        <w:t>裁判书</w:t>
      </w:r>
      <w:proofErr w:type="gramEnd"/>
      <w:r w:rsidRPr="00334A11">
        <w:rPr>
          <w:rFonts w:ascii="宋体" w:eastAsia="宋体" w:hAnsi="宋体" w:cs="宋体" w:hint="eastAsia"/>
          <w:bCs/>
          <w:color w:val="000000" w:themeColor="text1"/>
          <w:szCs w:val="21"/>
        </w:rPr>
        <w:t>中能否引用以及如何引用这一问题</w:t>
      </w:r>
      <w:proofErr w:type="gramStart"/>
      <w:r w:rsidRPr="00334A11">
        <w:rPr>
          <w:rFonts w:ascii="宋体" w:eastAsia="宋体" w:hAnsi="宋体" w:cs="宋体" w:hint="eastAsia"/>
          <w:bCs/>
          <w:color w:val="000000" w:themeColor="text1"/>
          <w:szCs w:val="21"/>
        </w:rPr>
        <w:t>作出</w:t>
      </w:r>
      <w:proofErr w:type="gramEnd"/>
      <w:r w:rsidRPr="00334A11">
        <w:rPr>
          <w:rFonts w:ascii="宋体" w:eastAsia="宋体" w:hAnsi="宋体" w:cs="宋体" w:hint="eastAsia"/>
          <w:bCs/>
          <w:color w:val="000000" w:themeColor="text1"/>
          <w:szCs w:val="21"/>
        </w:rPr>
        <w:t>明确规定，具体而言，直接在裁判中写明“参照……案例，判决如下”效果会更好。如果不能引用，那么参照指导性案例这一制度将变的形同虚设。</w:t>
      </w:r>
    </w:p>
    <w:p w:rsidR="00FD05EE" w:rsidRPr="00FD05EE" w:rsidRDefault="00FD05EE" w:rsidP="00FD05EE">
      <w:pPr>
        <w:ind w:firstLineChars="200" w:firstLine="422"/>
        <w:rPr>
          <w:rFonts w:ascii="宋体" w:eastAsia="宋体" w:hAnsi="宋体" w:cs="宋体"/>
          <w:b/>
          <w:bCs/>
          <w:color w:val="000000" w:themeColor="text1"/>
          <w:szCs w:val="21"/>
        </w:rPr>
      </w:pPr>
      <w:r w:rsidRPr="00FD05EE">
        <w:rPr>
          <w:rFonts w:ascii="宋体" w:eastAsia="宋体" w:hAnsi="宋体" w:cs="宋体" w:hint="eastAsia"/>
          <w:b/>
          <w:bCs/>
          <w:color w:val="000000" w:themeColor="text1"/>
          <w:szCs w:val="21"/>
        </w:rPr>
        <w:t>总结</w:t>
      </w:r>
    </w:p>
    <w:p w:rsidR="00334A11" w:rsidRPr="00334A11" w:rsidRDefault="00334A11" w:rsidP="00334A11">
      <w:pPr>
        <w:ind w:firstLineChars="200" w:firstLine="420"/>
        <w:rPr>
          <w:rFonts w:ascii="宋体" w:eastAsia="宋体" w:hAnsi="宋体" w:cs="宋体"/>
          <w:bCs/>
          <w:color w:val="000000" w:themeColor="text1"/>
          <w:szCs w:val="21"/>
        </w:rPr>
      </w:pPr>
      <w:r w:rsidRPr="00334A11">
        <w:rPr>
          <w:rFonts w:ascii="宋体" w:eastAsia="宋体" w:hAnsi="宋体" w:cs="宋体" w:hint="eastAsia"/>
          <w:bCs/>
          <w:color w:val="000000" w:themeColor="text1"/>
          <w:szCs w:val="21"/>
        </w:rPr>
        <w:t>同案同判是司法公正的主要内容，如果相似的案件却得到不同的判决，难免会增加审判结果的不确定性，降低司法的公信力。且公报案例目的在于阐明法律在具体案例中的审判规则，而不是为了让各级法院创设新的裁判方式。因此，在大量适用最高院公报案例的同时，对适用制度进行规范，既可减少相关的诉讼纠纷，也可对法官的自由裁量权进行制度规范，</w:t>
      </w:r>
      <w:r w:rsidRPr="00334A11">
        <w:rPr>
          <w:rFonts w:ascii="宋体" w:eastAsia="宋体" w:hAnsi="宋体" w:cs="宋体" w:hint="eastAsia"/>
          <w:bCs/>
          <w:color w:val="000000" w:themeColor="text1"/>
          <w:szCs w:val="21"/>
        </w:rPr>
        <w:lastRenderedPageBreak/>
        <w:t>促进司法公平公正。</w:t>
      </w:r>
    </w:p>
    <w:p w:rsidR="00EC18B8" w:rsidRDefault="00EC18B8">
      <w:pPr>
        <w:widowControl/>
        <w:jc w:val="left"/>
        <w:rPr>
          <w:rFonts w:ascii="宋体" w:eastAsia="宋体" w:hAnsi="宋体" w:cs="宋体"/>
          <w:bCs/>
          <w:color w:val="000000"/>
          <w:szCs w:val="21"/>
        </w:rPr>
      </w:pPr>
      <w:r>
        <w:rPr>
          <w:rFonts w:ascii="宋体" w:eastAsia="宋体" w:hAnsi="宋体" w:cs="宋体"/>
          <w:bCs/>
          <w:color w:val="000000"/>
          <w:szCs w:val="21"/>
        </w:rPr>
        <w:br w:type="page"/>
      </w:r>
    </w:p>
    <w:p w:rsidR="00EC18B8" w:rsidRDefault="00EC18B8" w:rsidP="00EC18B8">
      <w:pPr>
        <w:widowControl/>
        <w:rPr>
          <w:rFonts w:ascii="宋体" w:hAnsi="宋体" w:cs="宋体"/>
          <w:b/>
          <w:color w:val="000000"/>
          <w:szCs w:val="21"/>
          <w:shd w:val="clear" w:color="auto" w:fill="FFFFFF"/>
        </w:rPr>
      </w:pPr>
      <w:r>
        <w:rPr>
          <w:rFonts w:ascii="宋体" w:hAnsi="宋体" w:cs="宋体" w:hint="eastAsia"/>
          <w:b/>
          <w:color w:val="000000"/>
          <w:szCs w:val="21"/>
          <w:shd w:val="clear" w:color="auto" w:fill="FFFFFF"/>
        </w:rPr>
        <w:lastRenderedPageBreak/>
        <w:t>注 释：</w:t>
      </w:r>
    </w:p>
    <w:p w:rsidR="00711A1A" w:rsidRDefault="002116D7" w:rsidP="00EC18B8">
      <w:pPr>
        <w:rPr>
          <w:rFonts w:ascii="宋体" w:eastAsia="宋体" w:hAnsi="宋体" w:cs="Times New Roman"/>
          <w:sz w:val="18"/>
          <w:szCs w:val="18"/>
        </w:rPr>
      </w:pPr>
      <w:r>
        <w:rPr>
          <w:rFonts w:ascii="宋体" w:eastAsia="宋体" w:hAnsi="宋体" w:cs="宋体" w:hint="eastAsia"/>
          <w:bCs/>
          <w:color w:val="000000"/>
          <w:sz w:val="18"/>
          <w:szCs w:val="18"/>
        </w:rPr>
        <w:t>①</w:t>
      </w:r>
      <w:r w:rsidR="00EC18B8" w:rsidRPr="00EC18B8">
        <w:rPr>
          <w:rFonts w:ascii="宋体" w:eastAsia="宋体" w:hAnsi="宋体" w:cs="Times New Roman" w:hint="eastAsia"/>
          <w:sz w:val="18"/>
          <w:szCs w:val="18"/>
        </w:rPr>
        <w:t>(2019)辽13</w:t>
      </w:r>
      <w:proofErr w:type="gramStart"/>
      <w:r w:rsidR="00EC18B8" w:rsidRPr="00EC18B8">
        <w:rPr>
          <w:rFonts w:ascii="宋体" w:eastAsia="宋体" w:hAnsi="宋体" w:cs="Times New Roman" w:hint="eastAsia"/>
          <w:sz w:val="18"/>
          <w:szCs w:val="18"/>
        </w:rPr>
        <w:t>民终2168号</w:t>
      </w:r>
      <w:proofErr w:type="gramEnd"/>
      <w:r w:rsidR="00EC18B8" w:rsidRPr="00EC18B8">
        <w:rPr>
          <w:rFonts w:ascii="宋体" w:eastAsia="宋体" w:hAnsi="宋体" w:cs="Times New Roman" w:hint="eastAsia"/>
          <w:sz w:val="18"/>
          <w:szCs w:val="18"/>
        </w:rPr>
        <w:t>朝阳市龙城区</w:t>
      </w:r>
      <w:proofErr w:type="gramStart"/>
      <w:r w:rsidR="00EC18B8" w:rsidRPr="00EC18B8">
        <w:rPr>
          <w:rFonts w:ascii="宋体" w:eastAsia="宋体" w:hAnsi="宋体" w:cs="Times New Roman" w:hint="eastAsia"/>
          <w:sz w:val="18"/>
          <w:szCs w:val="18"/>
        </w:rPr>
        <w:t>鑫</w:t>
      </w:r>
      <w:proofErr w:type="gramEnd"/>
      <w:r w:rsidR="00EC18B8" w:rsidRPr="00EC18B8">
        <w:rPr>
          <w:rFonts w:ascii="宋体" w:eastAsia="宋体" w:hAnsi="宋体" w:cs="Times New Roman" w:hint="eastAsia"/>
          <w:sz w:val="18"/>
          <w:szCs w:val="18"/>
        </w:rPr>
        <w:t>隆城中村改造开发有限公司、丁占东房屋买卖合同纠纷二审民事判决书。</w:t>
      </w:r>
    </w:p>
    <w:p w:rsidR="00EC18B8" w:rsidRDefault="002116D7" w:rsidP="00EC18B8">
      <w:pPr>
        <w:rPr>
          <w:rFonts w:ascii="宋体" w:eastAsia="宋体" w:hAnsi="宋体" w:cs="Times New Roman"/>
          <w:sz w:val="18"/>
          <w:szCs w:val="18"/>
        </w:rPr>
      </w:pPr>
      <w:r>
        <w:rPr>
          <w:rFonts w:ascii="宋体" w:eastAsia="宋体" w:hAnsi="宋体" w:cs="Times New Roman" w:hint="eastAsia"/>
          <w:sz w:val="18"/>
          <w:szCs w:val="18"/>
        </w:rPr>
        <w:t>②</w:t>
      </w:r>
      <w:r w:rsidR="00EC18B8" w:rsidRPr="00EC18B8">
        <w:rPr>
          <w:rFonts w:ascii="宋体" w:eastAsia="宋体" w:hAnsi="宋体" w:cs="Times New Roman" w:hint="eastAsia"/>
          <w:sz w:val="18"/>
          <w:szCs w:val="18"/>
        </w:rPr>
        <w:t>(2019)吉7102行初36号吉林市通泰实业总公司诉吉林市规划和自然资源局及吉林环城农村商业银行股份有限公司不履行房屋登记法定职责一审行政判决书</w:t>
      </w:r>
      <w:r w:rsidR="00EC18B8">
        <w:rPr>
          <w:rFonts w:ascii="宋体" w:eastAsia="宋体" w:hAnsi="宋体" w:cs="Times New Roman" w:hint="eastAsia"/>
          <w:sz w:val="18"/>
          <w:szCs w:val="18"/>
        </w:rPr>
        <w:t>。</w:t>
      </w:r>
    </w:p>
    <w:p w:rsidR="00EC18B8" w:rsidRP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③</w:t>
      </w:r>
      <w:r w:rsidR="00EC18B8" w:rsidRPr="00390F3F">
        <w:rPr>
          <w:rFonts w:ascii="宋体" w:eastAsia="宋体" w:hAnsi="宋体" w:cs="Times New Roman" w:hint="eastAsia"/>
          <w:sz w:val="18"/>
          <w:szCs w:val="18"/>
        </w:rPr>
        <w:t>(2017)粤01</w:t>
      </w:r>
      <w:proofErr w:type="gramStart"/>
      <w:r w:rsidR="00EC18B8" w:rsidRPr="00390F3F">
        <w:rPr>
          <w:rFonts w:ascii="宋体" w:eastAsia="宋体" w:hAnsi="宋体" w:cs="Times New Roman" w:hint="eastAsia"/>
          <w:sz w:val="18"/>
          <w:szCs w:val="18"/>
        </w:rPr>
        <w:t>民终1211号黄洪连</w:t>
      </w:r>
      <w:proofErr w:type="gramEnd"/>
      <w:r w:rsidR="00EC18B8" w:rsidRPr="00390F3F">
        <w:rPr>
          <w:rFonts w:ascii="宋体" w:eastAsia="宋体" w:hAnsi="宋体" w:cs="Times New Roman" w:hint="eastAsia"/>
          <w:sz w:val="18"/>
          <w:szCs w:val="18"/>
        </w:rPr>
        <w:t>与郑先萍、广州市深业房地产有限公司房屋买卖合同纠纷二审民事判决书。</w:t>
      </w:r>
    </w:p>
    <w:p w:rsid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④</w:t>
      </w:r>
      <w:r w:rsidR="00390F3F" w:rsidRPr="00390F3F">
        <w:rPr>
          <w:rFonts w:ascii="宋体" w:eastAsia="宋体" w:hAnsi="宋体" w:cs="Times New Roman" w:hint="eastAsia"/>
          <w:sz w:val="18"/>
          <w:szCs w:val="18"/>
        </w:rPr>
        <w:t>(2017)川11</w:t>
      </w:r>
      <w:proofErr w:type="gramStart"/>
      <w:r w:rsidR="00390F3F" w:rsidRPr="00390F3F">
        <w:rPr>
          <w:rFonts w:ascii="宋体" w:eastAsia="宋体" w:hAnsi="宋体" w:cs="Times New Roman" w:hint="eastAsia"/>
          <w:sz w:val="18"/>
          <w:szCs w:val="18"/>
        </w:rPr>
        <w:t>民终872号</w:t>
      </w:r>
      <w:proofErr w:type="gramEnd"/>
      <w:r w:rsidR="00390F3F" w:rsidRPr="00390F3F">
        <w:rPr>
          <w:rFonts w:ascii="宋体" w:eastAsia="宋体" w:hAnsi="宋体" w:cs="Times New Roman" w:hint="eastAsia"/>
          <w:sz w:val="18"/>
          <w:szCs w:val="18"/>
        </w:rPr>
        <w:t>张加银、中国平安财产保险股份有限公司乐山中心支公司机动车交通事故责任纠纷二审民事判决书。</w:t>
      </w:r>
    </w:p>
    <w:p w:rsidR="00390F3F" w:rsidRP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⑤</w:t>
      </w:r>
      <w:r w:rsidR="00390F3F" w:rsidRPr="00390F3F">
        <w:rPr>
          <w:rFonts w:ascii="宋体" w:eastAsia="宋体" w:hAnsi="宋体" w:cs="Times New Roman" w:hint="eastAsia"/>
          <w:sz w:val="18"/>
          <w:szCs w:val="18"/>
        </w:rPr>
        <w:t>(2019)内06</w:t>
      </w:r>
      <w:proofErr w:type="gramStart"/>
      <w:r w:rsidR="00390F3F" w:rsidRPr="00390F3F">
        <w:rPr>
          <w:rFonts w:ascii="宋体" w:eastAsia="宋体" w:hAnsi="宋体" w:cs="Times New Roman" w:hint="eastAsia"/>
          <w:sz w:val="18"/>
          <w:szCs w:val="18"/>
        </w:rPr>
        <w:t>民终1221号</w:t>
      </w:r>
      <w:proofErr w:type="gramEnd"/>
      <w:r w:rsidR="00390F3F" w:rsidRPr="00390F3F">
        <w:rPr>
          <w:rFonts w:ascii="宋体" w:eastAsia="宋体" w:hAnsi="宋体" w:cs="Times New Roman" w:hint="eastAsia"/>
          <w:sz w:val="18"/>
          <w:szCs w:val="18"/>
        </w:rPr>
        <w:t>山东四方安装工程有限公司、河北华北石油工程建设有限公司与卢某建设工程施工合同纠纷二审民事判决书。</w:t>
      </w:r>
    </w:p>
    <w:p w:rsid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⑥</w:t>
      </w:r>
      <w:r w:rsidR="00390F3F" w:rsidRPr="00390F3F">
        <w:rPr>
          <w:rFonts w:ascii="宋体" w:eastAsia="宋体" w:hAnsi="宋体" w:cs="Times New Roman" w:hint="eastAsia"/>
          <w:sz w:val="18"/>
          <w:szCs w:val="18"/>
        </w:rPr>
        <w:t>(2019)苏0411民初2599号陈红伟与庄锋利、徐丽娟分期付款买卖合同纠纷一审民事判决书。</w:t>
      </w:r>
    </w:p>
    <w:p w:rsidR="00390F3F" w:rsidRP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⑦</w:t>
      </w:r>
      <w:r w:rsidR="00390F3F" w:rsidRPr="009C3DAB">
        <w:rPr>
          <w:rFonts w:ascii="宋体" w:eastAsia="宋体" w:hAnsi="宋体" w:cs="宋体" w:hint="eastAsia"/>
          <w:bCs/>
          <w:color w:val="000000"/>
          <w:szCs w:val="21"/>
        </w:rPr>
        <w:t>(2018)鲁</w:t>
      </w:r>
      <w:r w:rsidR="00390F3F" w:rsidRPr="00390F3F">
        <w:rPr>
          <w:rFonts w:ascii="宋体" w:eastAsia="宋体" w:hAnsi="宋体" w:cs="Times New Roman" w:hint="eastAsia"/>
          <w:sz w:val="18"/>
          <w:szCs w:val="18"/>
        </w:rPr>
        <w:t>13</w:t>
      </w:r>
      <w:proofErr w:type="gramStart"/>
      <w:r w:rsidR="00390F3F" w:rsidRPr="00390F3F">
        <w:rPr>
          <w:rFonts w:ascii="宋体" w:eastAsia="宋体" w:hAnsi="宋体" w:cs="Times New Roman" w:hint="eastAsia"/>
          <w:sz w:val="18"/>
          <w:szCs w:val="18"/>
        </w:rPr>
        <w:t>民终9995号</w:t>
      </w:r>
      <w:proofErr w:type="gramEnd"/>
      <w:r w:rsidR="00390F3F" w:rsidRPr="00390F3F">
        <w:rPr>
          <w:rFonts w:ascii="宋体" w:eastAsia="宋体" w:hAnsi="宋体" w:cs="Times New Roman" w:hint="eastAsia"/>
          <w:sz w:val="18"/>
          <w:szCs w:val="18"/>
        </w:rPr>
        <w:t>案例高晓云、临沂鸿德置业有限公司房屋买卖合同纠纷二审民事判决书。</w:t>
      </w:r>
    </w:p>
    <w:p w:rsidR="00854F96" w:rsidRPr="00AB6A53" w:rsidRDefault="002116D7" w:rsidP="00EC18B8">
      <w:pPr>
        <w:rPr>
          <w:rFonts w:ascii="宋体" w:eastAsia="宋体" w:hAnsi="宋体" w:cs="Times New Roman"/>
          <w:sz w:val="18"/>
          <w:szCs w:val="18"/>
        </w:rPr>
      </w:pPr>
      <w:r>
        <w:rPr>
          <w:rFonts w:ascii="宋体" w:eastAsia="宋体" w:hAnsi="宋体" w:cs="宋体" w:hint="eastAsia"/>
          <w:bCs/>
          <w:color w:val="000000"/>
          <w:szCs w:val="21"/>
        </w:rPr>
        <w:t>⑧</w:t>
      </w:r>
      <w:r w:rsidR="00334A11" w:rsidRPr="00390F3F">
        <w:rPr>
          <w:rFonts w:ascii="宋体" w:eastAsia="宋体" w:hAnsi="宋体" w:cs="Times New Roman" w:hint="eastAsia"/>
          <w:sz w:val="18"/>
          <w:szCs w:val="18"/>
        </w:rPr>
        <w:t>(2018)鲁0214民初947号张玉美、宫珍云等与青岛魁罡铁路装备集团有限公司劳动争议一审民事判决书。</w:t>
      </w:r>
    </w:p>
    <w:p w:rsidR="00390F3F" w:rsidRPr="00390F3F" w:rsidRDefault="002116D7" w:rsidP="00EC18B8">
      <w:pPr>
        <w:rPr>
          <w:rFonts w:ascii="宋体" w:eastAsia="宋体" w:hAnsi="宋体" w:cs="Times New Roman"/>
          <w:sz w:val="18"/>
          <w:szCs w:val="18"/>
        </w:rPr>
      </w:pPr>
      <w:r>
        <w:rPr>
          <w:rFonts w:ascii="宋体" w:eastAsia="宋体" w:hAnsi="宋体" w:cs="Times New Roman" w:hint="eastAsia"/>
          <w:sz w:val="18"/>
          <w:szCs w:val="18"/>
        </w:rPr>
        <w:t>⑨</w:t>
      </w:r>
      <w:r w:rsidR="00334A11" w:rsidRPr="00390F3F">
        <w:rPr>
          <w:rFonts w:ascii="宋体" w:eastAsia="宋体" w:hAnsi="宋体" w:cs="Times New Roman" w:hint="eastAsia"/>
          <w:sz w:val="18"/>
          <w:szCs w:val="18"/>
        </w:rPr>
        <w:t>(2019)沪02</w:t>
      </w:r>
      <w:proofErr w:type="gramStart"/>
      <w:r w:rsidR="00334A11" w:rsidRPr="00390F3F">
        <w:rPr>
          <w:rFonts w:ascii="宋体" w:eastAsia="宋体" w:hAnsi="宋体" w:cs="Times New Roman" w:hint="eastAsia"/>
          <w:sz w:val="18"/>
          <w:szCs w:val="18"/>
        </w:rPr>
        <w:t>民终3941号</w:t>
      </w:r>
      <w:proofErr w:type="gramEnd"/>
      <w:r w:rsidR="00334A11" w:rsidRPr="00390F3F">
        <w:rPr>
          <w:rFonts w:ascii="宋体" w:eastAsia="宋体" w:hAnsi="宋体" w:cs="Times New Roman" w:hint="eastAsia"/>
          <w:sz w:val="18"/>
          <w:szCs w:val="18"/>
        </w:rPr>
        <w:t>江苏庞源机械工程有限公司与龙元建设集团股份有限公司建筑设备租赁合同纠纷二审</w:t>
      </w:r>
      <w:r w:rsidR="00334A11">
        <w:rPr>
          <w:rFonts w:ascii="宋体" w:eastAsia="宋体" w:hAnsi="宋体" w:cs="Times New Roman" w:hint="eastAsia"/>
          <w:sz w:val="18"/>
          <w:szCs w:val="18"/>
        </w:rPr>
        <w:t>民事</w:t>
      </w:r>
      <w:r w:rsidR="00334A11" w:rsidRPr="00390F3F">
        <w:rPr>
          <w:rFonts w:ascii="宋体" w:eastAsia="宋体" w:hAnsi="宋体" w:cs="Times New Roman" w:hint="eastAsia"/>
          <w:sz w:val="18"/>
          <w:szCs w:val="18"/>
        </w:rPr>
        <w:t>判决书。</w:t>
      </w:r>
    </w:p>
    <w:p w:rsidR="00390F3F" w:rsidRPr="00334A11" w:rsidRDefault="002116D7" w:rsidP="00EC18B8">
      <w:pPr>
        <w:rPr>
          <w:rFonts w:ascii="宋体" w:eastAsia="宋体" w:hAnsi="宋体" w:cs="Times New Roman"/>
          <w:sz w:val="18"/>
          <w:szCs w:val="18"/>
        </w:rPr>
      </w:pPr>
      <w:r>
        <w:rPr>
          <w:rFonts w:ascii="宋体" w:eastAsia="宋体" w:hAnsi="宋体" w:cs="Times New Roman" w:hint="eastAsia"/>
          <w:sz w:val="18"/>
          <w:szCs w:val="18"/>
        </w:rPr>
        <w:t>⑩</w:t>
      </w:r>
      <w:r w:rsidR="00334A11" w:rsidRPr="00390F3F">
        <w:rPr>
          <w:rFonts w:ascii="宋体" w:eastAsia="宋体" w:hAnsi="宋体" w:cs="Times New Roman" w:hint="eastAsia"/>
          <w:sz w:val="18"/>
          <w:szCs w:val="18"/>
        </w:rPr>
        <w:t>(2019)甘05</w:t>
      </w:r>
      <w:proofErr w:type="gramStart"/>
      <w:r w:rsidR="00334A11" w:rsidRPr="00390F3F">
        <w:rPr>
          <w:rFonts w:ascii="宋体" w:eastAsia="宋体" w:hAnsi="宋体" w:cs="Times New Roman" w:hint="eastAsia"/>
          <w:sz w:val="18"/>
          <w:szCs w:val="18"/>
        </w:rPr>
        <w:t>民终468号</w:t>
      </w:r>
      <w:proofErr w:type="gramEnd"/>
      <w:r w:rsidR="00334A11" w:rsidRPr="00390F3F">
        <w:rPr>
          <w:rFonts w:ascii="宋体" w:eastAsia="宋体" w:hAnsi="宋体" w:cs="Times New Roman" w:hint="eastAsia"/>
          <w:sz w:val="18"/>
          <w:szCs w:val="18"/>
        </w:rPr>
        <w:t>甘肃秦安农村商业银行股份有限公司与武某、钱某名誉权纠纷二审民事判决书。</w:t>
      </w:r>
    </w:p>
    <w:p w:rsidR="00334A11" w:rsidRDefault="00AB6A53" w:rsidP="00EC18B8">
      <w:pPr>
        <w:rPr>
          <w:rFonts w:ascii="宋体" w:eastAsia="宋体" w:hAnsi="宋体" w:cs="Times New Roman"/>
          <w:sz w:val="18"/>
          <w:szCs w:val="18"/>
        </w:rPr>
      </w:pPr>
      <w:r w:rsidRPr="00AB6A53">
        <w:rPr>
          <w:rFonts w:ascii="宋体" w:eastAsia="宋体" w:hAnsi="宋体" w:cs="Times New Roman"/>
          <w:sz w:val="18"/>
          <w:szCs w:val="18"/>
        </w:rPr>
        <w:t>⑪</w:t>
      </w:r>
      <w:r w:rsidR="00334A11" w:rsidRPr="002116D7">
        <w:rPr>
          <w:rFonts w:ascii="宋体" w:eastAsia="宋体" w:hAnsi="宋体" w:cs="Times New Roman" w:hint="eastAsia"/>
          <w:sz w:val="18"/>
          <w:szCs w:val="18"/>
        </w:rPr>
        <w:t>最高人民法院公报编辑部编《中华人民共和国最高人民法院公报全集（1985~1994）》，北京人民法院出版社1995年版，出版说明</w:t>
      </w:r>
      <w:r w:rsidR="00334A11">
        <w:rPr>
          <w:rFonts w:ascii="宋体" w:eastAsia="宋体" w:hAnsi="宋体" w:cs="Times New Roman" w:hint="eastAsia"/>
          <w:sz w:val="18"/>
          <w:szCs w:val="18"/>
        </w:rPr>
        <w:t>。</w:t>
      </w:r>
    </w:p>
    <w:p w:rsidR="00334A11" w:rsidRDefault="008D56B3" w:rsidP="00334A11">
      <w:pPr>
        <w:rPr>
          <w:rFonts w:ascii="宋体" w:eastAsia="宋体" w:hAnsi="宋体" w:cs="Times New Roman"/>
          <w:sz w:val="18"/>
          <w:szCs w:val="18"/>
        </w:rPr>
      </w:pPr>
      <w:r w:rsidRPr="002116D7">
        <w:rPr>
          <w:rFonts w:ascii="宋体" w:eastAsia="宋体" w:hAnsi="宋体" w:cs="Times New Roman"/>
          <w:sz w:val="18"/>
          <w:szCs w:val="18"/>
        </w:rPr>
        <w:t>⑫</w:t>
      </w:r>
      <w:r w:rsidR="00334A11" w:rsidRPr="00F210EC">
        <w:rPr>
          <w:rFonts w:ascii="宋体" w:eastAsia="宋体" w:hAnsi="宋体" w:cs="Times New Roman" w:hint="eastAsia"/>
          <w:sz w:val="18"/>
          <w:szCs w:val="18"/>
        </w:rPr>
        <w:t>最高人民法院，</w:t>
      </w:r>
      <w:r w:rsidR="00334A11" w:rsidRPr="00F210EC">
        <w:rPr>
          <w:rFonts w:ascii="宋体" w:eastAsia="宋体" w:hAnsi="宋体" w:cs="Times New Roman"/>
          <w:sz w:val="18"/>
          <w:szCs w:val="18"/>
        </w:rPr>
        <w:t>http://gongbao.court.gov.cn/Details/c15ac3fd6bd534567eec8e047941eb.html</w:t>
      </w:r>
      <w:r w:rsidR="00334A11" w:rsidRPr="00F210EC">
        <w:rPr>
          <w:rFonts w:ascii="宋体" w:eastAsia="宋体" w:hAnsi="宋体" w:cs="Times New Roman" w:hint="eastAsia"/>
          <w:sz w:val="18"/>
          <w:szCs w:val="18"/>
        </w:rPr>
        <w:t>,访问日期：2019-11-9。</w:t>
      </w:r>
    </w:p>
    <w:p w:rsidR="00544A17" w:rsidRDefault="00544A17" w:rsidP="00544A17">
      <w:pPr>
        <w:widowControl/>
        <w:rPr>
          <w:rFonts w:ascii="宋体" w:hAnsi="宋体" w:cs="宋体"/>
          <w:b/>
          <w:color w:val="000000"/>
          <w:sz w:val="18"/>
          <w:szCs w:val="18"/>
          <w:shd w:val="clear" w:color="auto" w:fill="FFFFFF"/>
        </w:rPr>
      </w:pPr>
      <w:r>
        <w:rPr>
          <w:rFonts w:ascii="宋体" w:hAnsi="宋体" w:cs="宋体" w:hint="eastAsia"/>
          <w:b/>
          <w:color w:val="000000"/>
          <w:sz w:val="18"/>
          <w:szCs w:val="18"/>
          <w:shd w:val="clear" w:color="auto" w:fill="FFFFFF"/>
        </w:rPr>
        <w:t>参考文献：</w:t>
      </w:r>
    </w:p>
    <w:p w:rsidR="001A6152" w:rsidRPr="00D514EB" w:rsidRDefault="009413B8" w:rsidP="00544A17">
      <w:pPr>
        <w:pStyle w:val="aa"/>
        <w:widowControl/>
        <w:spacing w:line="270" w:lineRule="atLeast"/>
        <w:rPr>
          <w:rFonts w:ascii="宋体" w:hAnsi="宋体" w:cs="宋体"/>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[1]乔于珊.美国判例制度与我国案例指导制度的适用比较研究 [J].法制与社会</w:t>
      </w:r>
      <w:r w:rsidR="00680FB9">
        <w:rPr>
          <w:rFonts w:ascii="宋体" w:hAnsi="宋体" w:cs="宋体" w:hint="eastAsia"/>
          <w:color w:val="000000" w:themeColor="text1"/>
          <w:kern w:val="2"/>
          <w:sz w:val="18"/>
          <w:szCs w:val="18"/>
          <w:shd w:val="clear" w:color="auto" w:fill="FFFFFF"/>
        </w:rPr>
        <w:t>，</w:t>
      </w:r>
      <w:r w:rsidR="00736D14">
        <w:rPr>
          <w:rFonts w:ascii="宋体" w:hAnsi="宋体" w:cs="宋体" w:hint="eastAsia"/>
          <w:color w:val="000000" w:themeColor="text1"/>
          <w:kern w:val="2"/>
          <w:sz w:val="18"/>
          <w:szCs w:val="18"/>
          <w:shd w:val="clear" w:color="auto" w:fill="FFFFFF"/>
        </w:rPr>
        <w:t>2019(18</w:t>
      </w:r>
      <w:r w:rsidRPr="00D514EB">
        <w:rPr>
          <w:rFonts w:ascii="宋体" w:hAnsi="宋体" w:cs="宋体" w:hint="eastAsia"/>
          <w:color w:val="000000" w:themeColor="text1"/>
          <w:kern w:val="2"/>
          <w:sz w:val="18"/>
          <w:szCs w:val="18"/>
          <w:shd w:val="clear" w:color="auto" w:fill="FFFFFF"/>
        </w:rPr>
        <w:t>)</w:t>
      </w:r>
    </w:p>
    <w:p w:rsidR="001A6152" w:rsidRPr="001A6152" w:rsidRDefault="00E96363" w:rsidP="00544A17">
      <w:pPr>
        <w:pStyle w:val="aa"/>
        <w:widowControl/>
        <w:spacing w:line="270" w:lineRule="atLeast"/>
        <w:rPr>
          <w:rFonts w:ascii="宋体" w:hAnsi="宋体" w:cs="宋体" w:hint="eastAsia"/>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[2</w:t>
      </w:r>
      <w:r w:rsidR="00544A17" w:rsidRPr="00D514EB">
        <w:rPr>
          <w:rFonts w:ascii="宋体" w:hAnsi="宋体" w:cs="宋体" w:hint="eastAsia"/>
          <w:color w:val="000000" w:themeColor="text1"/>
          <w:kern w:val="2"/>
          <w:sz w:val="18"/>
          <w:szCs w:val="18"/>
          <w:shd w:val="clear" w:color="auto" w:fill="FFFFFF"/>
        </w:rPr>
        <w:t>]</w:t>
      </w:r>
      <w:r w:rsidR="00086A0C" w:rsidRPr="00D514EB">
        <w:rPr>
          <w:rFonts w:ascii="宋体" w:hAnsi="宋体" w:cs="宋体" w:hint="eastAsia"/>
          <w:color w:val="000000" w:themeColor="text1"/>
          <w:kern w:val="2"/>
          <w:sz w:val="18"/>
          <w:szCs w:val="18"/>
          <w:shd w:val="clear" w:color="auto" w:fill="FFFFFF"/>
        </w:rPr>
        <w:t>朱顺.案例指导制度的中国特色问题 [J].安徽师范大学学报</w:t>
      </w:r>
      <w:r w:rsidR="00086A0C">
        <w:rPr>
          <w:rFonts w:ascii="宋体" w:hAnsi="宋体" w:cs="宋体" w:hint="eastAsia"/>
          <w:color w:val="000000" w:themeColor="text1"/>
          <w:kern w:val="2"/>
          <w:sz w:val="18"/>
          <w:szCs w:val="18"/>
          <w:shd w:val="clear" w:color="auto" w:fill="FFFFFF"/>
        </w:rPr>
        <w:t>，</w:t>
      </w:r>
      <w:r w:rsidR="00736D14">
        <w:rPr>
          <w:rFonts w:ascii="宋体" w:hAnsi="宋体" w:cs="宋体" w:hint="eastAsia"/>
          <w:color w:val="000000" w:themeColor="text1"/>
          <w:kern w:val="2"/>
          <w:sz w:val="18"/>
          <w:szCs w:val="18"/>
          <w:shd w:val="clear" w:color="auto" w:fill="FFFFFF"/>
        </w:rPr>
        <w:t>2015(06</w:t>
      </w:r>
      <w:r w:rsidR="00086A0C" w:rsidRPr="00D514EB">
        <w:rPr>
          <w:rFonts w:ascii="宋体" w:hAnsi="宋体" w:cs="宋体" w:hint="eastAsia"/>
          <w:color w:val="000000" w:themeColor="text1"/>
          <w:kern w:val="2"/>
          <w:sz w:val="18"/>
          <w:szCs w:val="18"/>
          <w:shd w:val="clear" w:color="auto" w:fill="FFFFFF"/>
        </w:rPr>
        <w:t>)</w:t>
      </w:r>
    </w:p>
    <w:p w:rsidR="00D515B9" w:rsidRPr="00D514EB" w:rsidRDefault="00E96363" w:rsidP="00D515B9">
      <w:pPr>
        <w:pStyle w:val="aa"/>
        <w:widowControl/>
        <w:spacing w:line="270" w:lineRule="atLeast"/>
        <w:rPr>
          <w:rFonts w:ascii="宋体" w:hAnsi="宋体" w:cs="宋体"/>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[3</w:t>
      </w:r>
      <w:r w:rsidR="00D515B9" w:rsidRPr="00D514EB">
        <w:rPr>
          <w:rFonts w:ascii="宋体" w:hAnsi="宋体" w:cs="宋体" w:hint="eastAsia"/>
          <w:color w:val="000000" w:themeColor="text1"/>
          <w:kern w:val="2"/>
          <w:sz w:val="18"/>
          <w:szCs w:val="18"/>
          <w:shd w:val="clear" w:color="auto" w:fill="FFFFFF"/>
        </w:rPr>
        <w:t>]</w:t>
      </w:r>
      <w:r w:rsidR="00086A0C" w:rsidRPr="00D514EB">
        <w:rPr>
          <w:rFonts w:ascii="宋体" w:hAnsi="宋体" w:cs="宋体" w:hint="eastAsia"/>
          <w:color w:val="000000" w:themeColor="text1"/>
          <w:kern w:val="2"/>
          <w:sz w:val="18"/>
          <w:szCs w:val="18"/>
          <w:shd w:val="clear" w:color="auto" w:fill="FFFFFF"/>
        </w:rPr>
        <w:t>马荣、葛文.指导性案例裁判要点的类型与运用研究——以《最高院人民公报》案例裁判摘要为原型的借鉴 [J].南京大学学报</w:t>
      </w:r>
      <w:r w:rsidR="00086A0C">
        <w:rPr>
          <w:rFonts w:ascii="宋体" w:hAnsi="宋体" w:cs="宋体" w:hint="eastAsia"/>
          <w:color w:val="000000" w:themeColor="text1"/>
          <w:kern w:val="2"/>
          <w:sz w:val="18"/>
          <w:szCs w:val="18"/>
          <w:shd w:val="clear" w:color="auto" w:fill="FFFFFF"/>
        </w:rPr>
        <w:t>，</w:t>
      </w:r>
      <w:r w:rsidR="00D11258">
        <w:rPr>
          <w:rFonts w:ascii="宋体" w:hAnsi="宋体" w:cs="宋体" w:hint="eastAsia"/>
          <w:color w:val="000000" w:themeColor="text1"/>
          <w:kern w:val="2"/>
          <w:sz w:val="18"/>
          <w:szCs w:val="18"/>
          <w:shd w:val="clear" w:color="auto" w:fill="FFFFFF"/>
        </w:rPr>
        <w:t>2012(03</w:t>
      </w:r>
      <w:r w:rsidR="00086A0C" w:rsidRPr="00D514EB">
        <w:rPr>
          <w:rFonts w:ascii="宋体" w:hAnsi="宋体" w:cs="宋体" w:hint="eastAsia"/>
          <w:color w:val="000000" w:themeColor="text1"/>
          <w:kern w:val="2"/>
          <w:sz w:val="18"/>
          <w:szCs w:val="18"/>
          <w:shd w:val="clear" w:color="auto" w:fill="FFFFFF"/>
        </w:rPr>
        <w:t>)</w:t>
      </w:r>
    </w:p>
    <w:p w:rsidR="001A6152" w:rsidRPr="001A6152" w:rsidRDefault="00E96363" w:rsidP="00D515B9">
      <w:pPr>
        <w:pStyle w:val="aa"/>
        <w:widowControl/>
        <w:spacing w:line="270" w:lineRule="atLeast"/>
        <w:rPr>
          <w:rFonts w:ascii="宋体" w:hAnsi="宋体" w:cs="宋体" w:hint="eastAsia"/>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[4</w:t>
      </w:r>
      <w:r w:rsidR="00D515B9" w:rsidRPr="00D514EB">
        <w:rPr>
          <w:rFonts w:ascii="宋体" w:hAnsi="宋体" w:cs="宋体" w:hint="eastAsia"/>
          <w:color w:val="000000" w:themeColor="text1"/>
          <w:kern w:val="2"/>
          <w:sz w:val="18"/>
          <w:szCs w:val="18"/>
          <w:shd w:val="clear" w:color="auto" w:fill="FFFFFF"/>
        </w:rPr>
        <w:t>]</w:t>
      </w:r>
      <w:r w:rsidR="001A6152" w:rsidRPr="00D514EB">
        <w:rPr>
          <w:rFonts w:ascii="宋体" w:hAnsi="宋体" w:cs="宋体" w:hint="eastAsia"/>
          <w:color w:val="000000" w:themeColor="text1"/>
          <w:kern w:val="2"/>
          <w:sz w:val="18"/>
          <w:szCs w:val="18"/>
          <w:shd w:val="clear" w:color="auto" w:fill="FFFFFF"/>
        </w:rPr>
        <w:t>赵元松.《最高人民法院公报》案例的效力分析 [J].法制与经济</w:t>
      </w:r>
      <w:r w:rsidR="00680FB9">
        <w:rPr>
          <w:rFonts w:ascii="宋体" w:hAnsi="宋体" w:cs="宋体" w:hint="eastAsia"/>
          <w:color w:val="000000" w:themeColor="text1"/>
          <w:kern w:val="2"/>
          <w:sz w:val="18"/>
          <w:szCs w:val="18"/>
          <w:shd w:val="clear" w:color="auto" w:fill="FFFFFF"/>
        </w:rPr>
        <w:t>，</w:t>
      </w:r>
      <w:r w:rsidR="001A6152" w:rsidRPr="00D514EB">
        <w:rPr>
          <w:rFonts w:ascii="宋体" w:hAnsi="宋体" w:cs="宋体" w:hint="eastAsia"/>
          <w:color w:val="000000" w:themeColor="text1"/>
          <w:kern w:val="2"/>
          <w:sz w:val="18"/>
          <w:szCs w:val="18"/>
          <w:shd w:val="clear" w:color="auto" w:fill="FFFFFF"/>
        </w:rPr>
        <w:t>2018(08)</w:t>
      </w:r>
    </w:p>
    <w:p w:rsidR="009413B8" w:rsidRPr="00D514EB" w:rsidRDefault="00E96363" w:rsidP="009413B8">
      <w:pPr>
        <w:pStyle w:val="aa"/>
        <w:widowControl/>
        <w:spacing w:line="270" w:lineRule="atLeast"/>
        <w:rPr>
          <w:rFonts w:ascii="宋体" w:hAnsi="宋体" w:cs="宋体"/>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[5</w:t>
      </w:r>
      <w:r w:rsidR="009413B8" w:rsidRPr="00D514EB">
        <w:rPr>
          <w:rFonts w:ascii="宋体" w:hAnsi="宋体" w:cs="宋体" w:hint="eastAsia"/>
          <w:color w:val="000000" w:themeColor="text1"/>
          <w:kern w:val="2"/>
          <w:sz w:val="18"/>
          <w:szCs w:val="18"/>
          <w:shd w:val="clear" w:color="auto" w:fill="FFFFFF"/>
        </w:rPr>
        <w:t>]</w:t>
      </w:r>
      <w:r w:rsidR="00086A0C" w:rsidRPr="00D514EB">
        <w:rPr>
          <w:rFonts w:ascii="宋体" w:hAnsi="宋体" w:cs="宋体" w:hint="eastAsia"/>
          <w:color w:val="000000" w:themeColor="text1"/>
          <w:kern w:val="2"/>
          <w:sz w:val="18"/>
          <w:szCs w:val="18"/>
          <w:shd w:val="clear" w:color="auto" w:fill="FFFFFF"/>
        </w:rPr>
        <w:t>陈光中、谢正权.关于建立我国判例制度的思考 [J].中国法学</w:t>
      </w:r>
      <w:r w:rsidR="00086A0C">
        <w:rPr>
          <w:rFonts w:ascii="宋体" w:hAnsi="宋体" w:cs="宋体" w:hint="eastAsia"/>
          <w:color w:val="000000" w:themeColor="text1"/>
          <w:kern w:val="2"/>
          <w:sz w:val="18"/>
          <w:szCs w:val="18"/>
          <w:shd w:val="clear" w:color="auto" w:fill="FFFFFF"/>
        </w:rPr>
        <w:t>，</w:t>
      </w:r>
      <w:r w:rsidR="007831EA">
        <w:rPr>
          <w:rFonts w:ascii="宋体" w:hAnsi="宋体" w:cs="宋体" w:hint="eastAsia"/>
          <w:color w:val="000000" w:themeColor="text1"/>
          <w:kern w:val="2"/>
          <w:sz w:val="18"/>
          <w:szCs w:val="18"/>
          <w:shd w:val="clear" w:color="auto" w:fill="FFFFFF"/>
        </w:rPr>
        <w:t>1989</w:t>
      </w:r>
      <w:r w:rsidR="00086A0C" w:rsidRPr="00D514EB">
        <w:rPr>
          <w:rFonts w:ascii="宋体" w:hAnsi="宋体" w:cs="宋体" w:hint="eastAsia"/>
          <w:color w:val="000000" w:themeColor="text1"/>
          <w:kern w:val="2"/>
          <w:sz w:val="18"/>
          <w:szCs w:val="18"/>
          <w:shd w:val="clear" w:color="auto" w:fill="FFFFFF"/>
        </w:rPr>
        <w:t>（02)</w:t>
      </w:r>
    </w:p>
    <w:p w:rsidR="004524BA" w:rsidRPr="00D514EB" w:rsidRDefault="00E96363" w:rsidP="009413B8">
      <w:pPr>
        <w:pStyle w:val="aa"/>
        <w:widowControl/>
        <w:spacing w:line="270" w:lineRule="atLeast"/>
        <w:rPr>
          <w:rFonts w:ascii="宋体" w:hAnsi="宋体" w:cs="宋体"/>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[6</w:t>
      </w:r>
      <w:r w:rsidR="004524BA" w:rsidRPr="00D514EB">
        <w:rPr>
          <w:rFonts w:ascii="宋体" w:hAnsi="宋体" w:cs="宋体" w:hint="eastAsia"/>
          <w:color w:val="000000" w:themeColor="text1"/>
          <w:kern w:val="2"/>
          <w:sz w:val="18"/>
          <w:szCs w:val="18"/>
          <w:shd w:val="clear" w:color="auto" w:fill="FFFFFF"/>
        </w:rPr>
        <w:t>]</w:t>
      </w:r>
      <w:proofErr w:type="gramStart"/>
      <w:r w:rsidR="00086A0C" w:rsidRPr="00D514EB">
        <w:rPr>
          <w:rFonts w:ascii="宋体" w:hAnsi="宋体" w:cs="宋体" w:hint="eastAsia"/>
          <w:color w:val="000000" w:themeColor="text1"/>
          <w:kern w:val="2"/>
          <w:sz w:val="18"/>
          <w:szCs w:val="18"/>
          <w:shd w:val="clear" w:color="auto" w:fill="FFFFFF"/>
        </w:rPr>
        <w:t>秦旺</w:t>
      </w:r>
      <w:proofErr w:type="gramEnd"/>
      <w:r w:rsidR="00086A0C" w:rsidRPr="00D514EB">
        <w:rPr>
          <w:rFonts w:ascii="宋体" w:hAnsi="宋体" w:cs="宋体" w:hint="eastAsia"/>
          <w:color w:val="000000" w:themeColor="text1"/>
          <w:kern w:val="2"/>
          <w:sz w:val="18"/>
          <w:szCs w:val="18"/>
          <w:shd w:val="clear" w:color="auto" w:fill="FFFFFF"/>
        </w:rPr>
        <w:t>.论我国案例指导制度的构建和适用方法——以《最高人民法院公报》为分析样本 [J].法律方法与法律思维</w:t>
      </w:r>
      <w:r w:rsidR="00086A0C">
        <w:rPr>
          <w:rFonts w:ascii="宋体" w:hAnsi="宋体" w:cs="宋体" w:hint="eastAsia"/>
          <w:color w:val="000000" w:themeColor="text1"/>
          <w:kern w:val="2"/>
          <w:sz w:val="18"/>
          <w:szCs w:val="18"/>
          <w:shd w:val="clear" w:color="auto" w:fill="FFFFFF"/>
        </w:rPr>
        <w:t>，</w:t>
      </w:r>
      <w:r w:rsidR="00967D6F">
        <w:rPr>
          <w:rFonts w:ascii="宋体" w:hAnsi="宋体" w:cs="宋体" w:hint="eastAsia"/>
          <w:color w:val="000000" w:themeColor="text1"/>
          <w:kern w:val="2"/>
          <w:sz w:val="18"/>
          <w:szCs w:val="18"/>
          <w:shd w:val="clear" w:color="auto" w:fill="FFFFFF"/>
        </w:rPr>
        <w:t>2007(00</w:t>
      </w:r>
      <w:r w:rsidR="00086A0C" w:rsidRPr="00D514EB">
        <w:rPr>
          <w:rFonts w:ascii="宋体" w:hAnsi="宋体" w:cs="宋体" w:hint="eastAsia"/>
          <w:color w:val="000000" w:themeColor="text1"/>
          <w:kern w:val="2"/>
          <w:sz w:val="18"/>
          <w:szCs w:val="18"/>
          <w:shd w:val="clear" w:color="auto" w:fill="FFFFFF"/>
        </w:rPr>
        <w:t>)</w:t>
      </w:r>
    </w:p>
    <w:p w:rsidR="008F2592" w:rsidRDefault="00E96363" w:rsidP="00086A0C">
      <w:pPr>
        <w:pStyle w:val="aa"/>
        <w:widowControl/>
        <w:spacing w:line="270" w:lineRule="atLeast"/>
        <w:rPr>
          <w:rFonts w:ascii="宋体" w:hAnsi="宋体" w:cs="宋体" w:hint="eastAsia"/>
          <w:color w:val="000000" w:themeColor="text1"/>
          <w:kern w:val="2"/>
          <w:sz w:val="18"/>
          <w:szCs w:val="18"/>
          <w:shd w:val="clear" w:color="auto" w:fill="FFFFFF"/>
        </w:rPr>
      </w:pPr>
      <w:r w:rsidRPr="00D514EB">
        <w:rPr>
          <w:rFonts w:ascii="宋体" w:hAnsi="宋体" w:cs="宋体" w:hint="eastAsia"/>
          <w:color w:val="000000" w:themeColor="text1"/>
          <w:kern w:val="2"/>
          <w:sz w:val="18"/>
          <w:szCs w:val="18"/>
          <w:shd w:val="clear" w:color="auto" w:fill="FFFFFF"/>
        </w:rPr>
        <w:t>[7</w:t>
      </w:r>
      <w:r w:rsidR="009413B8" w:rsidRPr="00D514EB">
        <w:rPr>
          <w:rFonts w:ascii="宋体" w:hAnsi="宋体" w:cs="宋体" w:hint="eastAsia"/>
          <w:color w:val="000000" w:themeColor="text1"/>
          <w:kern w:val="2"/>
          <w:sz w:val="18"/>
          <w:szCs w:val="18"/>
          <w:shd w:val="clear" w:color="auto" w:fill="FFFFFF"/>
        </w:rPr>
        <w:t>]</w:t>
      </w:r>
      <w:r w:rsidR="001A6152" w:rsidRPr="00D514EB">
        <w:rPr>
          <w:rFonts w:ascii="宋体" w:hAnsi="宋体" w:cs="宋体" w:hint="eastAsia"/>
          <w:color w:val="000000" w:themeColor="text1"/>
          <w:kern w:val="2"/>
          <w:sz w:val="18"/>
          <w:szCs w:val="18"/>
          <w:shd w:val="clear" w:color="auto" w:fill="FFFFFF"/>
        </w:rPr>
        <w:t>林菲菲.法律原则司法适用的时机——以《最高院公报》案例为对象 [J].南昌大学发现评论</w:t>
      </w:r>
      <w:r w:rsidR="00680FB9">
        <w:rPr>
          <w:rFonts w:ascii="宋体" w:hAnsi="宋体" w:cs="宋体" w:hint="eastAsia"/>
          <w:color w:val="000000" w:themeColor="text1"/>
          <w:kern w:val="2"/>
          <w:sz w:val="18"/>
          <w:szCs w:val="18"/>
          <w:shd w:val="clear" w:color="auto" w:fill="FFFFFF"/>
        </w:rPr>
        <w:t>，</w:t>
      </w:r>
      <w:r w:rsidR="001A6152" w:rsidRPr="00D514EB">
        <w:rPr>
          <w:rFonts w:ascii="宋体" w:hAnsi="宋体" w:cs="宋体" w:hint="eastAsia"/>
          <w:color w:val="000000" w:themeColor="text1"/>
          <w:kern w:val="2"/>
          <w:sz w:val="18"/>
          <w:szCs w:val="18"/>
          <w:shd w:val="clear" w:color="auto" w:fill="FFFFFF"/>
        </w:rPr>
        <w:t>2017(04)</w:t>
      </w:r>
    </w:p>
    <w:p w:rsidR="00D515B9" w:rsidRPr="009413B8" w:rsidRDefault="00D514EB" w:rsidP="00D514EB">
      <w:pPr>
        <w:pStyle w:val="aa"/>
        <w:widowControl/>
        <w:tabs>
          <w:tab w:val="left" w:pos="6495"/>
        </w:tabs>
        <w:spacing w:line="270" w:lineRule="atLeast"/>
        <w:rPr>
          <w:rFonts w:ascii="宋体" w:hAnsi="宋体" w:cs="宋体"/>
          <w:color w:val="FF0000"/>
          <w:kern w:val="2"/>
          <w:sz w:val="18"/>
          <w:szCs w:val="18"/>
          <w:shd w:val="clear" w:color="auto" w:fill="FFFFFF"/>
        </w:rPr>
      </w:pPr>
      <w:r w:rsidRPr="00D514EB">
        <w:rPr>
          <w:rFonts w:ascii="宋体" w:hAnsi="宋体" w:cs="宋体"/>
          <w:color w:val="000000" w:themeColor="text1"/>
          <w:kern w:val="2"/>
          <w:sz w:val="18"/>
          <w:szCs w:val="18"/>
          <w:shd w:val="clear" w:color="auto" w:fill="FFFFFF"/>
        </w:rPr>
        <w:tab/>
      </w:r>
    </w:p>
    <w:p w:rsidR="00544A17" w:rsidRDefault="00090DF4" w:rsidP="00090DF4">
      <w:pPr>
        <w:widowControl/>
        <w:ind w:left="357" w:hanging="357"/>
        <w:jc w:val="center"/>
        <w:rPr>
          <w:rFonts w:ascii="宋体" w:eastAsia="宋体" w:hAnsi="宋体" w:cs="宋体"/>
          <w:b/>
          <w:color w:val="000000"/>
          <w:sz w:val="18"/>
          <w:szCs w:val="18"/>
          <w:shd w:val="clear" w:color="auto" w:fill="FFFFFF"/>
        </w:rPr>
      </w:pPr>
      <w:r w:rsidRPr="00090DF4">
        <w:rPr>
          <w:rFonts w:ascii="宋体" w:eastAsia="宋体" w:hAnsi="宋体" w:cs="宋体"/>
          <w:b/>
          <w:color w:val="000000"/>
          <w:sz w:val="18"/>
          <w:szCs w:val="18"/>
          <w:shd w:val="clear" w:color="auto" w:fill="FFFFFF"/>
        </w:rPr>
        <w:t>On the application of the court to the Supreme Court Gazette cases</w:t>
      </w:r>
    </w:p>
    <w:p w:rsidR="00090DF4" w:rsidRDefault="00090DF4" w:rsidP="00090DF4">
      <w:pPr>
        <w:widowControl/>
        <w:ind w:left="357" w:hanging="357"/>
        <w:jc w:val="center"/>
        <w:rPr>
          <w:rFonts w:ascii="宋体" w:hAnsi="宋体" w:cs="宋体" w:hint="eastAsia"/>
          <w:color w:val="000000"/>
          <w:sz w:val="18"/>
          <w:szCs w:val="18"/>
          <w:shd w:val="clear" w:color="auto" w:fill="FFFFFF"/>
        </w:rPr>
      </w:pPr>
      <w:proofErr w:type="spellStart"/>
      <w:r>
        <w:rPr>
          <w:rFonts w:ascii="宋体" w:hAnsi="宋体" w:cs="宋体" w:hint="eastAsia"/>
          <w:color w:val="000000"/>
          <w:sz w:val="18"/>
          <w:szCs w:val="18"/>
          <w:shd w:val="clear" w:color="auto" w:fill="FFFFFF"/>
        </w:rPr>
        <w:t>Liaoyanping</w:t>
      </w:r>
      <w:proofErr w:type="spellEnd"/>
    </w:p>
    <w:p w:rsidR="0083058C" w:rsidRPr="0083058C" w:rsidRDefault="0083058C" w:rsidP="0083058C">
      <w:pPr>
        <w:jc w:val="center"/>
        <w:rPr>
          <w:rFonts w:ascii="宋体" w:hAnsi="宋体" w:cs="宋体"/>
          <w:color w:val="000000"/>
          <w:sz w:val="18"/>
          <w:szCs w:val="18"/>
          <w:shd w:val="clear" w:color="auto" w:fill="FFFFFF"/>
        </w:rPr>
      </w:pPr>
      <w:r w:rsidRPr="00602C81">
        <w:rPr>
          <w:rFonts w:ascii="宋体" w:hAnsi="宋体" w:cs="宋体"/>
          <w:color w:val="000000"/>
          <w:sz w:val="18"/>
          <w:szCs w:val="18"/>
          <w:shd w:val="clear" w:color="auto" w:fill="FFFFFF"/>
        </w:rPr>
        <w:t>(Law school of Hunan normal university, Changsha, Hunan 410006)</w:t>
      </w:r>
    </w:p>
    <w:p w:rsidR="003667E8" w:rsidRDefault="00DE24C3" w:rsidP="001349CC">
      <w:pPr>
        <w:widowControl/>
        <w:ind w:firstLineChars="200" w:firstLine="361"/>
        <w:jc w:val="left"/>
        <w:rPr>
          <w:rFonts w:ascii="宋体" w:eastAsia="宋体" w:hAnsi="宋体" w:cs="宋体"/>
          <w:color w:val="000000"/>
          <w:sz w:val="18"/>
          <w:szCs w:val="18"/>
          <w:shd w:val="clear" w:color="auto" w:fill="FFFFFF"/>
        </w:rPr>
      </w:pPr>
      <w:proofErr w:type="spellStart"/>
      <w:r>
        <w:rPr>
          <w:rFonts w:ascii="宋体" w:hAnsi="宋体" w:cs="宋体" w:hint="eastAsia"/>
          <w:b/>
          <w:color w:val="000000"/>
          <w:sz w:val="18"/>
          <w:szCs w:val="18"/>
          <w:shd w:val="clear" w:color="auto" w:fill="FFFFFF"/>
        </w:rPr>
        <w:t>Absrtact</w:t>
      </w:r>
      <w:proofErr w:type="spellEnd"/>
      <w:r>
        <w:rPr>
          <w:rFonts w:ascii="宋体" w:hAnsi="宋体" w:cs="宋体" w:hint="eastAsia"/>
          <w:b/>
          <w:color w:val="000000"/>
          <w:sz w:val="18"/>
          <w:szCs w:val="18"/>
          <w:shd w:val="clear" w:color="auto" w:fill="FFFFFF"/>
        </w:rPr>
        <w:t>:</w:t>
      </w:r>
      <w:r w:rsidR="003667E8" w:rsidRPr="003667E8">
        <w:t xml:space="preserve"> </w:t>
      </w:r>
      <w:r w:rsidR="003667E8" w:rsidRPr="003667E8">
        <w:rPr>
          <w:rFonts w:ascii="宋体" w:eastAsia="宋体" w:hAnsi="宋体" w:cs="宋体"/>
          <w:color w:val="000000"/>
          <w:sz w:val="18"/>
          <w:szCs w:val="18"/>
          <w:shd w:val="clear" w:color="auto" w:fill="FFFFFF"/>
        </w:rPr>
        <w:t xml:space="preserve">The cases in the Gazette of the Supreme People's court are different from the guiding cases published by the Supreme People's court. The guiding cases must be applied by reference. However, there are different opinions on how to apply the cases in the Gazette of the Supreme People's court, and there is no uniform practice in practice. In the judicial practice, the judge has no clear trial standard when applying the Supreme Court bulletin cases, which leads to different judgments of the same case and seriously affects the judicial justice. Therefore, it is of great significance for the Supreme Court to standardize the application rules of the court for the Supreme Court bulletin cases, to guide and supervise the courts at all levels, to supervise </w:t>
      </w:r>
      <w:r w:rsidR="003667E8" w:rsidRPr="003667E8">
        <w:rPr>
          <w:rFonts w:ascii="宋体" w:eastAsia="宋体" w:hAnsi="宋体" w:cs="宋体"/>
          <w:color w:val="000000"/>
          <w:sz w:val="18"/>
          <w:szCs w:val="18"/>
          <w:shd w:val="clear" w:color="auto" w:fill="FFFFFF"/>
        </w:rPr>
        <w:lastRenderedPageBreak/>
        <w:t>the lower courts by the higher courts, to regulate the trial behaviors of judges, and to pursue judicial justice.</w:t>
      </w:r>
    </w:p>
    <w:p w:rsidR="008F382A" w:rsidRDefault="00DE24C3" w:rsidP="001349CC">
      <w:pPr>
        <w:widowControl/>
        <w:ind w:firstLineChars="200" w:firstLine="361"/>
        <w:rPr>
          <w:rFonts w:ascii="宋体" w:eastAsia="宋体" w:hAnsi="宋体" w:cs="宋体"/>
          <w:color w:val="000000"/>
          <w:sz w:val="18"/>
          <w:szCs w:val="18"/>
          <w:shd w:val="clear" w:color="auto" w:fill="FFFFFF"/>
        </w:rPr>
      </w:pPr>
      <w:r>
        <w:rPr>
          <w:rFonts w:ascii="宋体" w:hAnsi="宋体" w:cs="宋体" w:hint="eastAsia"/>
          <w:b/>
          <w:color w:val="000000"/>
          <w:sz w:val="18"/>
          <w:szCs w:val="18"/>
          <w:shd w:val="clear" w:color="auto" w:fill="FFFFFF"/>
        </w:rPr>
        <w:t>Key words:</w:t>
      </w:r>
      <w:r w:rsidRPr="00DE24C3">
        <w:t xml:space="preserve"> </w:t>
      </w:r>
      <w:r w:rsidRPr="00DE24C3">
        <w:rPr>
          <w:rFonts w:ascii="宋体" w:eastAsia="宋体" w:hAnsi="宋体" w:cs="宋体"/>
          <w:color w:val="000000"/>
          <w:sz w:val="18"/>
          <w:szCs w:val="18"/>
          <w:shd w:val="clear" w:color="auto" w:fill="FFFFFF"/>
        </w:rPr>
        <w:t>Supreme People's court; Bulletin case;</w:t>
      </w:r>
      <w:r w:rsidRPr="00566D0E">
        <w:rPr>
          <w:rFonts w:ascii="宋体" w:eastAsia="宋体" w:hAnsi="宋体" w:cs="宋体"/>
          <w:color w:val="FF0000"/>
          <w:sz w:val="18"/>
          <w:szCs w:val="18"/>
          <w:shd w:val="clear" w:color="auto" w:fill="FFFFFF"/>
        </w:rPr>
        <w:t xml:space="preserve"> </w:t>
      </w:r>
      <w:r w:rsidR="00AA038A" w:rsidRPr="00AA038A">
        <w:rPr>
          <w:rFonts w:ascii="宋体" w:eastAsia="宋体" w:hAnsi="宋体" w:cs="宋体"/>
          <w:color w:val="000000"/>
          <w:sz w:val="18"/>
          <w:szCs w:val="18"/>
          <w:shd w:val="clear" w:color="auto" w:fill="FFFFFF"/>
        </w:rPr>
        <w:t>Reference application</w:t>
      </w:r>
    </w:p>
    <w:p w:rsidR="008F382A" w:rsidRPr="008F382A" w:rsidRDefault="008F382A" w:rsidP="008F382A">
      <w:pPr>
        <w:widowControl/>
        <w:ind w:firstLineChars="200" w:firstLine="360"/>
        <w:rPr>
          <w:rFonts w:ascii="宋体" w:eastAsia="宋体" w:hAnsi="宋体" w:cs="宋体"/>
          <w:color w:val="000000"/>
          <w:sz w:val="18"/>
          <w:szCs w:val="18"/>
          <w:shd w:val="clear" w:color="auto" w:fill="FFFFFF"/>
        </w:rPr>
      </w:pPr>
    </w:p>
    <w:sectPr w:rsidR="008F382A" w:rsidRPr="008F3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A83" w:rsidRDefault="00B76A83" w:rsidP="00EC7157">
      <w:r>
        <w:separator/>
      </w:r>
    </w:p>
  </w:endnote>
  <w:endnote w:type="continuationSeparator" w:id="0">
    <w:p w:rsidR="00B76A83" w:rsidRDefault="00B76A83" w:rsidP="00EC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A83" w:rsidRDefault="00B76A83" w:rsidP="00EC7157">
      <w:r>
        <w:separator/>
      </w:r>
    </w:p>
  </w:footnote>
  <w:footnote w:type="continuationSeparator" w:id="0">
    <w:p w:rsidR="00B76A83" w:rsidRDefault="00B76A83" w:rsidP="00EC7157">
      <w:r>
        <w:continuationSeparator/>
      </w:r>
    </w:p>
  </w:footnote>
  <w:footnote w:id="1">
    <w:p w:rsidR="0041716E" w:rsidRDefault="0041716E" w:rsidP="0041716E">
      <w:pPr>
        <w:rPr>
          <w:rFonts w:ascii="宋体" w:hAnsi="宋体" w:cs="宋体"/>
          <w:color w:val="000000"/>
          <w:sz w:val="18"/>
          <w:szCs w:val="18"/>
        </w:rPr>
      </w:pPr>
      <w:r>
        <w:rPr>
          <w:rStyle w:val="ac"/>
        </w:rPr>
        <w:footnoteRef/>
      </w:r>
      <w:r>
        <w:rPr>
          <w:rFonts w:ascii="宋体" w:hAnsi="宋体" w:cs="宋体" w:hint="eastAsia"/>
          <w:color w:val="000000"/>
          <w:sz w:val="18"/>
          <w:szCs w:val="18"/>
        </w:rPr>
        <w:t xml:space="preserve">  </w:t>
      </w:r>
      <w:r>
        <w:rPr>
          <w:rFonts w:ascii="宋体" w:hAnsi="宋体" w:cs="宋体" w:hint="eastAsia"/>
          <w:color w:val="000000"/>
          <w:sz w:val="18"/>
          <w:szCs w:val="18"/>
        </w:rPr>
        <w:t>收稿日期：</w:t>
      </w:r>
    </w:p>
    <w:p w:rsidR="0041716E" w:rsidRPr="0041716E" w:rsidRDefault="0041716E" w:rsidP="0041716E">
      <w:pPr>
        <w:ind w:firstLineChars="150" w:firstLine="270"/>
        <w:rPr>
          <w:rFonts w:ascii="宋体" w:hAnsi="宋体" w:cs="宋体" w:hint="eastAsia"/>
          <w:color w:val="000000"/>
          <w:sz w:val="18"/>
          <w:szCs w:val="18"/>
        </w:rPr>
      </w:pPr>
      <w:r>
        <w:rPr>
          <w:rFonts w:ascii="宋体" w:hAnsi="宋体" w:cs="宋体" w:hint="eastAsia"/>
          <w:color w:val="000000"/>
          <w:sz w:val="18"/>
          <w:szCs w:val="18"/>
        </w:rPr>
        <w:t>作者简介：廖艳萍</w:t>
      </w:r>
      <w:r w:rsidRPr="00DD1120">
        <w:rPr>
          <w:rFonts w:ascii="宋体" w:hAnsi="宋体" w:cs="宋体" w:hint="eastAsia"/>
          <w:color w:val="000000"/>
          <w:sz w:val="18"/>
          <w:szCs w:val="18"/>
        </w:rPr>
        <w:t>（1</w:t>
      </w:r>
      <w:r>
        <w:rPr>
          <w:rFonts w:ascii="宋体" w:hAnsi="宋体" w:cs="宋体"/>
          <w:color w:val="000000"/>
          <w:sz w:val="18"/>
          <w:szCs w:val="18"/>
        </w:rPr>
        <w:t>99</w:t>
      </w:r>
      <w:r>
        <w:rPr>
          <w:rFonts w:ascii="宋体" w:hAnsi="宋体" w:cs="宋体" w:hint="eastAsia"/>
          <w:color w:val="000000"/>
          <w:sz w:val="18"/>
          <w:szCs w:val="18"/>
        </w:rPr>
        <w:t>5</w:t>
      </w:r>
      <w:r w:rsidRPr="00DD1120">
        <w:rPr>
          <w:rFonts w:ascii="宋体" w:hAnsi="宋体" w:cs="宋体"/>
          <w:color w:val="000000"/>
          <w:sz w:val="18"/>
          <w:szCs w:val="18"/>
        </w:rPr>
        <w:t>-</w:t>
      </w:r>
      <w:r>
        <w:rPr>
          <w:rFonts w:ascii="宋体" w:hAnsi="宋体" w:cs="宋体" w:hint="eastAsia"/>
          <w:color w:val="000000"/>
          <w:sz w:val="18"/>
          <w:szCs w:val="18"/>
        </w:rPr>
        <w:t>），女</w:t>
      </w:r>
      <w:r w:rsidRPr="00DD1120">
        <w:rPr>
          <w:rFonts w:ascii="宋体" w:hAnsi="宋体" w:cs="宋体" w:hint="eastAsia"/>
          <w:color w:val="000000"/>
          <w:sz w:val="18"/>
          <w:szCs w:val="18"/>
        </w:rPr>
        <w:t>，湖南邵阳人，法学硕士，湖南师范大学法学院，研究方向：民商法。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00"/>
    <w:rsid w:val="00004A6A"/>
    <w:rsid w:val="00005DAD"/>
    <w:rsid w:val="00007DBF"/>
    <w:rsid w:val="00007F4F"/>
    <w:rsid w:val="00031A6D"/>
    <w:rsid w:val="00035D3F"/>
    <w:rsid w:val="00037153"/>
    <w:rsid w:val="00041C62"/>
    <w:rsid w:val="00053006"/>
    <w:rsid w:val="000767C2"/>
    <w:rsid w:val="00086A0C"/>
    <w:rsid w:val="00090C81"/>
    <w:rsid w:val="00090DF4"/>
    <w:rsid w:val="00096761"/>
    <w:rsid w:val="000A579C"/>
    <w:rsid w:val="000D7AC8"/>
    <w:rsid w:val="000E2E4A"/>
    <w:rsid w:val="00100C93"/>
    <w:rsid w:val="001109AB"/>
    <w:rsid w:val="00111BE9"/>
    <w:rsid w:val="00116428"/>
    <w:rsid w:val="00131E8E"/>
    <w:rsid w:val="001349CC"/>
    <w:rsid w:val="001478D8"/>
    <w:rsid w:val="00155F9A"/>
    <w:rsid w:val="00162809"/>
    <w:rsid w:val="00164FB1"/>
    <w:rsid w:val="00167710"/>
    <w:rsid w:val="001720A6"/>
    <w:rsid w:val="00185DD6"/>
    <w:rsid w:val="001A3A20"/>
    <w:rsid w:val="001A6152"/>
    <w:rsid w:val="001B16A7"/>
    <w:rsid w:val="001D0D9B"/>
    <w:rsid w:val="001D2366"/>
    <w:rsid w:val="001D6C31"/>
    <w:rsid w:val="001E0F1C"/>
    <w:rsid w:val="001F6D80"/>
    <w:rsid w:val="00201E38"/>
    <w:rsid w:val="002072CB"/>
    <w:rsid w:val="002116D7"/>
    <w:rsid w:val="0027075C"/>
    <w:rsid w:val="00271397"/>
    <w:rsid w:val="00275FA8"/>
    <w:rsid w:val="002A05F6"/>
    <w:rsid w:val="002E09F7"/>
    <w:rsid w:val="002F30A7"/>
    <w:rsid w:val="002F32E2"/>
    <w:rsid w:val="0030016D"/>
    <w:rsid w:val="003019B9"/>
    <w:rsid w:val="00301BD2"/>
    <w:rsid w:val="00304572"/>
    <w:rsid w:val="00334A11"/>
    <w:rsid w:val="00351155"/>
    <w:rsid w:val="00355954"/>
    <w:rsid w:val="00357835"/>
    <w:rsid w:val="003667E8"/>
    <w:rsid w:val="00390F3F"/>
    <w:rsid w:val="003B1DCD"/>
    <w:rsid w:val="003B21B8"/>
    <w:rsid w:val="003C2C80"/>
    <w:rsid w:val="003F4B56"/>
    <w:rsid w:val="0041716E"/>
    <w:rsid w:val="00426ABB"/>
    <w:rsid w:val="00445D52"/>
    <w:rsid w:val="0044738E"/>
    <w:rsid w:val="004524BA"/>
    <w:rsid w:val="00460218"/>
    <w:rsid w:val="004611C0"/>
    <w:rsid w:val="0047393C"/>
    <w:rsid w:val="004933FC"/>
    <w:rsid w:val="004A649F"/>
    <w:rsid w:val="004C5D5C"/>
    <w:rsid w:val="004E3AAA"/>
    <w:rsid w:val="00501309"/>
    <w:rsid w:val="005432FE"/>
    <w:rsid w:val="00544A17"/>
    <w:rsid w:val="00557FB3"/>
    <w:rsid w:val="005639C5"/>
    <w:rsid w:val="00566D0E"/>
    <w:rsid w:val="00570432"/>
    <w:rsid w:val="005714D5"/>
    <w:rsid w:val="005B6178"/>
    <w:rsid w:val="005C77AA"/>
    <w:rsid w:val="005D6610"/>
    <w:rsid w:val="005E0695"/>
    <w:rsid w:val="005E4D82"/>
    <w:rsid w:val="005F6BD9"/>
    <w:rsid w:val="006023BD"/>
    <w:rsid w:val="0064176B"/>
    <w:rsid w:val="006563C0"/>
    <w:rsid w:val="00680FB9"/>
    <w:rsid w:val="0069372B"/>
    <w:rsid w:val="006D044D"/>
    <w:rsid w:val="006D48A1"/>
    <w:rsid w:val="006D7185"/>
    <w:rsid w:val="00707204"/>
    <w:rsid w:val="00711A1A"/>
    <w:rsid w:val="0071725B"/>
    <w:rsid w:val="007218E7"/>
    <w:rsid w:val="00724693"/>
    <w:rsid w:val="00725057"/>
    <w:rsid w:val="0073563F"/>
    <w:rsid w:val="00736D14"/>
    <w:rsid w:val="00757D20"/>
    <w:rsid w:val="00766462"/>
    <w:rsid w:val="00775BBF"/>
    <w:rsid w:val="00775DF6"/>
    <w:rsid w:val="007831EA"/>
    <w:rsid w:val="00792A4B"/>
    <w:rsid w:val="007A4942"/>
    <w:rsid w:val="007B771A"/>
    <w:rsid w:val="007C0C30"/>
    <w:rsid w:val="007D5507"/>
    <w:rsid w:val="007D74C6"/>
    <w:rsid w:val="007E6A5E"/>
    <w:rsid w:val="007F07F6"/>
    <w:rsid w:val="007F16DF"/>
    <w:rsid w:val="008064EA"/>
    <w:rsid w:val="00810B2C"/>
    <w:rsid w:val="00813913"/>
    <w:rsid w:val="00815E16"/>
    <w:rsid w:val="00826E4C"/>
    <w:rsid w:val="0083058C"/>
    <w:rsid w:val="00854F96"/>
    <w:rsid w:val="008637C2"/>
    <w:rsid w:val="0086467C"/>
    <w:rsid w:val="00864768"/>
    <w:rsid w:val="008706B1"/>
    <w:rsid w:val="00884F0B"/>
    <w:rsid w:val="008931C1"/>
    <w:rsid w:val="00893CE1"/>
    <w:rsid w:val="0089500C"/>
    <w:rsid w:val="008D16C8"/>
    <w:rsid w:val="008D3323"/>
    <w:rsid w:val="008D56B3"/>
    <w:rsid w:val="008F2592"/>
    <w:rsid w:val="008F382A"/>
    <w:rsid w:val="008F3C5C"/>
    <w:rsid w:val="008F77A7"/>
    <w:rsid w:val="00921A25"/>
    <w:rsid w:val="009413B8"/>
    <w:rsid w:val="00943CAB"/>
    <w:rsid w:val="00954B8C"/>
    <w:rsid w:val="00967D6F"/>
    <w:rsid w:val="00994D2E"/>
    <w:rsid w:val="009A375C"/>
    <w:rsid w:val="009A4292"/>
    <w:rsid w:val="009A56AA"/>
    <w:rsid w:val="009B7C0E"/>
    <w:rsid w:val="009C3DAB"/>
    <w:rsid w:val="009E7358"/>
    <w:rsid w:val="009F13DB"/>
    <w:rsid w:val="00A05E58"/>
    <w:rsid w:val="00A13A74"/>
    <w:rsid w:val="00A1419A"/>
    <w:rsid w:val="00A15624"/>
    <w:rsid w:val="00A2224B"/>
    <w:rsid w:val="00A30BA5"/>
    <w:rsid w:val="00A41E5B"/>
    <w:rsid w:val="00A43211"/>
    <w:rsid w:val="00A623E3"/>
    <w:rsid w:val="00A84AE4"/>
    <w:rsid w:val="00AA038A"/>
    <w:rsid w:val="00AA09AF"/>
    <w:rsid w:val="00AB0ADC"/>
    <w:rsid w:val="00AB1B72"/>
    <w:rsid w:val="00AB6A53"/>
    <w:rsid w:val="00AD0586"/>
    <w:rsid w:val="00AD77B3"/>
    <w:rsid w:val="00AE09DB"/>
    <w:rsid w:val="00AF6EC7"/>
    <w:rsid w:val="00B16C83"/>
    <w:rsid w:val="00B53486"/>
    <w:rsid w:val="00B66F85"/>
    <w:rsid w:val="00B76A83"/>
    <w:rsid w:val="00BC2FB2"/>
    <w:rsid w:val="00BC5446"/>
    <w:rsid w:val="00BC61FF"/>
    <w:rsid w:val="00BD6227"/>
    <w:rsid w:val="00BE3807"/>
    <w:rsid w:val="00BF7AAB"/>
    <w:rsid w:val="00C031CF"/>
    <w:rsid w:val="00C0441F"/>
    <w:rsid w:val="00C128A2"/>
    <w:rsid w:val="00C15211"/>
    <w:rsid w:val="00C20408"/>
    <w:rsid w:val="00C24542"/>
    <w:rsid w:val="00C5197A"/>
    <w:rsid w:val="00C5611B"/>
    <w:rsid w:val="00C63F0F"/>
    <w:rsid w:val="00CD4A72"/>
    <w:rsid w:val="00CF0B96"/>
    <w:rsid w:val="00CF6DF6"/>
    <w:rsid w:val="00D076EA"/>
    <w:rsid w:val="00D11258"/>
    <w:rsid w:val="00D27723"/>
    <w:rsid w:val="00D34AEC"/>
    <w:rsid w:val="00D514EB"/>
    <w:rsid w:val="00D515B9"/>
    <w:rsid w:val="00D83CD4"/>
    <w:rsid w:val="00D85A1B"/>
    <w:rsid w:val="00D86066"/>
    <w:rsid w:val="00D947A5"/>
    <w:rsid w:val="00DB1A39"/>
    <w:rsid w:val="00DC501D"/>
    <w:rsid w:val="00DE24C3"/>
    <w:rsid w:val="00DE2ABF"/>
    <w:rsid w:val="00DE471D"/>
    <w:rsid w:val="00E01FB8"/>
    <w:rsid w:val="00E10799"/>
    <w:rsid w:val="00E15E00"/>
    <w:rsid w:val="00E216D0"/>
    <w:rsid w:val="00E267A1"/>
    <w:rsid w:val="00E671AF"/>
    <w:rsid w:val="00E96363"/>
    <w:rsid w:val="00EB70F3"/>
    <w:rsid w:val="00EC18B8"/>
    <w:rsid w:val="00EC7157"/>
    <w:rsid w:val="00EE7F65"/>
    <w:rsid w:val="00F210EC"/>
    <w:rsid w:val="00F341D3"/>
    <w:rsid w:val="00F63AA6"/>
    <w:rsid w:val="00F9231C"/>
    <w:rsid w:val="00F936D4"/>
    <w:rsid w:val="00F97DEC"/>
    <w:rsid w:val="00FB5120"/>
    <w:rsid w:val="00FB7EAE"/>
    <w:rsid w:val="00FD05EE"/>
    <w:rsid w:val="00FD6256"/>
    <w:rsid w:val="00FE1FFF"/>
    <w:rsid w:val="00FE3D8A"/>
    <w:rsid w:val="00FF64A6"/>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1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7157"/>
    <w:rPr>
      <w:sz w:val="18"/>
      <w:szCs w:val="18"/>
    </w:rPr>
  </w:style>
  <w:style w:type="paragraph" w:styleId="a4">
    <w:name w:val="footer"/>
    <w:basedOn w:val="a"/>
    <w:link w:val="Char0"/>
    <w:uiPriority w:val="99"/>
    <w:unhideWhenUsed/>
    <w:rsid w:val="00EC7157"/>
    <w:pPr>
      <w:tabs>
        <w:tab w:val="center" w:pos="4153"/>
        <w:tab w:val="right" w:pos="8306"/>
      </w:tabs>
      <w:snapToGrid w:val="0"/>
      <w:jc w:val="left"/>
    </w:pPr>
    <w:rPr>
      <w:sz w:val="18"/>
      <w:szCs w:val="18"/>
    </w:rPr>
  </w:style>
  <w:style w:type="character" w:customStyle="1" w:styleId="Char0">
    <w:name w:val="页脚 Char"/>
    <w:basedOn w:val="a0"/>
    <w:link w:val="a4"/>
    <w:uiPriority w:val="99"/>
    <w:rsid w:val="00EC7157"/>
    <w:rPr>
      <w:sz w:val="18"/>
      <w:szCs w:val="18"/>
    </w:rPr>
  </w:style>
  <w:style w:type="table" w:styleId="a5">
    <w:name w:val="Table Grid"/>
    <w:basedOn w:val="a1"/>
    <w:rsid w:val="00EB70F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9231C"/>
    <w:pPr>
      <w:ind w:firstLineChars="200" w:firstLine="420"/>
    </w:pPr>
  </w:style>
  <w:style w:type="character" w:styleId="a7">
    <w:name w:val="endnote reference"/>
    <w:rsid w:val="00EC18B8"/>
    <w:rPr>
      <w:vertAlign w:val="superscript"/>
    </w:rPr>
  </w:style>
  <w:style w:type="paragraph" w:styleId="a8">
    <w:name w:val="endnote text"/>
    <w:basedOn w:val="a"/>
    <w:link w:val="Char1"/>
    <w:rsid w:val="00EC18B8"/>
    <w:pPr>
      <w:snapToGrid w:val="0"/>
      <w:jc w:val="left"/>
    </w:pPr>
    <w:rPr>
      <w:rFonts w:ascii="Calibri" w:eastAsia="宋体" w:hAnsi="Calibri" w:cs="Times New Roman"/>
      <w:szCs w:val="24"/>
    </w:rPr>
  </w:style>
  <w:style w:type="character" w:customStyle="1" w:styleId="Char1">
    <w:name w:val="尾注文本 Char"/>
    <w:basedOn w:val="a0"/>
    <w:link w:val="a8"/>
    <w:rsid w:val="00EC18B8"/>
    <w:rPr>
      <w:rFonts w:ascii="Calibri" w:eastAsia="宋体" w:hAnsi="Calibri" w:cs="Times New Roman"/>
      <w:szCs w:val="24"/>
    </w:rPr>
  </w:style>
  <w:style w:type="character" w:customStyle="1" w:styleId="highlight">
    <w:name w:val="highlight"/>
    <w:basedOn w:val="a0"/>
    <w:rsid w:val="00826E4C"/>
  </w:style>
  <w:style w:type="character" w:styleId="a9">
    <w:name w:val="Hyperlink"/>
    <w:basedOn w:val="a0"/>
    <w:uiPriority w:val="99"/>
    <w:semiHidden/>
    <w:unhideWhenUsed/>
    <w:rsid w:val="00D076EA"/>
    <w:rPr>
      <w:color w:val="0000FF"/>
      <w:u w:val="single"/>
    </w:rPr>
  </w:style>
  <w:style w:type="paragraph" w:styleId="aa">
    <w:name w:val="Normal (Web)"/>
    <w:basedOn w:val="a"/>
    <w:rsid w:val="00544A17"/>
    <w:pPr>
      <w:jc w:val="left"/>
    </w:pPr>
    <w:rPr>
      <w:rFonts w:ascii="Calibri" w:eastAsia="宋体" w:hAnsi="Calibri" w:cs="Times New Roman"/>
      <w:kern w:val="0"/>
      <w:sz w:val="24"/>
      <w:szCs w:val="24"/>
    </w:rPr>
  </w:style>
  <w:style w:type="paragraph" w:styleId="ab">
    <w:name w:val="footnote text"/>
    <w:basedOn w:val="a"/>
    <w:link w:val="Char2"/>
    <w:uiPriority w:val="99"/>
    <w:semiHidden/>
    <w:unhideWhenUsed/>
    <w:rsid w:val="00334A11"/>
    <w:pPr>
      <w:snapToGrid w:val="0"/>
      <w:jc w:val="left"/>
    </w:pPr>
    <w:rPr>
      <w:sz w:val="18"/>
      <w:szCs w:val="18"/>
    </w:rPr>
  </w:style>
  <w:style w:type="character" w:customStyle="1" w:styleId="Char2">
    <w:name w:val="脚注文本 Char"/>
    <w:basedOn w:val="a0"/>
    <w:link w:val="ab"/>
    <w:uiPriority w:val="99"/>
    <w:semiHidden/>
    <w:rsid w:val="00334A11"/>
    <w:rPr>
      <w:sz w:val="18"/>
      <w:szCs w:val="18"/>
    </w:rPr>
  </w:style>
  <w:style w:type="character" w:styleId="ac">
    <w:name w:val="footnote reference"/>
    <w:basedOn w:val="a0"/>
    <w:uiPriority w:val="99"/>
    <w:semiHidden/>
    <w:unhideWhenUsed/>
    <w:rsid w:val="00334A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1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7157"/>
    <w:rPr>
      <w:sz w:val="18"/>
      <w:szCs w:val="18"/>
    </w:rPr>
  </w:style>
  <w:style w:type="paragraph" w:styleId="a4">
    <w:name w:val="footer"/>
    <w:basedOn w:val="a"/>
    <w:link w:val="Char0"/>
    <w:uiPriority w:val="99"/>
    <w:unhideWhenUsed/>
    <w:rsid w:val="00EC7157"/>
    <w:pPr>
      <w:tabs>
        <w:tab w:val="center" w:pos="4153"/>
        <w:tab w:val="right" w:pos="8306"/>
      </w:tabs>
      <w:snapToGrid w:val="0"/>
      <w:jc w:val="left"/>
    </w:pPr>
    <w:rPr>
      <w:sz w:val="18"/>
      <w:szCs w:val="18"/>
    </w:rPr>
  </w:style>
  <w:style w:type="character" w:customStyle="1" w:styleId="Char0">
    <w:name w:val="页脚 Char"/>
    <w:basedOn w:val="a0"/>
    <w:link w:val="a4"/>
    <w:uiPriority w:val="99"/>
    <w:rsid w:val="00EC7157"/>
    <w:rPr>
      <w:sz w:val="18"/>
      <w:szCs w:val="18"/>
    </w:rPr>
  </w:style>
  <w:style w:type="table" w:styleId="a5">
    <w:name w:val="Table Grid"/>
    <w:basedOn w:val="a1"/>
    <w:rsid w:val="00EB70F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9231C"/>
    <w:pPr>
      <w:ind w:firstLineChars="200" w:firstLine="420"/>
    </w:pPr>
  </w:style>
  <w:style w:type="character" w:styleId="a7">
    <w:name w:val="endnote reference"/>
    <w:rsid w:val="00EC18B8"/>
    <w:rPr>
      <w:vertAlign w:val="superscript"/>
    </w:rPr>
  </w:style>
  <w:style w:type="paragraph" w:styleId="a8">
    <w:name w:val="endnote text"/>
    <w:basedOn w:val="a"/>
    <w:link w:val="Char1"/>
    <w:rsid w:val="00EC18B8"/>
    <w:pPr>
      <w:snapToGrid w:val="0"/>
      <w:jc w:val="left"/>
    </w:pPr>
    <w:rPr>
      <w:rFonts w:ascii="Calibri" w:eastAsia="宋体" w:hAnsi="Calibri" w:cs="Times New Roman"/>
      <w:szCs w:val="24"/>
    </w:rPr>
  </w:style>
  <w:style w:type="character" w:customStyle="1" w:styleId="Char1">
    <w:name w:val="尾注文本 Char"/>
    <w:basedOn w:val="a0"/>
    <w:link w:val="a8"/>
    <w:rsid w:val="00EC18B8"/>
    <w:rPr>
      <w:rFonts w:ascii="Calibri" w:eastAsia="宋体" w:hAnsi="Calibri" w:cs="Times New Roman"/>
      <w:szCs w:val="24"/>
    </w:rPr>
  </w:style>
  <w:style w:type="character" w:customStyle="1" w:styleId="highlight">
    <w:name w:val="highlight"/>
    <w:basedOn w:val="a0"/>
    <w:rsid w:val="00826E4C"/>
  </w:style>
  <w:style w:type="character" w:styleId="a9">
    <w:name w:val="Hyperlink"/>
    <w:basedOn w:val="a0"/>
    <w:uiPriority w:val="99"/>
    <w:semiHidden/>
    <w:unhideWhenUsed/>
    <w:rsid w:val="00D076EA"/>
    <w:rPr>
      <w:color w:val="0000FF"/>
      <w:u w:val="single"/>
    </w:rPr>
  </w:style>
  <w:style w:type="paragraph" w:styleId="aa">
    <w:name w:val="Normal (Web)"/>
    <w:basedOn w:val="a"/>
    <w:rsid w:val="00544A17"/>
    <w:pPr>
      <w:jc w:val="left"/>
    </w:pPr>
    <w:rPr>
      <w:rFonts w:ascii="Calibri" w:eastAsia="宋体" w:hAnsi="Calibri" w:cs="Times New Roman"/>
      <w:kern w:val="0"/>
      <w:sz w:val="24"/>
      <w:szCs w:val="24"/>
    </w:rPr>
  </w:style>
  <w:style w:type="paragraph" w:styleId="ab">
    <w:name w:val="footnote text"/>
    <w:basedOn w:val="a"/>
    <w:link w:val="Char2"/>
    <w:uiPriority w:val="99"/>
    <w:semiHidden/>
    <w:unhideWhenUsed/>
    <w:rsid w:val="00334A11"/>
    <w:pPr>
      <w:snapToGrid w:val="0"/>
      <w:jc w:val="left"/>
    </w:pPr>
    <w:rPr>
      <w:sz w:val="18"/>
      <w:szCs w:val="18"/>
    </w:rPr>
  </w:style>
  <w:style w:type="character" w:customStyle="1" w:styleId="Char2">
    <w:name w:val="脚注文本 Char"/>
    <w:basedOn w:val="a0"/>
    <w:link w:val="ab"/>
    <w:uiPriority w:val="99"/>
    <w:semiHidden/>
    <w:rsid w:val="00334A11"/>
    <w:rPr>
      <w:sz w:val="18"/>
      <w:szCs w:val="18"/>
    </w:rPr>
  </w:style>
  <w:style w:type="character" w:styleId="ac">
    <w:name w:val="footnote reference"/>
    <w:basedOn w:val="a0"/>
    <w:uiPriority w:val="99"/>
    <w:semiHidden/>
    <w:unhideWhenUsed/>
    <w:rsid w:val="00334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414504-5652646.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5E723-92F1-4AD0-9A35-2E7AD666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7</Pages>
  <Words>1240</Words>
  <Characters>7074</Characters>
  <Application>Microsoft Office Word</Application>
  <DocSecurity>0</DocSecurity>
  <Lines>58</Lines>
  <Paragraphs>16</Paragraphs>
  <ScaleCrop>false</ScaleCrop>
  <Company>Microsoft</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Mifea</dc:creator>
  <cp:lastModifiedBy>Mifea</cp:lastModifiedBy>
  <cp:revision>39</cp:revision>
  <dcterms:created xsi:type="dcterms:W3CDTF">2019-12-15T03:15:00Z</dcterms:created>
  <dcterms:modified xsi:type="dcterms:W3CDTF">2020-02-25T04:40:00Z</dcterms:modified>
</cp:coreProperties>
</file>