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utoSpaceDE/>
        <w:autoSpaceDN/>
        <w:spacing w:before="0" w:after="0" w:line="240" w:lineRule="auto"/>
        <w:ind w:left="0" w:right="0" w:firstLine="0"/>
        <w:jc w:val="both"/>
        <w:rPr>
          <w:rFonts w:hint="default" w:ascii="华文楷体" w:hAnsi="华文楷体" w:eastAsia="华文楷体"/>
          <w:b/>
          <w:color w:val="auto"/>
          <w:position w:val="0"/>
          <w:sz w:val="44"/>
          <w:szCs w:val="44"/>
        </w:rPr>
      </w:pPr>
      <w:r>
        <w:rPr>
          <w:rFonts w:hint="default" w:ascii="华文楷体" w:hAnsi="华文楷体" w:eastAsia="华文楷体"/>
          <w:color w:val="auto"/>
          <w:position w:val="0"/>
          <w:sz w:val="28"/>
          <w:szCs w:val="28"/>
        </w:rPr>
        <w:t xml:space="preserve"> </w:t>
      </w:r>
    </w:p>
    <w:p>
      <w:pPr>
        <w:numPr>
          <w:ilvl w:val="0"/>
          <w:numId w:val="0"/>
        </w:numPr>
        <w:autoSpaceDE/>
        <w:autoSpaceDN/>
        <w:spacing w:before="0" w:after="0" w:line="240" w:lineRule="auto"/>
        <w:ind w:left="0" w:right="0" w:firstLine="0"/>
        <w:jc w:val="center"/>
        <w:rPr>
          <w:rFonts w:hint="default" w:ascii="华文楷体" w:hAnsi="华文楷体" w:eastAsia="华文楷体"/>
          <w:b/>
          <w:color w:val="auto"/>
          <w:position w:val="0"/>
          <w:sz w:val="44"/>
          <w:szCs w:val="44"/>
        </w:rPr>
      </w:pPr>
      <w:r>
        <w:rPr>
          <w:rFonts w:hint="default" w:ascii="华文楷体" w:hAnsi="华文楷体" w:eastAsia="华文楷体"/>
          <w:b/>
          <w:color w:val="auto"/>
          <w:position w:val="0"/>
          <w:sz w:val="44"/>
          <w:szCs w:val="44"/>
        </w:rPr>
        <w:t>PICC置管后局部渗液的研究现状</w:t>
      </w:r>
    </w:p>
    <w:p>
      <w:pPr>
        <w:numPr>
          <w:ilvl w:val="0"/>
          <w:numId w:val="0"/>
        </w:numPr>
        <w:autoSpaceDE/>
        <w:autoSpaceDN/>
        <w:spacing w:before="0" w:after="0" w:line="240" w:lineRule="auto"/>
        <w:ind w:left="0" w:right="0" w:firstLine="2240"/>
        <w:jc w:val="both"/>
        <w:rPr>
          <w:rFonts w:hint="default" w:ascii="华文楷体" w:hAnsi="华文楷体" w:eastAsia="华文楷体"/>
          <w:color w:val="auto"/>
          <w:position w:val="0"/>
          <w:sz w:val="28"/>
          <w:szCs w:val="28"/>
        </w:rPr>
      </w:pPr>
    </w:p>
    <w:p>
      <w:pPr>
        <w:numPr>
          <w:ilvl w:val="0"/>
          <w:numId w:val="0"/>
        </w:numPr>
        <w:autoSpaceDE/>
        <w:autoSpaceDN/>
        <w:spacing w:before="0" w:after="0" w:line="240" w:lineRule="auto"/>
        <w:ind w:left="0" w:right="0" w:firstLine="3542" w:firstLineChars="1265"/>
        <w:jc w:val="both"/>
        <w:rPr>
          <w:rFonts w:hint="default" w:ascii="华文楷体" w:hAnsi="华文楷体" w:eastAsia="华文楷体"/>
          <w:color w:val="auto"/>
          <w:position w:val="0"/>
          <w:sz w:val="28"/>
          <w:szCs w:val="28"/>
        </w:rPr>
      </w:pPr>
      <w:bookmarkStart w:id="0" w:name="_GoBack"/>
      <w:bookmarkEnd w:id="0"/>
      <w:r>
        <w:rPr>
          <w:rFonts w:hint="eastAsia" w:ascii="华文楷体" w:hAnsi="华文楷体" w:eastAsia="华文楷体"/>
          <w:color w:val="auto"/>
          <w:position w:val="0"/>
          <w:sz w:val="28"/>
          <w:szCs w:val="28"/>
          <w:lang w:eastAsia="zh-CN"/>
        </w:rPr>
        <w:t>成武海吉亚</w:t>
      </w:r>
      <w:r>
        <w:rPr>
          <w:rFonts w:hint="default" w:ascii="华文楷体" w:hAnsi="华文楷体" w:eastAsia="华文楷体"/>
          <w:color w:val="auto"/>
          <w:position w:val="0"/>
          <w:sz w:val="28"/>
          <w:szCs w:val="28"/>
        </w:rPr>
        <w:t xml:space="preserve">医院 </w:t>
      </w:r>
      <w:r>
        <w:rPr>
          <w:rFonts w:hint="eastAsia" w:ascii="华文楷体" w:hAnsi="华文楷体" w:eastAsia="华文楷体"/>
          <w:color w:val="auto"/>
          <w:position w:val="0"/>
          <w:sz w:val="28"/>
          <w:szCs w:val="28"/>
          <w:lang w:val="en-US" w:eastAsia="zh-CN"/>
        </w:rPr>
        <w:t xml:space="preserve">      </w:t>
      </w:r>
      <w:r>
        <w:rPr>
          <w:rFonts w:hint="eastAsia" w:ascii="华文楷体" w:hAnsi="华文楷体" w:eastAsia="华文楷体"/>
          <w:color w:val="auto"/>
          <w:position w:val="0"/>
          <w:sz w:val="28"/>
          <w:szCs w:val="28"/>
          <w:lang w:eastAsia="zh-CN"/>
        </w:rPr>
        <w:t>张凤</w:t>
      </w:r>
      <w:r>
        <w:rPr>
          <w:rFonts w:hint="default" w:ascii="华文楷体" w:hAnsi="华文楷体" w:eastAsia="华文楷体"/>
          <w:color w:val="auto"/>
          <w:position w:val="0"/>
          <w:sz w:val="28"/>
          <w:szCs w:val="28"/>
        </w:rPr>
        <w:t xml:space="preserve"> </w:t>
      </w:r>
    </w:p>
    <w:p>
      <w:pPr>
        <w:numPr>
          <w:ilvl w:val="0"/>
          <w:numId w:val="0"/>
        </w:numPr>
        <w:autoSpaceDE/>
        <w:autoSpaceDN/>
        <w:spacing w:before="0" w:after="0" w:line="240" w:lineRule="auto"/>
        <w:ind w:left="0" w:right="0" w:firstLine="0"/>
        <w:jc w:val="both"/>
        <w:rPr>
          <w:rFonts w:hint="default" w:ascii="华文楷体" w:hAnsi="华文楷体" w:eastAsia="华文楷体"/>
          <w:color w:val="auto"/>
          <w:position w:val="0"/>
          <w:sz w:val="28"/>
          <w:szCs w:val="28"/>
        </w:rPr>
      </w:pP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华文楷体" w:hAnsi="华文楷体" w:eastAsia="华文楷体"/>
          <w:b/>
          <w:color w:val="auto"/>
          <w:position w:val="0"/>
          <w:sz w:val="28"/>
          <w:szCs w:val="28"/>
        </w:rPr>
        <w:t>[摘 要]</w:t>
      </w:r>
      <w:r>
        <w:rPr>
          <w:rFonts w:hint="default" w:ascii="宋体" w:hAnsi="宋体" w:eastAsia="宋体"/>
          <w:color w:val="auto"/>
          <w:position w:val="0"/>
          <w:sz w:val="24"/>
          <w:szCs w:val="24"/>
        </w:rPr>
        <w:t xml:space="preserve"> 综述了患者PICC 置管后局部渗液的原因及护理方案的研究现状。 从患者自身因素、PICC 置管因素、其它疾病因素、循证等方面阐述 PICC 置管后发生局部渗液的原因，为更有效地避免渗液发生，降低置管后相关并发症发生率，目前临床主要从置管前全面评估、穿刺部位的选择、送鞘方法、导管固定方法、换药方法、预防纤维蛋白鞘形成及导管破裂等方面进行干预和护理。</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b/>
          <w:color w:val="auto"/>
          <w:position w:val="0"/>
          <w:sz w:val="24"/>
          <w:szCs w:val="24"/>
        </w:rPr>
        <w:t>[关键词]</w:t>
      </w:r>
      <w:r>
        <w:rPr>
          <w:rFonts w:hint="default" w:ascii="宋体" w:hAnsi="宋体" w:eastAsia="宋体"/>
          <w:color w:val="auto"/>
          <w:position w:val="0"/>
          <w:sz w:val="24"/>
          <w:szCs w:val="24"/>
        </w:rPr>
        <w:t xml:space="preserve"> PICC；置管；渗液；研究进展</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 xml:space="preserve">    经外周置入中心静脉导管（peripherally insertedcentral catheters,PICC）是指经外周静脉穿刺，将一根由硅胶材料制成、标有刻度、能以放射显影的中心静脉导管插入静脉，并使其顶端位于上或下腔静脉内的深静脉导管置入技术</w:t>
      </w:r>
      <w:r>
        <w:rPr>
          <w:rFonts w:hint="default" w:ascii="宋体" w:hAnsi="宋体" w:eastAsia="宋体"/>
          <w:color w:val="FF0000"/>
          <w:position w:val="0"/>
          <w:sz w:val="24"/>
          <w:szCs w:val="24"/>
          <w:vertAlign w:val="superscript"/>
        </w:rPr>
        <w:t>［1］</w:t>
      </w:r>
      <w:r>
        <w:rPr>
          <w:rFonts w:hint="default" w:ascii="宋体" w:hAnsi="宋体" w:eastAsia="宋体"/>
          <w:color w:val="auto"/>
          <w:position w:val="0"/>
          <w:sz w:val="24"/>
          <w:szCs w:val="24"/>
        </w:rPr>
        <w:t>。其操作简捷、使用安全、维护简单、便于长期留置，是一种可由护士操作的中心静脉置管术</w:t>
      </w:r>
      <w:r>
        <w:rPr>
          <w:rFonts w:hint="default" w:ascii="宋体" w:hAnsi="宋体" w:eastAsia="宋体"/>
          <w:color w:val="FF0000"/>
          <w:position w:val="0"/>
          <w:sz w:val="24"/>
          <w:szCs w:val="24"/>
          <w:vertAlign w:val="superscript"/>
        </w:rPr>
        <w:t>［2］</w:t>
      </w:r>
      <w:r>
        <w:rPr>
          <w:rFonts w:hint="default" w:ascii="宋体" w:hAnsi="宋体" w:eastAsia="宋体"/>
          <w:color w:val="auto"/>
          <w:position w:val="0"/>
          <w:sz w:val="24"/>
          <w:szCs w:val="24"/>
        </w:rPr>
        <w:t>。但随着置管技术在临床的普及，置管后的并发症也逐渐增加。 有研究显示，中心静脉置管术的总并发症的发生率高达15.9％</w:t>
      </w:r>
      <w:r>
        <w:rPr>
          <w:rFonts w:hint="default" w:ascii="宋体" w:hAnsi="宋体" w:eastAsia="宋体"/>
          <w:color w:val="FF0000"/>
          <w:position w:val="0"/>
          <w:sz w:val="24"/>
          <w:szCs w:val="24"/>
          <w:vertAlign w:val="superscript"/>
        </w:rPr>
        <w:t>［3］</w:t>
      </w:r>
      <w:r>
        <w:rPr>
          <w:rFonts w:hint="default" w:ascii="宋体" w:hAnsi="宋体" w:eastAsia="宋体"/>
          <w:color w:val="auto"/>
          <w:position w:val="0"/>
          <w:sz w:val="24"/>
          <w:szCs w:val="24"/>
        </w:rPr>
        <w:t>。文献报道 24 h 内局部渗血发生率为 80%以上</w:t>
      </w:r>
      <w:r>
        <w:rPr>
          <w:rFonts w:hint="default" w:ascii="宋体" w:hAnsi="宋体" w:eastAsia="宋体"/>
          <w:color w:val="FF0000"/>
          <w:position w:val="0"/>
          <w:sz w:val="24"/>
          <w:szCs w:val="24"/>
          <w:vertAlign w:val="superscript"/>
        </w:rPr>
        <w:t>[4]</w:t>
      </w:r>
      <w:r>
        <w:rPr>
          <w:rFonts w:hint="default" w:ascii="宋体" w:hAnsi="宋体" w:eastAsia="宋体"/>
          <w:color w:val="auto"/>
          <w:position w:val="0"/>
          <w:sz w:val="24"/>
          <w:szCs w:val="24"/>
        </w:rPr>
        <w:t>，在有出血倾向的患者中甚至可达 100%</w:t>
      </w:r>
      <w:r>
        <w:rPr>
          <w:rFonts w:hint="default" w:ascii="宋体" w:hAnsi="宋体" w:eastAsia="宋体"/>
          <w:color w:val="FF0000"/>
          <w:position w:val="0"/>
          <w:sz w:val="24"/>
          <w:szCs w:val="24"/>
          <w:vertAlign w:val="superscript"/>
        </w:rPr>
        <w:t>[5]</w:t>
      </w:r>
      <w:r>
        <w:rPr>
          <w:rFonts w:hint="default" w:ascii="宋体" w:hAnsi="宋体" w:eastAsia="宋体"/>
          <w:color w:val="auto"/>
          <w:position w:val="0"/>
          <w:sz w:val="24"/>
          <w:szCs w:val="24"/>
        </w:rPr>
        <w:t>。如处理不当将会引发导管相关性血流感染以及增加患者拔管几率。本文就PICC 置管后局部渗液的原因及护理方案进行综述，旨在为临床静疗工作提供一定的文献依据和参考。</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p>
    <w:p>
      <w:pPr>
        <w:numPr>
          <w:ilvl w:val="0"/>
          <w:numId w:val="0"/>
        </w:numPr>
        <w:autoSpaceDE/>
        <w:autoSpaceDN/>
        <w:spacing w:before="0" w:after="0" w:line="240" w:lineRule="auto"/>
        <w:ind w:left="0" w:right="0" w:firstLine="0"/>
        <w:jc w:val="both"/>
        <w:rPr>
          <w:rFonts w:hint="default" w:ascii="宋体" w:hAnsi="宋体" w:eastAsia="宋体"/>
          <w:b/>
          <w:color w:val="auto"/>
          <w:position w:val="0"/>
          <w:sz w:val="24"/>
          <w:szCs w:val="24"/>
        </w:rPr>
      </w:pPr>
      <w:r>
        <w:rPr>
          <w:rFonts w:hint="default" w:ascii="宋体" w:hAnsi="宋体" w:eastAsia="宋体"/>
          <w:b/>
          <w:color w:val="auto"/>
          <w:position w:val="0"/>
          <w:sz w:val="24"/>
          <w:szCs w:val="24"/>
        </w:rPr>
        <w:t>1  PICC穿刺后发生渗液的影响因素</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 xml:space="preserve">1．1 患者自身因素 </w:t>
      </w:r>
    </w:p>
    <w:p>
      <w:pPr>
        <w:numPr>
          <w:ilvl w:val="0"/>
          <w:numId w:val="0"/>
        </w:numPr>
        <w:autoSpaceDE/>
        <w:autoSpaceDN/>
        <w:spacing w:before="0" w:after="0" w:line="240" w:lineRule="auto"/>
        <w:ind w:left="0" w:right="0" w:firstLine="56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文献显示</w:t>
      </w:r>
      <w:r>
        <w:rPr>
          <w:rFonts w:hint="default" w:ascii="宋体" w:hAnsi="宋体" w:eastAsia="宋体"/>
          <w:color w:val="FF0000"/>
          <w:position w:val="0"/>
          <w:sz w:val="24"/>
          <w:szCs w:val="24"/>
          <w:vertAlign w:val="superscript"/>
        </w:rPr>
        <w:t>[6]</w:t>
      </w:r>
      <w:r>
        <w:rPr>
          <w:rFonts w:hint="default" w:ascii="宋体" w:hAnsi="宋体" w:eastAsia="宋体"/>
          <w:color w:val="auto"/>
          <w:position w:val="0"/>
          <w:sz w:val="24"/>
          <w:szCs w:val="24"/>
        </w:rPr>
        <w:t>，患者体质差，营养不良者，血管弹性差者，由于皮下脂肪少，组织松弛，置管后周围组织包裹不严，组织液易从穿刺点渗出。</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1．2穿刺方法</w:t>
      </w:r>
    </w:p>
    <w:p>
      <w:pPr>
        <w:numPr>
          <w:ilvl w:val="0"/>
          <w:numId w:val="0"/>
        </w:numPr>
        <w:autoSpaceDE/>
        <w:autoSpaceDN/>
        <w:spacing w:before="0" w:after="0" w:line="240" w:lineRule="auto"/>
        <w:ind w:left="0" w:right="0" w:firstLine="57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超声引导下改良赛丁格穿刺技术行上臂(肘上)PICC置管相较传统肘下直视下PICC置管的穿刺点渗液发生率较高</w:t>
      </w:r>
      <w:r>
        <w:rPr>
          <w:rFonts w:hint="default" w:ascii="宋体" w:hAnsi="宋体" w:eastAsia="宋体"/>
          <w:color w:val="FF0000"/>
          <w:position w:val="0"/>
          <w:sz w:val="24"/>
          <w:szCs w:val="24"/>
          <w:vertAlign w:val="superscript"/>
        </w:rPr>
        <w:t>[7]</w:t>
      </w:r>
      <w:r>
        <w:rPr>
          <w:rFonts w:hint="default" w:ascii="宋体" w:hAnsi="宋体" w:eastAsia="宋体"/>
          <w:color w:val="auto"/>
          <w:position w:val="0"/>
          <w:sz w:val="24"/>
          <w:szCs w:val="24"/>
        </w:rPr>
        <w:t>。研究表明</w:t>
      </w:r>
      <w:r>
        <w:rPr>
          <w:rFonts w:hint="default" w:ascii="宋体" w:hAnsi="宋体" w:eastAsia="宋体"/>
          <w:color w:val="FF0000"/>
          <w:position w:val="0"/>
          <w:sz w:val="24"/>
          <w:szCs w:val="24"/>
          <w:vertAlign w:val="superscript"/>
        </w:rPr>
        <w:t>[6]</w:t>
      </w:r>
      <w:r>
        <w:rPr>
          <w:rFonts w:hint="default" w:ascii="宋体" w:hAnsi="宋体" w:eastAsia="宋体"/>
          <w:color w:val="auto"/>
          <w:position w:val="0"/>
          <w:sz w:val="24"/>
          <w:szCs w:val="24"/>
        </w:rPr>
        <w:t>，采用超声引导下改良赛丁格穿刺技术置人PICC，该方法置管过程中常规在穿刺点扩皮，致切口过大，导致PICC导管与周围组织存在间隙，使组织液从穿刺处渗出。如为老年或营养不良患者更加难以愈合，从而导致穿刺点持续渗液。反复穿刺亦有加重穿刺部位创口扩大可能，如穿刺侧肢体活动过度，频繁屈伸，可导致导管与周围组织产生间隙，发生液体渗出</w:t>
      </w:r>
      <w:r>
        <w:rPr>
          <w:rFonts w:hint="default" w:ascii="宋体" w:hAnsi="宋体" w:eastAsia="宋体"/>
          <w:color w:val="FF0000"/>
          <w:position w:val="0"/>
          <w:sz w:val="24"/>
          <w:szCs w:val="24"/>
          <w:vertAlign w:val="superscript"/>
        </w:rPr>
        <w:t>[7]</w:t>
      </w:r>
      <w:r>
        <w:rPr>
          <w:rFonts w:hint="default" w:ascii="宋体" w:hAnsi="宋体" w:eastAsia="宋体"/>
          <w:color w:val="auto"/>
          <w:position w:val="0"/>
          <w:sz w:val="24"/>
          <w:szCs w:val="24"/>
        </w:rPr>
        <w:t>。</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1．3 穿刺过程淋巴管损伤</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 xml:space="preserve">    在穿刺血管周围腔隙中有淋巴管通过，尤其是多次穿刺或送管可穿破淋巴管导致淋巴液渗出，淋巴液呈淡黄色或无色</w:t>
      </w:r>
      <w:r>
        <w:rPr>
          <w:rFonts w:hint="default" w:ascii="宋体" w:hAnsi="宋体" w:eastAsia="宋体"/>
          <w:color w:val="FF0000"/>
          <w:position w:val="0"/>
          <w:sz w:val="24"/>
          <w:szCs w:val="24"/>
          <w:vertAlign w:val="superscript"/>
        </w:rPr>
        <w:t>[6]</w:t>
      </w:r>
      <w:r>
        <w:rPr>
          <w:rFonts w:hint="default" w:ascii="宋体" w:hAnsi="宋体" w:eastAsia="宋体"/>
          <w:color w:val="auto"/>
          <w:position w:val="0"/>
          <w:sz w:val="24"/>
          <w:szCs w:val="24"/>
        </w:rPr>
        <w:t>。超声引导下留置PICC管宜选择患者的上臂作为置管部位，因贵要静脉粗、直、静脉瓣少，故首选贵要静脉。但在腕及前臂前面淋巴管形成约有30个集合淋巴管，分桡侧群、尺侧群和中间群，收纳中环小指淋巴注入肘浅(滑车上)淋巴结。而肘浅淋巴结位于肱骨内上髁上方、深筋膜的浅面、贵要静脉的尺侧，其输出管伴贵要静脉</w:t>
      </w:r>
      <w:r>
        <w:rPr>
          <w:rFonts w:hint="default" w:ascii="宋体" w:hAnsi="宋体" w:eastAsia="宋体"/>
          <w:color w:val="FF0000"/>
          <w:position w:val="0"/>
          <w:sz w:val="24"/>
          <w:szCs w:val="24"/>
          <w:vertAlign w:val="superscript"/>
        </w:rPr>
        <w:t>[23]</w:t>
      </w:r>
      <w:r>
        <w:rPr>
          <w:rFonts w:hint="default" w:ascii="宋体" w:hAnsi="宋体" w:eastAsia="宋体"/>
          <w:color w:val="auto"/>
          <w:position w:val="0"/>
          <w:sz w:val="24"/>
          <w:szCs w:val="24"/>
        </w:rPr>
        <w:t>。研究显示</w:t>
      </w:r>
      <w:r>
        <w:rPr>
          <w:rFonts w:hint="default" w:ascii="宋体" w:hAnsi="宋体" w:eastAsia="宋体"/>
          <w:color w:val="FF0000"/>
          <w:position w:val="0"/>
          <w:sz w:val="24"/>
          <w:szCs w:val="24"/>
          <w:vertAlign w:val="superscript"/>
        </w:rPr>
        <w:t>[8]</w:t>
      </w:r>
      <w:r>
        <w:rPr>
          <w:rFonts w:hint="default" w:ascii="宋体" w:hAnsi="宋体" w:eastAsia="宋体"/>
          <w:color w:val="auto"/>
          <w:position w:val="0"/>
          <w:sz w:val="24"/>
          <w:szCs w:val="24"/>
        </w:rPr>
        <w:t>，若穿刺者对解剖位置不熟悉或反复地静脉穿刺，难免会损伤浅表淋巴管，造成穿刺点持续渗液。</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1．4纤维蛋白鞘形成</w:t>
      </w:r>
    </w:p>
    <w:p>
      <w:pPr>
        <w:numPr>
          <w:ilvl w:val="0"/>
          <w:numId w:val="0"/>
        </w:numPr>
        <w:autoSpaceDE/>
        <w:autoSpaceDN/>
        <w:spacing w:before="0" w:after="0" w:line="240" w:lineRule="auto"/>
        <w:ind w:left="0" w:right="0" w:firstLine="56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纤维蛋白鞘是包裹于中心静脉导管表面的膜状物，是由平滑肌细胞、红细胞、血栓、内皮细胞及胶原蛋白等组成</w:t>
      </w:r>
      <w:r>
        <w:rPr>
          <w:rFonts w:hint="default" w:ascii="宋体" w:hAnsi="宋体" w:eastAsia="宋体"/>
          <w:color w:val="FF0000"/>
          <w:position w:val="0"/>
          <w:sz w:val="24"/>
          <w:szCs w:val="24"/>
          <w:vertAlign w:val="superscript"/>
        </w:rPr>
        <w:t>[24]</w:t>
      </w:r>
      <w:r>
        <w:rPr>
          <w:rFonts w:hint="default" w:ascii="宋体" w:hAnsi="宋体" w:eastAsia="宋体"/>
          <w:color w:val="auto"/>
          <w:position w:val="0"/>
          <w:sz w:val="24"/>
          <w:szCs w:val="24"/>
        </w:rPr>
        <w:t>。PICC置管时．由于不同程度的血管内膜损伤，可以激活凝血系统，损伤内皮细胞，促使血小板和白细胞粘附在内皮细胞上，凝血因子的激活生成凝血酶，使纤维蛋白原转变成纤维蛋白，从而导致纤维蛋白鞘的形成</w:t>
      </w:r>
      <w:r>
        <w:rPr>
          <w:rFonts w:hint="default" w:ascii="宋体" w:hAnsi="宋体" w:eastAsia="宋体"/>
          <w:color w:val="FF0000"/>
          <w:position w:val="0"/>
          <w:sz w:val="24"/>
          <w:szCs w:val="24"/>
          <w:vertAlign w:val="superscript"/>
        </w:rPr>
        <w:t>[17]</w:t>
      </w:r>
      <w:r>
        <w:rPr>
          <w:rFonts w:hint="default" w:ascii="宋体" w:hAnsi="宋体" w:eastAsia="宋体"/>
          <w:color w:val="auto"/>
          <w:position w:val="0"/>
          <w:sz w:val="24"/>
          <w:szCs w:val="24"/>
        </w:rPr>
        <w:t>。纤维蛋白鞘形成后阻挡药物回流至上腔静脉，则药液从阻力最低的穿刺点流出</w:t>
      </w:r>
      <w:r>
        <w:rPr>
          <w:rFonts w:hint="default" w:ascii="宋体" w:hAnsi="宋体" w:eastAsia="宋体"/>
          <w:color w:val="FF0000"/>
          <w:position w:val="0"/>
          <w:sz w:val="24"/>
          <w:szCs w:val="24"/>
          <w:vertAlign w:val="superscript"/>
        </w:rPr>
        <w:t>[10]</w:t>
      </w:r>
      <w:r>
        <w:rPr>
          <w:rFonts w:hint="default" w:ascii="宋体" w:hAnsi="宋体" w:eastAsia="宋体"/>
          <w:color w:val="auto"/>
          <w:position w:val="0"/>
          <w:sz w:val="24"/>
          <w:szCs w:val="24"/>
        </w:rPr>
        <w:t>。</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1．5导管破裂</w:t>
      </w:r>
    </w:p>
    <w:p>
      <w:pPr>
        <w:numPr>
          <w:ilvl w:val="0"/>
          <w:numId w:val="0"/>
        </w:numPr>
        <w:autoSpaceDE/>
        <w:autoSpaceDN/>
        <w:spacing w:before="0" w:after="0" w:line="240" w:lineRule="auto"/>
        <w:ind w:left="0" w:right="0" w:firstLine="56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文献报道</w:t>
      </w:r>
      <w:r>
        <w:rPr>
          <w:rFonts w:hint="default" w:ascii="宋体" w:hAnsi="宋体" w:eastAsia="宋体"/>
          <w:color w:val="FF0000"/>
          <w:position w:val="0"/>
          <w:sz w:val="24"/>
          <w:szCs w:val="24"/>
          <w:vertAlign w:val="superscript"/>
        </w:rPr>
        <w:t>[6]</w:t>
      </w:r>
      <w:r>
        <w:rPr>
          <w:rFonts w:hint="default" w:ascii="宋体" w:hAnsi="宋体" w:eastAsia="宋体"/>
          <w:color w:val="auto"/>
          <w:position w:val="0"/>
          <w:sz w:val="24"/>
          <w:szCs w:val="24"/>
        </w:rPr>
        <w:t>，血管内靠近穿刺点处血管内导管发生破裂时．同样可以导致穿刺点渗液，输液时尤为明显。</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 xml:space="preserve">1．6穿刺点局部反应 </w:t>
      </w:r>
    </w:p>
    <w:p>
      <w:pPr>
        <w:numPr>
          <w:ilvl w:val="0"/>
          <w:numId w:val="0"/>
        </w:numPr>
        <w:autoSpaceDE/>
        <w:autoSpaceDN/>
        <w:spacing w:before="0" w:after="0" w:line="240" w:lineRule="auto"/>
        <w:ind w:left="0" w:right="0" w:firstLine="56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研究显示</w:t>
      </w:r>
      <w:r>
        <w:rPr>
          <w:rFonts w:hint="default" w:ascii="宋体" w:hAnsi="宋体" w:eastAsia="宋体"/>
          <w:color w:val="FF0000"/>
          <w:position w:val="0"/>
          <w:sz w:val="24"/>
          <w:szCs w:val="24"/>
          <w:vertAlign w:val="superscript"/>
        </w:rPr>
        <w:t>[6]</w:t>
      </w:r>
      <w:r>
        <w:rPr>
          <w:rFonts w:hint="default" w:ascii="宋体" w:hAnsi="宋体" w:eastAsia="宋体"/>
          <w:color w:val="auto"/>
          <w:position w:val="0"/>
          <w:sz w:val="24"/>
          <w:szCs w:val="24"/>
        </w:rPr>
        <w:t>，穿刺点局部感染或皮肤过敏也可导致穿刺点渗液。患者穿刺点表现为红、肿、热、痛，并有炎性渗出，为局部组织炎症反应导致组织渗液；贴膜下皮肤瘙痒，伴红斑水疱等皮疹，为局部组织变态反应导致组织渗液。</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1．7导管固定方法</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 xml:space="preserve">   导管的固定方法与PICC穿刺点渗液有关的观点也曾被报道</w:t>
      </w:r>
      <w:r>
        <w:rPr>
          <w:rFonts w:hint="default" w:ascii="宋体" w:hAnsi="宋体" w:eastAsia="宋体"/>
          <w:color w:val="FF0000"/>
          <w:position w:val="0"/>
          <w:sz w:val="24"/>
          <w:szCs w:val="24"/>
          <w:vertAlign w:val="superscript"/>
        </w:rPr>
        <w:t>[9]</w:t>
      </w:r>
      <w:r>
        <w:rPr>
          <w:rFonts w:hint="default" w:ascii="宋体" w:hAnsi="宋体" w:eastAsia="宋体"/>
          <w:color w:val="auto"/>
          <w:position w:val="0"/>
          <w:sz w:val="24"/>
          <w:szCs w:val="24"/>
        </w:rPr>
        <w:t>。导管通常由穿刺者在穿刺后按照规范统一手法固定。导管外露部分行“S”或“C”型固定，外观上大多统一样式，目前没有具体的标准考量。“S”或“C”型弧度大小无标准，全凭穿刺者习惯，存在随意性。因此，可能存在固定过短患者不活动时就已存在牵拉伤口，而固定的力量又较大，压迫伤口，伤口处组织血运降低，影响伤口收缩能力。导管与周围组织间隙过大，致使组织液从穿刺处渗出。</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 . 8  送鞘方法</w:t>
      </w:r>
    </w:p>
    <w:p>
      <w:pPr>
        <w:numPr>
          <w:ilvl w:val="0"/>
          <w:numId w:val="0"/>
        </w:numPr>
        <w:autoSpaceDE/>
        <w:autoSpaceDN/>
        <w:spacing w:before="0" w:after="0" w:line="240" w:lineRule="auto"/>
        <w:ind w:left="0" w:right="0" w:firstLine="56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手术刀扩皮送鞘是采用刀片将表皮、真皮层甚至皮下组织层切开，对组织、毛细血管、毛细淋巴管造成损伤。目前手术刀扩皮深度和方向无统一的标准，由操作人员把握，存在很大个体差异，国内多个学者已对扩皮的方向、角度，扩皮刀刃进入的距离，或使用其他工具进行扩皮等进行了研究，有文献认为手术刀刃 进入皮下 1～5 mm</w:t>
      </w:r>
      <w:r>
        <w:rPr>
          <w:rFonts w:hint="default" w:ascii="宋体" w:hAnsi="宋体" w:eastAsia="宋体"/>
          <w:color w:val="FF0000"/>
          <w:position w:val="0"/>
          <w:sz w:val="24"/>
          <w:szCs w:val="24"/>
          <w:vertAlign w:val="superscript"/>
        </w:rPr>
        <w:t>[25]</w:t>
      </w:r>
      <w:r>
        <w:rPr>
          <w:rFonts w:hint="default" w:ascii="宋体" w:hAnsi="宋体" w:eastAsia="宋体"/>
          <w:color w:val="auto"/>
          <w:position w:val="0"/>
          <w:sz w:val="24"/>
          <w:szCs w:val="24"/>
        </w:rPr>
        <w:t>，也有文献建议扩皮深度为 2～3 mm</w:t>
      </w:r>
      <w:r>
        <w:rPr>
          <w:rFonts w:hint="default" w:ascii="宋体" w:hAnsi="宋体" w:eastAsia="宋体"/>
          <w:color w:val="FF0000"/>
          <w:position w:val="0"/>
          <w:sz w:val="24"/>
          <w:szCs w:val="24"/>
          <w:vertAlign w:val="superscript"/>
        </w:rPr>
        <w:t>[26]</w:t>
      </w:r>
      <w:r>
        <w:rPr>
          <w:rFonts w:hint="default" w:ascii="宋体" w:hAnsi="宋体" w:eastAsia="宋体"/>
          <w:color w:val="auto"/>
          <w:position w:val="0"/>
          <w:sz w:val="24"/>
          <w:szCs w:val="24"/>
        </w:rPr>
        <w:t>，有建议将刀片竖向进行扩皮</w:t>
      </w:r>
      <w:r>
        <w:rPr>
          <w:rFonts w:hint="default" w:ascii="宋体" w:hAnsi="宋体" w:eastAsia="宋体"/>
          <w:color w:val="FF0000"/>
          <w:position w:val="0"/>
          <w:sz w:val="24"/>
          <w:szCs w:val="24"/>
          <w:vertAlign w:val="superscript"/>
        </w:rPr>
        <w:t>[27]</w:t>
      </w:r>
      <w:r>
        <w:rPr>
          <w:rFonts w:hint="default" w:ascii="宋体" w:hAnsi="宋体" w:eastAsia="宋体"/>
          <w:color w:val="auto"/>
          <w:position w:val="0"/>
          <w:sz w:val="24"/>
          <w:szCs w:val="24"/>
        </w:rPr>
        <w:t>，也有横向扩皮，但都不能改变扩皮刀对穿刺点皮肤及皮下组织的损伤，不能明显降低置管后渗血渗液的发生率。</w:t>
      </w:r>
    </w:p>
    <w:p>
      <w:pPr>
        <w:numPr>
          <w:ilvl w:val="0"/>
          <w:numId w:val="0"/>
        </w:numPr>
        <w:autoSpaceDE/>
        <w:autoSpaceDN/>
        <w:spacing w:before="0" w:after="0" w:line="240" w:lineRule="auto"/>
        <w:ind w:left="0" w:right="0" w:firstLine="0"/>
        <w:jc w:val="both"/>
        <w:rPr>
          <w:rFonts w:hint="default" w:ascii="宋体" w:hAnsi="宋体" w:eastAsia="宋体"/>
          <w:b/>
          <w:color w:val="auto"/>
          <w:position w:val="0"/>
          <w:sz w:val="24"/>
          <w:szCs w:val="24"/>
        </w:rPr>
      </w:pPr>
      <w:r>
        <w:rPr>
          <w:rFonts w:hint="default" w:ascii="宋体" w:hAnsi="宋体" w:eastAsia="宋体"/>
          <w:b/>
          <w:color w:val="auto"/>
          <w:position w:val="0"/>
          <w:sz w:val="24"/>
          <w:szCs w:val="24"/>
        </w:rPr>
        <w:t>2   PICC置管后发生渗液的护理方案</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 xml:space="preserve">2．1 全面评估病情 </w:t>
      </w:r>
    </w:p>
    <w:p>
      <w:pPr>
        <w:numPr>
          <w:ilvl w:val="0"/>
          <w:numId w:val="0"/>
        </w:numPr>
        <w:autoSpaceDE/>
        <w:autoSpaceDN/>
        <w:spacing w:before="0" w:after="0" w:line="240" w:lineRule="auto"/>
        <w:ind w:left="0" w:right="0" w:firstLine="56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建议穿刺前全面评估患者的年龄、病情、血管情况、治疗方案和时间、心理状态等，营养不良患者还需评估肝功能、凝血功能等指标，如白蛋白&lt;309／L，应积极给予对症治疗。杨建琦认为</w:t>
      </w:r>
      <w:r>
        <w:rPr>
          <w:rFonts w:hint="default" w:ascii="宋体" w:hAnsi="宋体" w:eastAsia="宋体"/>
          <w:color w:val="FF0000"/>
          <w:position w:val="0"/>
          <w:sz w:val="24"/>
          <w:szCs w:val="24"/>
          <w:vertAlign w:val="superscript"/>
        </w:rPr>
        <w:t>[10]</w:t>
      </w:r>
      <w:r>
        <w:rPr>
          <w:rFonts w:hint="default" w:ascii="宋体" w:hAnsi="宋体" w:eastAsia="宋体"/>
          <w:color w:val="auto"/>
          <w:position w:val="0"/>
          <w:sz w:val="24"/>
          <w:szCs w:val="24"/>
        </w:rPr>
        <w:t>．当血中白蛋白&lt;309／L时，血浆胶体渗透压降低，导致血浆外渗，引起周围组织负重，致使组织液从置管处渗出。</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 xml:space="preserve">2．2 避免切口过大引起渗液 </w:t>
      </w:r>
    </w:p>
    <w:p>
      <w:pPr>
        <w:numPr>
          <w:ilvl w:val="0"/>
          <w:numId w:val="0"/>
        </w:numPr>
        <w:autoSpaceDE/>
        <w:autoSpaceDN/>
        <w:spacing w:before="0" w:after="0" w:line="240" w:lineRule="auto"/>
        <w:ind w:left="0" w:right="0" w:firstLine="56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研究显示，采用以下方法可预防因切口过大发生的渗液：①采用超声引导下改良赛丁格穿刺技术行上臂PICC。置管时最好选择上臂粗、直、无静脉瓣的肘上贵要静脉穿刺</w:t>
      </w:r>
      <w:r>
        <w:rPr>
          <w:rFonts w:hint="default" w:ascii="宋体" w:hAnsi="宋体" w:eastAsia="宋体"/>
          <w:color w:val="FF0000"/>
          <w:position w:val="0"/>
          <w:sz w:val="24"/>
          <w:szCs w:val="24"/>
          <w:vertAlign w:val="superscript"/>
        </w:rPr>
        <w:t>[7]</w:t>
      </w:r>
      <w:r>
        <w:rPr>
          <w:rFonts w:hint="default" w:ascii="宋体" w:hAnsi="宋体" w:eastAsia="宋体"/>
          <w:color w:val="auto"/>
          <w:position w:val="0"/>
          <w:sz w:val="24"/>
          <w:szCs w:val="24"/>
        </w:rPr>
        <w:t>；②用刀片扩皮时建议刀片钝边在左，利边在右。以穿刺点为中心，沿导丝扩人皮下0. 3~0. 5cm，避免穿刺点与扩皮点之间有皮下组织，导致送鞘困难</w:t>
      </w:r>
      <w:r>
        <w:rPr>
          <w:rFonts w:hint="default" w:ascii="宋体" w:hAnsi="宋体" w:eastAsia="宋体"/>
          <w:color w:val="FF0000"/>
          <w:position w:val="0"/>
          <w:sz w:val="24"/>
          <w:szCs w:val="24"/>
          <w:vertAlign w:val="superscript"/>
        </w:rPr>
        <w:t>[7]</w:t>
      </w:r>
      <w:r>
        <w:rPr>
          <w:rFonts w:hint="default" w:ascii="宋体" w:hAnsi="宋体" w:eastAsia="宋体"/>
          <w:color w:val="auto"/>
          <w:position w:val="0"/>
          <w:sz w:val="24"/>
          <w:szCs w:val="24"/>
        </w:rPr>
        <w:t>；③如果穿刺者技术不够熟练，可因切口小而行二次扩皮，导致切口过大、过深，若加上患者本身存在低蛋白血症，组织液易从穿刺处渗出。故PICC穿刺应由导管专科护士实施，以保证置管的成功率及减少相关并发症</w:t>
      </w:r>
      <w:r>
        <w:rPr>
          <w:rFonts w:hint="default" w:ascii="宋体" w:hAnsi="宋体" w:eastAsia="宋体"/>
          <w:color w:val="FF0000"/>
          <w:position w:val="0"/>
          <w:sz w:val="24"/>
          <w:szCs w:val="24"/>
          <w:vertAlign w:val="superscript"/>
        </w:rPr>
        <w:t>[8]</w:t>
      </w:r>
      <w:r>
        <w:rPr>
          <w:rFonts w:hint="default" w:ascii="宋体" w:hAnsi="宋体" w:eastAsia="宋体"/>
          <w:color w:val="auto"/>
          <w:position w:val="0"/>
          <w:sz w:val="24"/>
          <w:szCs w:val="24"/>
        </w:rPr>
        <w:t>；④另外，置管后告知患者肢体勿过度活动和频繁屈伸</w:t>
      </w:r>
      <w:r>
        <w:rPr>
          <w:rFonts w:hint="default" w:ascii="宋体" w:hAnsi="宋体" w:eastAsia="宋体"/>
          <w:color w:val="FF0000"/>
          <w:position w:val="0"/>
          <w:sz w:val="24"/>
          <w:szCs w:val="24"/>
          <w:vertAlign w:val="superscript"/>
        </w:rPr>
        <w:t>[7]</w:t>
      </w:r>
      <w:r>
        <w:rPr>
          <w:rFonts w:hint="default" w:ascii="宋体" w:hAnsi="宋体" w:eastAsia="宋体"/>
          <w:color w:val="auto"/>
          <w:position w:val="0"/>
          <w:sz w:val="24"/>
          <w:szCs w:val="24"/>
        </w:rPr>
        <w:t>。</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2．3淋巴渗液预防和处理</w:t>
      </w:r>
    </w:p>
    <w:p>
      <w:pPr>
        <w:numPr>
          <w:ilvl w:val="0"/>
          <w:numId w:val="0"/>
        </w:numPr>
        <w:autoSpaceDE/>
        <w:autoSpaceDN/>
        <w:spacing w:before="0" w:after="0" w:line="240" w:lineRule="auto"/>
        <w:ind w:left="0" w:right="0" w:firstLine="56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穿刺时应注意穿刺点的精确选择。为防止引起血液回流障碍致渗液发生，操作者应熟悉静脉走向及解剖位置，静脉与周围组织的关系，明确体表位置，避免误伤淋巴导管</w:t>
      </w:r>
      <w:r>
        <w:rPr>
          <w:rFonts w:hint="default" w:ascii="宋体" w:hAnsi="宋体" w:eastAsia="宋体"/>
          <w:color w:val="FF0000"/>
          <w:position w:val="0"/>
          <w:sz w:val="24"/>
          <w:szCs w:val="24"/>
          <w:vertAlign w:val="superscript"/>
        </w:rPr>
        <w:t>[11]</w:t>
      </w:r>
      <w:r>
        <w:rPr>
          <w:rFonts w:hint="default" w:ascii="宋体" w:hAnsi="宋体" w:eastAsia="宋体"/>
          <w:color w:val="auto"/>
          <w:position w:val="0"/>
          <w:sz w:val="24"/>
          <w:szCs w:val="24"/>
        </w:rPr>
        <w:t>。文献综述，传统操作中将体外导管放置呈“S”形弯曲固定于穿刺点内侧渗液发生率较高，故采用将体外导管同法固定于穿刺点外侧。此法可在体外压迫穿刺血管的伴行淋巴管，减少淋巴液的外渗</w:t>
      </w:r>
      <w:r>
        <w:rPr>
          <w:rFonts w:hint="default" w:ascii="宋体" w:hAnsi="宋体" w:eastAsia="宋体"/>
          <w:color w:val="FF0000"/>
          <w:position w:val="0"/>
          <w:sz w:val="24"/>
          <w:szCs w:val="24"/>
          <w:vertAlign w:val="superscript"/>
        </w:rPr>
        <w:t>[11]</w:t>
      </w:r>
      <w:r>
        <w:rPr>
          <w:rFonts w:hint="default" w:ascii="宋体" w:hAnsi="宋体" w:eastAsia="宋体"/>
          <w:color w:val="auto"/>
          <w:position w:val="0"/>
          <w:sz w:val="24"/>
          <w:szCs w:val="24"/>
        </w:rPr>
        <w:t>。申屠英等</w:t>
      </w:r>
      <w:r>
        <w:rPr>
          <w:rFonts w:hint="default" w:ascii="宋体" w:hAnsi="宋体" w:eastAsia="宋体"/>
          <w:color w:val="FF0000"/>
          <w:position w:val="0"/>
          <w:sz w:val="24"/>
          <w:szCs w:val="24"/>
          <w:vertAlign w:val="superscript"/>
        </w:rPr>
        <w:t>[6]</w:t>
      </w:r>
      <w:r>
        <w:rPr>
          <w:rFonts w:hint="default" w:ascii="宋体" w:hAnsi="宋体" w:eastAsia="宋体"/>
          <w:color w:val="auto"/>
          <w:position w:val="0"/>
          <w:sz w:val="24"/>
          <w:szCs w:val="24"/>
        </w:rPr>
        <w:t>在27例PICC穿刺部位渗液中有15例通过压迫处理并加强换药后渗液逐渐减少直至停止。换药方法：按常规方法将导管消毒后，在穿刺点处放置2cmx2cm 明胶海绵1块或将8cmx8cm无菌纱布两次对折，然后贴上10cmxl2cm的灭菌透气薄膜，每日换药 1次，渗液较多者还可以用弹性绷带加压包扎，松紧程度以肢体远端不出现浮肿为宜。徐霜</w:t>
      </w:r>
      <w:r>
        <w:rPr>
          <w:rFonts w:hint="default" w:ascii="宋体" w:hAnsi="宋体" w:eastAsia="宋体"/>
          <w:color w:val="FF0000"/>
          <w:position w:val="0"/>
          <w:sz w:val="24"/>
          <w:szCs w:val="24"/>
          <w:vertAlign w:val="superscript"/>
        </w:rPr>
        <w:t>[12]</w:t>
      </w:r>
      <w:r>
        <w:rPr>
          <w:rFonts w:hint="default" w:ascii="宋体" w:hAnsi="宋体" w:eastAsia="宋体"/>
          <w:color w:val="auto"/>
          <w:position w:val="0"/>
          <w:sz w:val="24"/>
          <w:szCs w:val="24"/>
        </w:rPr>
        <w:t>在对10例PICC置管术后出现渗液患者的临床护理过程进行回顾分析发现：有2例渗液原因为穿刺过程中损伤淋巴管，将纱布剪l小条，折叠成lmm×1mm大小，放在针眼处，外面再覆盖无菌敷料，但须避免使用弹力绷带等过度加压，以免引起静脉血栓。通过局部加压的方法加速淋巴管的闭合，缩短渗液时间。</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2．4 纤维蛋白鞘预防和处理</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 xml:space="preserve">   在临床应用中如导管流通不畅，确诊为纤维蛋白鞘形成，应及早应用4％碳酸氢钠溶液进行处理：如应用碳酸氢钠处理纤维蛋白鞘效果不佳，影响治疗正常进行时应将导管拔除</w:t>
      </w:r>
      <w:r>
        <w:rPr>
          <w:rFonts w:hint="default" w:ascii="宋体" w:hAnsi="宋体" w:eastAsia="宋体"/>
          <w:color w:val="FF0000"/>
          <w:position w:val="0"/>
          <w:sz w:val="24"/>
          <w:szCs w:val="24"/>
          <w:vertAlign w:val="superscript"/>
        </w:rPr>
        <w:t>[13]</w:t>
      </w:r>
      <w:r>
        <w:rPr>
          <w:rFonts w:hint="default" w:ascii="宋体" w:hAnsi="宋体" w:eastAsia="宋体"/>
          <w:color w:val="auto"/>
          <w:position w:val="0"/>
          <w:sz w:val="24"/>
          <w:szCs w:val="24"/>
        </w:rPr>
        <w:t>。另有报道</w:t>
      </w:r>
      <w:r>
        <w:rPr>
          <w:rFonts w:hint="default" w:ascii="宋体" w:hAnsi="宋体" w:eastAsia="宋体"/>
          <w:color w:val="FF0000"/>
          <w:position w:val="0"/>
          <w:sz w:val="24"/>
          <w:szCs w:val="24"/>
          <w:vertAlign w:val="superscript"/>
        </w:rPr>
        <w:t>[14]</w:t>
      </w:r>
      <w:r>
        <w:rPr>
          <w:rFonts w:hint="default" w:ascii="宋体" w:hAnsi="宋体" w:eastAsia="宋体"/>
          <w:color w:val="auto"/>
          <w:position w:val="0"/>
          <w:sz w:val="24"/>
          <w:szCs w:val="24"/>
        </w:rPr>
        <w:t>，当诊断为纤维蛋白鞘时需及时使用尿激酶。通过导管泵入尿激酶，与纤维蛋白、红细胞接触使之溶解，处理方法可用等渗盐水250 mL+尿激酶50万U注入导管。持续微泵控制24 h后接液体观察输液情况，并检查凝血功能，注意有无出血倾向。</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2．5 导管破裂预防和处理</w:t>
      </w:r>
    </w:p>
    <w:p>
      <w:pPr>
        <w:numPr>
          <w:ilvl w:val="0"/>
          <w:numId w:val="0"/>
        </w:numPr>
        <w:autoSpaceDE/>
        <w:autoSpaceDN/>
        <w:spacing w:before="0" w:after="0" w:line="240" w:lineRule="auto"/>
        <w:ind w:left="0" w:right="0" w:firstLine="56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正确维护是预防导管破裂的关键。选择不小于10mL注射器进行冲管与封管：体外导管妥善固定，防止患者活动时导管反复打折；导管连接正压接头，导管上不得使用夹子；做好健康教育，避免增强CT检查时用高压注射器经导管注入药物。选择血管时，应尽量避免关节处，以免反复的关节运动导致导管破损甚至断裂</w:t>
      </w:r>
      <w:r>
        <w:rPr>
          <w:rFonts w:hint="default" w:ascii="宋体" w:hAnsi="宋体" w:eastAsia="宋体"/>
          <w:color w:val="FF0000"/>
          <w:position w:val="0"/>
          <w:sz w:val="24"/>
          <w:szCs w:val="24"/>
          <w:vertAlign w:val="superscript"/>
        </w:rPr>
        <w:t>[15]</w:t>
      </w:r>
      <w:r>
        <w:rPr>
          <w:rFonts w:hint="default" w:ascii="宋体" w:hAnsi="宋体" w:eastAsia="宋体"/>
          <w:color w:val="auto"/>
          <w:position w:val="0"/>
          <w:sz w:val="24"/>
          <w:szCs w:val="24"/>
        </w:rPr>
        <w:t>。如发生导管破裂，可予边冲管边缓慢拉出导管，修剪导管破裂处并更换连接器</w:t>
      </w:r>
      <w:r>
        <w:rPr>
          <w:rFonts w:hint="default" w:ascii="宋体" w:hAnsi="宋体" w:eastAsia="宋体"/>
          <w:color w:val="FF0000"/>
          <w:position w:val="0"/>
          <w:sz w:val="24"/>
          <w:szCs w:val="24"/>
          <w:vertAlign w:val="superscript"/>
        </w:rPr>
        <w:t>[6]</w:t>
      </w:r>
      <w:r>
        <w:rPr>
          <w:rFonts w:hint="default" w:ascii="宋体" w:hAnsi="宋体" w:eastAsia="宋体"/>
          <w:color w:val="auto"/>
          <w:position w:val="0"/>
          <w:sz w:val="24"/>
          <w:szCs w:val="24"/>
        </w:rPr>
        <w:t>。</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2．6穿刺点局部反应预防和处理</w:t>
      </w:r>
    </w:p>
    <w:p>
      <w:pPr>
        <w:numPr>
          <w:ilvl w:val="0"/>
          <w:numId w:val="0"/>
        </w:numPr>
        <w:autoSpaceDE/>
        <w:autoSpaceDN/>
        <w:spacing w:before="0" w:after="0" w:line="240" w:lineRule="auto"/>
        <w:ind w:left="0" w:right="0" w:firstLine="56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研究表明</w:t>
      </w:r>
      <w:r>
        <w:rPr>
          <w:rFonts w:hint="default" w:ascii="宋体" w:hAnsi="宋体" w:eastAsia="宋体"/>
          <w:color w:val="FF0000"/>
          <w:position w:val="0"/>
          <w:sz w:val="24"/>
          <w:szCs w:val="24"/>
          <w:vertAlign w:val="superscript"/>
        </w:rPr>
        <w:t>[16]</w:t>
      </w:r>
      <w:r>
        <w:rPr>
          <w:rFonts w:hint="default" w:ascii="宋体" w:hAnsi="宋体" w:eastAsia="宋体"/>
          <w:color w:val="auto"/>
          <w:position w:val="0"/>
          <w:sz w:val="24"/>
          <w:szCs w:val="24"/>
        </w:rPr>
        <w:t>，使用藻酸盐敷料可预防导管相关感染和皮肤不良反应。有报道</w:t>
      </w:r>
      <w:r>
        <w:rPr>
          <w:rFonts w:hint="default" w:ascii="宋体" w:hAnsi="宋体" w:eastAsia="宋体"/>
          <w:color w:val="FF0000"/>
          <w:position w:val="0"/>
          <w:sz w:val="24"/>
          <w:szCs w:val="24"/>
          <w:vertAlign w:val="superscript"/>
        </w:rPr>
        <w:t>[17]</w:t>
      </w:r>
      <w:r>
        <w:rPr>
          <w:rFonts w:hint="default" w:ascii="宋体" w:hAnsi="宋体" w:eastAsia="宋体"/>
          <w:color w:val="auto"/>
          <w:position w:val="0"/>
          <w:sz w:val="24"/>
          <w:szCs w:val="24"/>
        </w:rPr>
        <w:t>，如发生穿刺后穿刺点局部感染或穿刺点周围皮肤出现过敏性皮疹，应在换药时于穿刺点及周围炎症皮肤上涂少量莫匹罗星软膏或金霉素眼膏再覆盖纱布及透明贴膜。</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2．7 调整导管固定方法</w:t>
      </w:r>
    </w:p>
    <w:p>
      <w:pPr>
        <w:numPr>
          <w:ilvl w:val="0"/>
          <w:numId w:val="0"/>
        </w:numPr>
        <w:autoSpaceDE/>
        <w:autoSpaceDN/>
        <w:spacing w:before="0" w:after="0" w:line="240" w:lineRule="auto"/>
        <w:ind w:left="0" w:right="0" w:firstLine="56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朱华等</w:t>
      </w:r>
      <w:r>
        <w:rPr>
          <w:rFonts w:hint="default" w:ascii="宋体" w:hAnsi="宋体" w:eastAsia="宋体"/>
          <w:color w:val="FF0000"/>
          <w:position w:val="0"/>
          <w:sz w:val="24"/>
          <w:szCs w:val="24"/>
          <w:vertAlign w:val="superscript"/>
        </w:rPr>
        <w:t>[9]</w:t>
      </w:r>
      <w:r>
        <w:rPr>
          <w:rFonts w:hint="default" w:ascii="宋体" w:hAnsi="宋体" w:eastAsia="宋体"/>
          <w:color w:val="auto"/>
          <w:position w:val="0"/>
          <w:sz w:val="24"/>
          <w:szCs w:val="24"/>
        </w:rPr>
        <w:t>总结了2例PICC置管患者穿刺口渗液的护理，认为PICC穿刺点渗液与导管的固定方法有关，调整导管的固定方法可有效终止渗液。方法如下：护士戴无菌手套．一手捏住导管连接器前端，严密观察穿刺口渗液情况，缓慢移动导管，轻施力，缓移动，逐渐改变穿刺口导管角度，观察穿刺口渗液量有无改变；当发现在某种角度下．渗液较前增加．即取相反角度移动导管．当移动到一定角度时，渗液停止，立即保持不动，思乐扣重新固定，纱布覆盖，绷带加压制动。研究表明</w:t>
      </w:r>
      <w:r>
        <w:rPr>
          <w:rFonts w:hint="default" w:ascii="宋体" w:hAnsi="宋体" w:eastAsia="宋体"/>
          <w:color w:val="FF0000"/>
          <w:position w:val="0"/>
          <w:sz w:val="24"/>
          <w:szCs w:val="24"/>
          <w:vertAlign w:val="superscript"/>
        </w:rPr>
        <w:t>[18]</w:t>
      </w:r>
      <w:r>
        <w:rPr>
          <w:rFonts w:hint="default" w:ascii="宋体" w:hAnsi="宋体" w:eastAsia="宋体"/>
          <w:color w:val="auto"/>
          <w:position w:val="0"/>
          <w:sz w:val="24"/>
          <w:szCs w:val="24"/>
        </w:rPr>
        <w:t>，采用statlock固定方法固定PICC导管．可有效降低穿刺点局部渗液、导管移动和静脉炎的发生率。</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2．8渗液其他对症处理方法</w:t>
      </w:r>
    </w:p>
    <w:p>
      <w:pPr>
        <w:numPr>
          <w:ilvl w:val="0"/>
          <w:numId w:val="0"/>
        </w:numPr>
        <w:autoSpaceDE/>
        <w:autoSpaceDN/>
        <w:spacing w:before="0" w:after="0" w:line="240" w:lineRule="auto"/>
        <w:ind w:left="0" w:right="0" w:firstLine="56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魏晓辉等</w:t>
      </w:r>
      <w:r>
        <w:rPr>
          <w:rFonts w:hint="default" w:ascii="宋体" w:hAnsi="宋体" w:eastAsia="宋体"/>
          <w:color w:val="FF0000"/>
          <w:position w:val="0"/>
          <w:sz w:val="24"/>
          <w:szCs w:val="24"/>
          <w:vertAlign w:val="superscript"/>
        </w:rPr>
        <w:t>[19]</w:t>
      </w:r>
      <w:r>
        <w:rPr>
          <w:rFonts w:hint="default" w:ascii="宋体" w:hAnsi="宋体" w:eastAsia="宋体"/>
          <w:color w:val="auto"/>
          <w:position w:val="0"/>
          <w:sz w:val="24"/>
          <w:szCs w:val="24"/>
        </w:rPr>
        <w:t>报道30例超声引导下改良塞丁格技术行上臂PICC置管后穿刺点渗液较多时，每日更换敷料时采用红霉素软膏涂抹于穿刺点，再覆盖2cmx2cm草酸盐敷料，然后外贴10cmxl2cm缩水敷料。也可用无菌云南白药粉涂抹于穿刺点，再覆盖2cmx2cm无菌纱布覆盖，取得较好的效果。潘清莲</w:t>
      </w:r>
      <w:r>
        <w:rPr>
          <w:rFonts w:hint="default" w:ascii="宋体" w:hAnsi="宋体" w:eastAsia="宋体"/>
          <w:color w:val="FF0000"/>
          <w:position w:val="0"/>
          <w:sz w:val="24"/>
          <w:szCs w:val="24"/>
          <w:vertAlign w:val="superscript"/>
        </w:rPr>
        <w:t>[20]</w:t>
      </w:r>
      <w:r>
        <w:rPr>
          <w:rFonts w:hint="default" w:ascii="宋体" w:hAnsi="宋体" w:eastAsia="宋体"/>
          <w:color w:val="auto"/>
          <w:position w:val="0"/>
          <w:sz w:val="24"/>
          <w:szCs w:val="24"/>
        </w:rPr>
        <w:t>在处理1例PICC穿刺部位顽固性渗液时给予更换透明贴，且透明贴外面用无菌纱布加弹力绷带加压包扎，指导患者抬高穿刺肢体、多做握拳动作、改变睡眠姿势等措施后仍有渗液，调整护理措施，取云南白药胶囊1粒，戴无菌手套将胶囊内的药粉平敷于穿刺部位周围．以2cmx2cm无菌纱布覆盖，再以透明敷贴密闭覆盖，最后用弹力绷带包扎，患者渗液明显减少。第3周穿刺部位干燥，彻底无渗液。研究表明，海藻盐敷料治疗PICC穿刺点渗液效果明显好于纱布敷料</w:t>
      </w:r>
      <w:r>
        <w:rPr>
          <w:rFonts w:hint="default" w:ascii="宋体" w:hAnsi="宋体" w:eastAsia="宋体"/>
          <w:color w:val="FF0000"/>
          <w:position w:val="0"/>
          <w:sz w:val="24"/>
          <w:szCs w:val="24"/>
          <w:vertAlign w:val="superscript"/>
        </w:rPr>
        <w:t>[21]</w:t>
      </w:r>
      <w:r>
        <w:rPr>
          <w:rFonts w:hint="default" w:ascii="宋体" w:hAnsi="宋体" w:eastAsia="宋体"/>
          <w:color w:val="auto"/>
          <w:position w:val="0"/>
          <w:sz w:val="24"/>
          <w:szCs w:val="24"/>
        </w:rPr>
        <w:t>：将愈肤宁均匀涂抹在穿刺口干燥成膜后再帖IV3000的贴膜治疗PlCC渗液</w:t>
      </w:r>
      <w:r>
        <w:rPr>
          <w:rFonts w:hint="default" w:ascii="宋体" w:hAnsi="宋体" w:eastAsia="宋体"/>
          <w:color w:val="FF0000"/>
          <w:position w:val="0"/>
          <w:sz w:val="24"/>
          <w:szCs w:val="24"/>
          <w:vertAlign w:val="superscript"/>
        </w:rPr>
        <w:t>[22]</w:t>
      </w:r>
      <w:r>
        <w:rPr>
          <w:rFonts w:hint="default" w:ascii="宋体" w:hAnsi="宋体" w:eastAsia="宋体"/>
          <w:color w:val="auto"/>
          <w:position w:val="0"/>
          <w:sz w:val="24"/>
          <w:szCs w:val="24"/>
        </w:rPr>
        <w:t>。王晓楠</w:t>
      </w:r>
      <w:r>
        <w:rPr>
          <w:rFonts w:hint="default" w:ascii="宋体" w:hAnsi="宋体" w:eastAsia="宋体"/>
          <w:color w:val="FF0000"/>
          <w:position w:val="0"/>
          <w:sz w:val="24"/>
          <w:szCs w:val="24"/>
          <w:vertAlign w:val="superscript"/>
        </w:rPr>
        <w:t>[28]</w:t>
      </w:r>
      <w:r>
        <w:rPr>
          <w:rFonts w:hint="default" w:ascii="宋体" w:hAnsi="宋体" w:eastAsia="宋体"/>
          <w:color w:val="auto"/>
          <w:position w:val="0"/>
          <w:sz w:val="24"/>
          <w:szCs w:val="24"/>
        </w:rPr>
        <w:t xml:space="preserve"> 应用液体创可贴进行换药，以及施桂灵</w:t>
      </w:r>
      <w:r>
        <w:rPr>
          <w:rFonts w:hint="default" w:ascii="宋体" w:hAnsi="宋体" w:eastAsia="宋体"/>
          <w:color w:val="FF0000"/>
          <w:position w:val="0"/>
          <w:sz w:val="24"/>
          <w:szCs w:val="24"/>
          <w:vertAlign w:val="superscript"/>
        </w:rPr>
        <w:t>[29]</w:t>
      </w:r>
      <w:r>
        <w:rPr>
          <w:rFonts w:hint="default" w:ascii="宋体" w:hAnsi="宋体" w:eastAsia="宋体"/>
          <w:color w:val="auto"/>
          <w:position w:val="0"/>
          <w:sz w:val="24"/>
          <w:szCs w:val="24"/>
        </w:rPr>
        <w:t xml:space="preserve"> 应用亲水性纤维含银敷料进均收到良好效果。</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3 . 小结</w:t>
      </w:r>
    </w:p>
    <w:p>
      <w:pPr>
        <w:numPr>
          <w:ilvl w:val="0"/>
          <w:numId w:val="0"/>
        </w:numPr>
        <w:autoSpaceDE/>
        <w:autoSpaceDN/>
        <w:spacing w:before="0" w:after="0" w:line="240" w:lineRule="auto"/>
        <w:ind w:left="0" w:right="0" w:firstLine="28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ＰＩＣＣ深静脉导管的应用为患者提供了一条无痛性治疗途径，也为护理人员带来了便利。但置管引起的并发症穿刺点渗液会增加感染几率甚至导致短期内拔管。目前虽有研究对各种护理干预进行探索，但对于置管过程中如：手术刀扩皮深度、方向、导管固定的弧度、敷料贴膜的张力以及发生渗液后的维护方法，尚无统一的标准。未来可对该方向进一步深入研究，实现置管与维护的“同质护理”，建立更加完善的标准、流程、制度，为临床提供可靠、有效的指导。</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参考文献</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 石琪，谢少清.新生儿PICC置入技术的研究现状 [J]. 护理学报2010(09):31-33.</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 胡君娥，吕万丽，陈道菊，等 .PICC 置管后并发症的原因分析及处理对策 [J]. 护士进修杂志，2007(06):554-555.</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［3］王静，杜朝晖，李建国，等．重症监护病房中心静脉置管术并发症发生情况分析［Ｊ］．中国全科医学，2013，16（15）：1781-1783．</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[4] 张柳柳，刘建红.185 例 PICC 置管患者术后穿刺点渗血情况 观察[J].江苏卫生保健，2013，15（6）：26-27.</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[5] 李燕，张静芳，张蕙. 白血病患者 PICC 置管后持续渗血的 原因分析及护理研究进展[J].护士进修杂志，2016，31（4）： 319-321.</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[6]申屠英．赵锐袜．陈春芳．27例PICC穿刺部位渗液的原因分析及护理对策[J]．中华护理杂志，2011，46(2)：13l一132．</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[7]童瑾，冯丽娟．超声引导下改良塞丁格技术PICC置管穿刺点渗液原因分析及护理[J]．护理学杂志，2013，28(21)：46—47．</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[8]黄丽如，陈柳，熊军义．PICC穿刺点非炎性渗液的原因分析与护理[J]．中国医学创新，2015，12(29)：93—96．</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[9]朱华，陈伟芬，曲晓丽．调整导管外固定位置终止PICC置管渗液例的体会[J]．护理学报，2014，21(13)：57—58．</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[10]杨建琦．中心静脉置管处渗液原因分析及对策[J]．中国现代药物应用，2008，2(1)：85．</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[11）侯雪琴，季英．PICC置管渗液的研究进展[J]．护士进修杂志，2015，30(15)：1365—1367．</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[12]徐霜．置管术后渗液的护理体会[J]．现代医学，2014，12(1)：108-109．</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[13]张雪花，兰彦红，周晶，等．PICC应用过程中纤维蛋白鞘形成的观察与护理[J]．军医进修学院学报，2009，30(4)：500-504</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[14]黎容清。江岱琪，唐忠敏．肿瘤患者PICC纤维蛋白鞘形成的观察及护理[J]．护理与康复，2013，12(7)：681—682．</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[15]周爱勤，孔培培，汪丹丹．肿瘤科患者PICC置管后并发症的观察及护理[J]．中国医学创新，2015，9(13)：65—66．</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[16]李惠玉，郝瑾玮，朱莉，等．经外周中心静脉置管术后穿刺点非炎性渗液护理[J]．医学研究生学报，2013，26(7)：781—782．</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[17]汪吕慧．刘建红．金霉素眼膏在肿瘤患者PICC导管周边皮肤破溃换药中的应用[J]．中国肿瘤外科杂志，2012，4(6)：385．</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[18]万永慧．陈永凤．两种不同PICC导管固定方法的效果比较[J]．现代临床护理，2012，11(7)：48—49．</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[19]魏晓辉，张妍琰．超声引导下改良塞丁格技术PICC置管后穿刺点渗液原因分析及护理[J]．世界最新医学信息文摘，2015，19(19)：21l一212．</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[20]潘清莲．穿刺部位顽固性渗液1例临床护理[J]．齐鲁护理杂志．2012，18(26)：121—122．</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[21]王练，汪红英，王宁．海藻盐敷料治疗5 Fr—P1CC置管后穿刺点渗液的效果及分析[J]．中华现代护理杂志，2009，15(33)：3558-3559．</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[22]陈运波．愈肤宁在PICC置管渗液中的应用和护理[J]．中外健康文摘。2014．11(17)：232．</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[23]王效杰，徐国成．系统解剖学[M]．北京：高等教育出版社，2011：234．</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[24]胡雁．循证护理学[M]．北京：人民卫生出版社，2012：30．</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 xml:space="preserve">[25] 吴金凤，李雁飞，彭蕾.血管超声系统引导下 PICC 置管术在老 年患者中的临床应用[J].实用临床医药杂志，2010，14（10）：42- 43. </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 xml:space="preserve">[26] 张媛媛，郭丽娟，张全英.改良塞丁格技术与传统 PICC 置管在化疗患者中应用比较[J].护理学报，2010，17（9A）： 1-4. </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[27] 叶冠军，杨爱玲，孔振芳，等.赛丁格 PICC 置管两种扩皮角 度对渗液影响的研究[J].护理与康复，2016，15（2）：152- 153.</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[28] 王晓楠，潘艳，雷音梅，等. 应用液体创可贴处理ＰＩＣＣ置管后穿刺点渗液的体会[J].当代护士,2017,(09):147-148</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[29] 施桂灵，陈环球，董娟娜, 亲水性纤维含银敷料在PICC穿刺点渗液的应用及护理[J]. 实用临床护理学杂志,2017,2(39):118-119</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r>
        <w:rPr>
          <w:rFonts w:hint="default" w:ascii="宋体" w:hAnsi="宋体" w:eastAsia="宋体"/>
          <w:color w:val="auto"/>
          <w:position w:val="0"/>
          <w:sz w:val="24"/>
          <w:szCs w:val="24"/>
        </w:rPr>
        <w:t>[30] 国家卫生和计划生育委员会．静脉治疗护理技术操作规范［J］．中国护理管理，2014，14（１）：１-４．</w:t>
      </w:r>
    </w:p>
    <w:p>
      <w:pPr>
        <w:numPr>
          <w:ilvl w:val="0"/>
          <w:numId w:val="0"/>
        </w:numPr>
        <w:autoSpaceDE/>
        <w:autoSpaceDN/>
        <w:spacing w:before="0" w:after="0" w:line="240" w:lineRule="auto"/>
        <w:ind w:left="0" w:right="0" w:firstLine="0"/>
        <w:jc w:val="both"/>
        <w:rPr>
          <w:rFonts w:hint="default" w:ascii="宋体" w:hAnsi="宋体" w:eastAsia="宋体"/>
          <w:color w:val="auto"/>
          <w:position w:val="0"/>
          <w:sz w:val="24"/>
          <w:szCs w:val="24"/>
        </w:rPr>
      </w:pPr>
    </w:p>
    <w:p>
      <w:pPr>
        <w:numPr>
          <w:ilvl w:val="0"/>
          <w:numId w:val="0"/>
        </w:numPr>
        <w:autoSpaceDE/>
        <w:autoSpaceDN/>
        <w:spacing w:before="0" w:after="0" w:line="240" w:lineRule="auto"/>
        <w:ind w:left="0" w:right="0" w:firstLine="0"/>
        <w:jc w:val="both"/>
        <w:rPr>
          <w:rFonts w:hint="default" w:ascii="华文楷体" w:hAnsi="华文楷体" w:eastAsia="华文楷体"/>
          <w:color w:val="auto"/>
          <w:position w:val="0"/>
          <w:sz w:val="28"/>
          <w:szCs w:val="28"/>
        </w:rPr>
      </w:pPr>
    </w:p>
    <w:p>
      <w:pPr>
        <w:numPr>
          <w:ilvl w:val="0"/>
          <w:numId w:val="0"/>
        </w:numPr>
        <w:autoSpaceDE/>
        <w:autoSpaceDN/>
        <w:spacing w:before="0" w:after="0" w:line="240" w:lineRule="auto"/>
        <w:ind w:left="0" w:right="0" w:firstLine="0"/>
        <w:jc w:val="both"/>
        <w:rPr>
          <w:rFonts w:hint="default" w:ascii="华文楷体" w:hAnsi="华文楷体" w:eastAsia="华文楷体"/>
          <w:color w:val="auto"/>
          <w:position w:val="0"/>
          <w:sz w:val="28"/>
          <w:szCs w:val="28"/>
        </w:rPr>
      </w:pPr>
    </w:p>
    <w:p>
      <w:pPr>
        <w:numPr>
          <w:ilvl w:val="0"/>
          <w:numId w:val="0"/>
        </w:numPr>
        <w:autoSpaceDE/>
        <w:autoSpaceDN/>
        <w:spacing w:before="0" w:after="0" w:line="240" w:lineRule="auto"/>
        <w:ind w:left="0" w:right="0" w:firstLine="0"/>
        <w:jc w:val="both"/>
        <w:rPr>
          <w:rFonts w:hint="default" w:ascii="华文楷体" w:hAnsi="华文楷体" w:eastAsia="华文楷体"/>
          <w:color w:val="auto"/>
          <w:position w:val="0"/>
          <w:sz w:val="28"/>
          <w:szCs w:val="28"/>
        </w:rPr>
      </w:pPr>
    </w:p>
    <w:sect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algun Gothic">
    <w:panose1 w:val="020B0503020000020004"/>
    <w:charset w:val="81"/>
    <w:family w:val="auto"/>
    <w:pitch w:val="default"/>
    <w:sig w:usb0="900002AF" w:usb1="01D77CFB" w:usb2="00000012" w:usb3="00000000" w:csb0="00080001" w:csb1="00000000"/>
  </w:font>
  <w:font w:name="华文楷体">
    <w:altName w:val="宋体"/>
    <w:panose1 w:val="020F0502020204030204"/>
    <w:charset w:val="00"/>
    <w:family w:val="auto"/>
    <w:pitch w:val="default"/>
    <w:sig w:usb0="00000000" w:usb1="00000000" w:usb2="00000000" w:usb3="00000000" w:csb0="FFFFFF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800"/>
  <w:displayHorizontalDrawingGridEvery w:val="0"/>
  <w:displayVerticalDrawingGridEvery w:val="2"/>
  <w:noPunctuationKerning w:val="1"/>
  <w:characterSpacingControl w:val="doNotCompress"/>
  <w:compat>
    <w:balanceSingleByteDoubleByteWidth/>
    <w:useFELayout/>
    <w:compatSetting w:name="compatibilityMode" w:uri="http://schemas.microsoft.com/office/word" w:val="14"/>
  </w:compat>
  <w:rsids>
    <w:rsidRoot w:val="00000000"/>
    <w:rsid w:val="68942B79"/>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iPriority="153"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37"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8"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155"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156"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autoSpaceDN/>
      <w:jc w:val="both"/>
    </w:pPr>
    <w:rPr>
      <w:rFonts w:ascii="Times New Roman" w:hAnsi="Times New Roman" w:eastAsia="Times New Roman"/>
      <w:w w:val="100"/>
      <w:sz w:val="21"/>
      <w:szCs w:val="21"/>
      <w:shd w:val="clear"/>
    </w:rPr>
  </w:style>
  <w:style w:type="paragraph" w:styleId="2">
    <w:name w:val="heading 1"/>
    <w:next w:val="1"/>
    <w:qFormat/>
    <w:uiPriority w:val="7"/>
    <w:pPr>
      <w:widowControl/>
      <w:wordWrap/>
      <w:autoSpaceDE/>
      <w:autoSpaceDN/>
      <w:jc w:val="both"/>
    </w:pPr>
    <w:rPr>
      <w:rFonts w:ascii="Times New Roman" w:hAnsi="Times New Roman" w:eastAsia="Times New Roman"/>
      <w:w w:val="100"/>
      <w:sz w:val="28"/>
      <w:szCs w:val="28"/>
      <w:shd w:val="clear"/>
    </w:rPr>
  </w:style>
  <w:style w:type="paragraph" w:styleId="3">
    <w:name w:val="heading 2"/>
    <w:next w:val="1"/>
    <w:qFormat/>
    <w:uiPriority w:val="8"/>
    <w:pPr>
      <w:widowControl/>
      <w:wordWrap/>
      <w:autoSpaceDE/>
      <w:autoSpaceDN/>
      <w:jc w:val="both"/>
    </w:pPr>
    <w:rPr>
      <w:rFonts w:ascii="Times New Roman" w:hAnsi="Times New Roman" w:eastAsia="Times New Roman"/>
      <w:w w:val="100"/>
      <w:sz w:val="21"/>
      <w:szCs w:val="21"/>
      <w:shd w:val="clear"/>
    </w:rPr>
  </w:style>
  <w:style w:type="paragraph" w:styleId="4">
    <w:name w:val="heading 3"/>
    <w:next w:val="1"/>
    <w:qFormat/>
    <w:uiPriority w:val="9"/>
    <w:pPr>
      <w:widowControl/>
      <w:wordWrap/>
      <w:autoSpaceDE/>
      <w:autoSpaceDN/>
      <w:ind w:left="1000" w:hanging="400"/>
      <w:jc w:val="both"/>
    </w:pPr>
    <w:rPr>
      <w:rFonts w:ascii="Times New Roman" w:hAnsi="Times New Roman" w:eastAsia="Times New Roman"/>
      <w:w w:val="100"/>
      <w:sz w:val="21"/>
      <w:szCs w:val="21"/>
      <w:shd w:val="clear"/>
    </w:rPr>
  </w:style>
  <w:style w:type="paragraph" w:styleId="5">
    <w:name w:val="heading 4"/>
    <w:next w:val="1"/>
    <w:qFormat/>
    <w:uiPriority w:val="10"/>
    <w:pPr>
      <w:widowControl/>
      <w:wordWrap/>
      <w:autoSpaceDE/>
      <w:autoSpaceDN/>
      <w:ind w:left="1200" w:hanging="400"/>
      <w:jc w:val="both"/>
    </w:pPr>
    <w:rPr>
      <w:rFonts w:ascii="Times New Roman" w:hAnsi="Times New Roman" w:eastAsia="Times New Roman"/>
      <w:b/>
      <w:w w:val="100"/>
      <w:sz w:val="20"/>
      <w:szCs w:val="20"/>
      <w:shd w:val="clear"/>
    </w:rPr>
  </w:style>
  <w:style w:type="paragraph" w:styleId="6">
    <w:name w:val="heading 5"/>
    <w:next w:val="1"/>
    <w:qFormat/>
    <w:uiPriority w:val="11"/>
    <w:pPr>
      <w:widowControl/>
      <w:wordWrap/>
      <w:autoSpaceDE/>
      <w:autoSpaceDN/>
      <w:ind w:left="1400" w:hanging="400"/>
      <w:jc w:val="both"/>
    </w:pPr>
    <w:rPr>
      <w:rFonts w:ascii="Times New Roman" w:hAnsi="Times New Roman" w:eastAsia="Times New Roman"/>
      <w:w w:val="100"/>
      <w:sz w:val="21"/>
      <w:szCs w:val="21"/>
      <w:shd w:val="clear"/>
    </w:rPr>
  </w:style>
  <w:style w:type="paragraph" w:styleId="7">
    <w:name w:val="heading 6"/>
    <w:next w:val="1"/>
    <w:qFormat/>
    <w:uiPriority w:val="12"/>
    <w:pPr>
      <w:widowControl/>
      <w:wordWrap/>
      <w:autoSpaceDE/>
      <w:autoSpaceDN/>
      <w:ind w:left="1600" w:hanging="400"/>
      <w:jc w:val="both"/>
    </w:pPr>
    <w:rPr>
      <w:rFonts w:ascii="Times New Roman" w:hAnsi="Times New Roman" w:eastAsia="Times New Roman"/>
      <w:b/>
      <w:w w:val="100"/>
      <w:sz w:val="20"/>
      <w:szCs w:val="20"/>
      <w:shd w:val="clear"/>
    </w:rPr>
  </w:style>
  <w:style w:type="paragraph" w:styleId="8">
    <w:name w:val="heading 7"/>
    <w:next w:val="1"/>
    <w:qFormat/>
    <w:uiPriority w:val="13"/>
    <w:pPr>
      <w:widowControl/>
      <w:wordWrap/>
      <w:autoSpaceDE/>
      <w:autoSpaceDN/>
      <w:ind w:left="1800" w:hanging="400"/>
      <w:jc w:val="both"/>
    </w:pPr>
    <w:rPr>
      <w:rFonts w:ascii="Times New Roman" w:hAnsi="Times New Roman" w:eastAsia="Times New Roman"/>
      <w:w w:val="100"/>
      <w:sz w:val="21"/>
      <w:szCs w:val="21"/>
      <w:shd w:val="clear"/>
    </w:rPr>
  </w:style>
  <w:style w:type="paragraph" w:styleId="9">
    <w:name w:val="heading 8"/>
    <w:next w:val="1"/>
    <w:qFormat/>
    <w:uiPriority w:val="14"/>
    <w:pPr>
      <w:widowControl/>
      <w:wordWrap/>
      <w:autoSpaceDE/>
      <w:autoSpaceDN/>
      <w:ind w:left="2000" w:hanging="400"/>
      <w:jc w:val="both"/>
    </w:pPr>
    <w:rPr>
      <w:rFonts w:ascii="Times New Roman" w:hAnsi="Times New Roman" w:eastAsia="Times New Roman"/>
      <w:w w:val="100"/>
      <w:sz w:val="21"/>
      <w:szCs w:val="21"/>
      <w:shd w:val="clear"/>
    </w:rPr>
  </w:style>
  <w:style w:type="paragraph" w:styleId="10">
    <w:name w:val="heading 9"/>
    <w:next w:val="1"/>
    <w:qFormat/>
    <w:uiPriority w:val="15"/>
    <w:pPr>
      <w:widowControl/>
      <w:wordWrap/>
      <w:autoSpaceDE/>
      <w:autoSpaceDN/>
      <w:ind w:left="2200" w:hanging="400"/>
      <w:jc w:val="both"/>
    </w:pPr>
    <w:rPr>
      <w:rFonts w:ascii="Times New Roman" w:hAnsi="Times New Roman" w:eastAsia="Times New Roman"/>
      <w:w w:val="100"/>
      <w:sz w:val="21"/>
      <w:szCs w:val="21"/>
      <w:shd w:val="clear"/>
    </w:rPr>
  </w:style>
  <w:style w:type="character" w:default="1" w:styleId="27">
    <w:name w:val="Default Paragraph Font"/>
    <w:semiHidden/>
    <w:unhideWhenUsed/>
    <w:uiPriority w:val="2"/>
  </w:style>
  <w:style w:type="table" w:default="1" w:styleId="23">
    <w:name w:val="Normal Table"/>
    <w:qFormat/>
    <w:uiPriority w:val="37"/>
    <w:tblPr>
      <w:tblCellMar>
        <w:top w:w="0" w:type="dxa"/>
        <w:left w:w="108" w:type="dxa"/>
        <w:bottom w:w="0" w:type="dxa"/>
        <w:right w:w="108" w:type="dxa"/>
      </w:tblCellMar>
    </w:tblPr>
  </w:style>
  <w:style w:type="paragraph" w:styleId="11">
    <w:name w:val="toc 7"/>
    <w:next w:val="1"/>
    <w:unhideWhenUsed/>
    <w:qFormat/>
    <w:uiPriority w:val="34"/>
    <w:pPr>
      <w:widowControl/>
      <w:wordWrap/>
      <w:autoSpaceDE/>
      <w:autoSpaceDN/>
      <w:ind w:left="2550" w:firstLine="0"/>
      <w:jc w:val="both"/>
    </w:pPr>
    <w:rPr>
      <w:rFonts w:ascii="Times New Roman" w:hAnsi="Times New Roman" w:eastAsia="Times New Roman"/>
      <w:w w:val="100"/>
      <w:sz w:val="21"/>
      <w:szCs w:val="21"/>
      <w:shd w:val="clear"/>
    </w:rPr>
  </w:style>
  <w:style w:type="paragraph" w:styleId="12">
    <w:name w:val="toc 5"/>
    <w:next w:val="1"/>
    <w:unhideWhenUsed/>
    <w:qFormat/>
    <w:uiPriority w:val="32"/>
    <w:pPr>
      <w:widowControl/>
      <w:wordWrap/>
      <w:autoSpaceDE/>
      <w:autoSpaceDN/>
      <w:ind w:left="1700" w:firstLine="0"/>
      <w:jc w:val="both"/>
    </w:pPr>
    <w:rPr>
      <w:rFonts w:ascii="Times New Roman" w:hAnsi="Times New Roman" w:eastAsia="Times New Roman"/>
      <w:w w:val="100"/>
      <w:sz w:val="21"/>
      <w:szCs w:val="21"/>
      <w:shd w:val="clear"/>
    </w:rPr>
  </w:style>
  <w:style w:type="paragraph" w:styleId="13">
    <w:name w:val="toc 3"/>
    <w:next w:val="1"/>
    <w:unhideWhenUsed/>
    <w:qFormat/>
    <w:uiPriority w:val="30"/>
    <w:pPr>
      <w:widowControl/>
      <w:wordWrap/>
      <w:autoSpaceDE/>
      <w:autoSpaceDN/>
      <w:ind w:left="850" w:firstLine="0"/>
      <w:jc w:val="both"/>
    </w:pPr>
    <w:rPr>
      <w:rFonts w:ascii="Times New Roman" w:hAnsi="Times New Roman" w:eastAsia="Times New Roman"/>
      <w:w w:val="100"/>
      <w:sz w:val="21"/>
      <w:szCs w:val="21"/>
      <w:shd w:val="clear"/>
    </w:rPr>
  </w:style>
  <w:style w:type="paragraph" w:styleId="14">
    <w:name w:val="toc 8"/>
    <w:next w:val="1"/>
    <w:unhideWhenUsed/>
    <w:qFormat/>
    <w:uiPriority w:val="35"/>
    <w:pPr>
      <w:widowControl/>
      <w:wordWrap/>
      <w:autoSpaceDE/>
      <w:autoSpaceDN/>
      <w:ind w:left="2975" w:firstLine="0"/>
      <w:jc w:val="both"/>
    </w:pPr>
    <w:rPr>
      <w:rFonts w:ascii="Times New Roman" w:hAnsi="Times New Roman" w:eastAsia="Times New Roman"/>
      <w:w w:val="100"/>
      <w:sz w:val="21"/>
      <w:szCs w:val="21"/>
      <w:shd w:val="clear"/>
    </w:rPr>
  </w:style>
  <w:style w:type="paragraph" w:styleId="15">
    <w:name w:val="toc 1"/>
    <w:next w:val="1"/>
    <w:unhideWhenUsed/>
    <w:qFormat/>
    <w:uiPriority w:val="28"/>
    <w:pPr>
      <w:widowControl/>
      <w:wordWrap/>
      <w:autoSpaceDE/>
      <w:autoSpaceDN/>
      <w:jc w:val="both"/>
    </w:pPr>
    <w:rPr>
      <w:rFonts w:ascii="Times New Roman" w:hAnsi="Times New Roman" w:eastAsia="Times New Roman"/>
      <w:w w:val="100"/>
      <w:sz w:val="21"/>
      <w:szCs w:val="21"/>
      <w:shd w:val="clear"/>
    </w:rPr>
  </w:style>
  <w:style w:type="paragraph" w:styleId="16">
    <w:name w:val="toc 4"/>
    <w:next w:val="1"/>
    <w:unhideWhenUsed/>
    <w:qFormat/>
    <w:uiPriority w:val="31"/>
    <w:pPr>
      <w:widowControl/>
      <w:wordWrap/>
      <w:autoSpaceDE/>
      <w:autoSpaceDN/>
      <w:ind w:left="1275" w:firstLine="0"/>
      <w:jc w:val="both"/>
    </w:pPr>
    <w:rPr>
      <w:rFonts w:ascii="Times New Roman" w:hAnsi="Times New Roman" w:eastAsia="Times New Roman"/>
      <w:w w:val="100"/>
      <w:sz w:val="21"/>
      <w:szCs w:val="21"/>
      <w:shd w:val="clear"/>
    </w:rPr>
  </w:style>
  <w:style w:type="paragraph" w:styleId="17">
    <w:name w:val="Subtitle"/>
    <w:qFormat/>
    <w:uiPriority w:val="16"/>
    <w:pPr>
      <w:widowControl/>
      <w:wordWrap/>
      <w:autoSpaceDE/>
      <w:autoSpaceDN/>
      <w:jc w:val="center"/>
    </w:pPr>
    <w:rPr>
      <w:rFonts w:ascii="Times New Roman" w:hAnsi="Times New Roman" w:eastAsia="Times New Roman"/>
      <w:w w:val="100"/>
      <w:sz w:val="24"/>
      <w:szCs w:val="24"/>
      <w:shd w:val="clear"/>
    </w:rPr>
  </w:style>
  <w:style w:type="paragraph" w:styleId="18">
    <w:name w:val="footnote text"/>
    <w:basedOn w:val="1"/>
    <w:link w:val="50"/>
    <w:unhideWhenUsed/>
    <w:uiPriority w:val="153"/>
    <w:pPr>
      <w:widowControl/>
      <w:wordWrap/>
      <w:autoSpaceDE/>
      <w:autoSpaceDN/>
    </w:pPr>
    <w:rPr>
      <w:rFonts w:ascii="Malgun Gothic" w:hAnsi="Malgun Gothic" w:eastAsia="Malgun Gothic"/>
      <w:w w:val="100"/>
      <w:sz w:val="20"/>
      <w:szCs w:val="20"/>
      <w:shd w:val="clear"/>
    </w:rPr>
  </w:style>
  <w:style w:type="paragraph" w:styleId="19">
    <w:name w:val="toc 6"/>
    <w:next w:val="1"/>
    <w:unhideWhenUsed/>
    <w:qFormat/>
    <w:uiPriority w:val="33"/>
    <w:pPr>
      <w:widowControl/>
      <w:wordWrap/>
      <w:autoSpaceDE/>
      <w:autoSpaceDN/>
      <w:ind w:left="2125" w:firstLine="0"/>
      <w:jc w:val="both"/>
    </w:pPr>
    <w:rPr>
      <w:rFonts w:ascii="Times New Roman" w:hAnsi="Times New Roman" w:eastAsia="Times New Roman"/>
      <w:w w:val="100"/>
      <w:sz w:val="21"/>
      <w:szCs w:val="21"/>
      <w:shd w:val="clear"/>
    </w:rPr>
  </w:style>
  <w:style w:type="paragraph" w:styleId="20">
    <w:name w:val="toc 2"/>
    <w:next w:val="1"/>
    <w:unhideWhenUsed/>
    <w:qFormat/>
    <w:uiPriority w:val="29"/>
    <w:pPr>
      <w:widowControl/>
      <w:wordWrap/>
      <w:autoSpaceDE/>
      <w:autoSpaceDN/>
      <w:ind w:left="425" w:firstLine="0"/>
      <w:jc w:val="both"/>
    </w:pPr>
    <w:rPr>
      <w:rFonts w:ascii="Times New Roman" w:hAnsi="Times New Roman" w:eastAsia="Times New Roman"/>
      <w:w w:val="100"/>
      <w:sz w:val="21"/>
      <w:szCs w:val="21"/>
      <w:shd w:val="clear"/>
    </w:rPr>
  </w:style>
  <w:style w:type="paragraph" w:styleId="21">
    <w:name w:val="toc 9"/>
    <w:next w:val="1"/>
    <w:unhideWhenUsed/>
    <w:qFormat/>
    <w:uiPriority w:val="36"/>
    <w:pPr>
      <w:widowControl/>
      <w:wordWrap/>
      <w:autoSpaceDE/>
      <w:autoSpaceDN/>
      <w:ind w:left="3400" w:firstLine="0"/>
      <w:jc w:val="both"/>
    </w:pPr>
    <w:rPr>
      <w:rFonts w:ascii="Times New Roman" w:hAnsi="Times New Roman" w:eastAsia="Times New Roman"/>
      <w:w w:val="100"/>
      <w:sz w:val="21"/>
      <w:szCs w:val="21"/>
      <w:shd w:val="clear"/>
    </w:rPr>
  </w:style>
  <w:style w:type="paragraph" w:styleId="22">
    <w:name w:val="Title"/>
    <w:qFormat/>
    <w:uiPriority w:val="6"/>
    <w:pPr>
      <w:widowControl/>
      <w:wordWrap/>
      <w:autoSpaceDE/>
      <w:autoSpaceDN/>
      <w:jc w:val="center"/>
    </w:pPr>
    <w:rPr>
      <w:rFonts w:ascii="Times New Roman" w:hAnsi="Times New Roman" w:eastAsia="Times New Roman"/>
      <w:b/>
      <w:w w:val="100"/>
      <w:sz w:val="32"/>
      <w:szCs w:val="32"/>
      <w:shd w:val="clear"/>
    </w:rPr>
  </w:style>
  <w:style w:type="table" w:styleId="24">
    <w:name w:val="Table Grid"/>
    <w:basedOn w:val="23"/>
    <w:uiPriority w:val="3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Light Shading Accent 1"/>
    <w:basedOn w:val="23"/>
    <w:uiPriority w:val="155"/>
    <w:pPr>
      <w:widowControl/>
      <w:wordWrap/>
      <w:autoSpaceDE/>
      <w:autoSpaceDN/>
    </w:pPr>
    <w:rPr>
      <w:rFonts w:ascii="Malgun Gothic" w:hAnsi="Malgun Gothic" w:eastAsia="Malgun Gothic"/>
      <w:color w:val="2E75B6" w:themeColor="accent1" w:themeShade="BF"/>
      <w:w w:val="100"/>
      <w:sz w:val="22"/>
      <w:szCs w:val="22"/>
      <w:shd w:val="clear"/>
    </w:rPr>
    <w:tblPr>
      <w:tblBorders>
        <w:top w:val="single" w:color="5B9BD5" w:themeColor="accent1" w:sz="8" w:space="0"/>
        <w:bottom w:val="single" w:color="5B9BD5" w:themeColor="accent1" w:sz="8" w:space="0"/>
      </w:tblBorders>
      <w:tblCellMar>
        <w:top w:w="0" w:type="dxa"/>
        <w:left w:w="108" w:type="dxa"/>
        <w:bottom w:w="0" w:type="dxa"/>
        <w:right w:w="108" w:type="dxa"/>
      </w:tblCellMar>
    </w:tblPr>
    <w:tblStylePr w:type="firstRow">
      <w:pPr>
        <w:jc w:val="both"/>
      </w:pPr>
      <w:rPr>
        <w:b/>
        <w:color w:val="2E75B6" w:themeColor="accent1" w:themeShade="BF"/>
        <w:w w:val="100"/>
        <w:sz w:val="20"/>
        <w:szCs w:val="20"/>
        <w:shd w:val="clear"/>
      </w:rPr>
      <w:tblPr/>
      <w:tcPr>
        <w:tcBorders>
          <w:top w:val="single" w:color="5B9BD5" w:themeColor="accent1" w:sz="8" w:space="0"/>
          <w:left w:val="nil"/>
          <w:bottom w:val="single" w:color="5B9BD5" w:themeColor="accent1" w:sz="8" w:space="0"/>
          <w:right w:val="nil"/>
          <w:insideH w:val="nil"/>
          <w:insideV w:val="nil"/>
        </w:tcBorders>
      </w:tcPr>
    </w:tblStylePr>
    <w:tblStylePr w:type="lastRow">
      <w:pPr>
        <w:jc w:val="both"/>
      </w:pPr>
      <w:rPr>
        <w:b/>
        <w:color w:val="2E75B6" w:themeColor="accent1" w:themeShade="BF"/>
        <w:w w:val="100"/>
        <w:sz w:val="20"/>
        <w:szCs w:val="20"/>
        <w:shd w:val="clear"/>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color w:val="2E75B6" w:themeColor="accent1" w:themeShade="BF"/>
        <w:w w:val="100"/>
        <w:sz w:val="20"/>
        <w:szCs w:val="20"/>
        <w:shd w:val="clear"/>
      </w:rPr>
    </w:tblStylePr>
    <w:tblStylePr w:type="lastCol">
      <w:rPr>
        <w:b/>
        <w:color w:val="2E75B6" w:themeColor="accent1" w:themeShade="BF"/>
        <w:w w:val="100"/>
        <w:sz w:val="20"/>
        <w:szCs w:val="20"/>
        <w:shd w:val="clear"/>
      </w:rPr>
    </w:tblStylePr>
    <w:tblStylePr w:type="band1Vert">
      <w:tblPr/>
      <w:tcPr>
        <w:tcBorders>
          <w:left w:val="nil"/>
          <w:right w:val="nil"/>
          <w:insideH w:val="nil"/>
          <w:insideV w:val="nil"/>
        </w:tcBorders>
        <w:shd w:val="clear" w:color="000000" w:fill="D6E6F4" w:themeFill="accent1" w:themeFillTint="3F"/>
      </w:tcPr>
    </w:tblStylePr>
    <w:tblStylePr w:type="band1Horz">
      <w:tblPr/>
      <w:tcPr>
        <w:tcBorders>
          <w:left w:val="nil"/>
          <w:right w:val="nil"/>
          <w:insideH w:val="nil"/>
          <w:insideV w:val="nil"/>
        </w:tcBorders>
        <w:shd w:val="clear" w:color="000000" w:fill="D6E6F4" w:themeFill="accent1" w:themeFillTint="3F"/>
      </w:tcPr>
    </w:tblStylePr>
  </w:style>
  <w:style w:type="table" w:styleId="26">
    <w:name w:val="Medium Shading 2 Accent 5"/>
    <w:basedOn w:val="23"/>
    <w:uiPriority w:val="156"/>
    <w:pPr>
      <w:widowControl/>
      <w:wordWrap/>
      <w:autoSpaceDE/>
      <w:autoSpaceDN/>
    </w:pPr>
    <w:rPr>
      <w:rFonts w:ascii="Malgun Gothic" w:hAnsi="Malgun Gothic" w:eastAsia="Malgun Gothic"/>
      <w:w w:val="100"/>
      <w:sz w:val="22"/>
      <w:szCs w:val="22"/>
      <w:shd w:val="clear"/>
    </w:rPr>
    <w:tblPr>
      <w:tblBorders>
        <w:top w:val="single" w:color="auto" w:sz="18" w:space="0"/>
        <w:bottom w:val="single" w:color="auto" w:sz="18" w:space="0"/>
      </w:tblBorders>
      <w:tblCellMar>
        <w:top w:w="0" w:type="dxa"/>
        <w:left w:w="108" w:type="dxa"/>
        <w:bottom w:w="0" w:type="dxa"/>
        <w:right w:w="108" w:type="dxa"/>
      </w:tblCellMar>
    </w:tblPr>
    <w:tblStylePr w:type="firstRow">
      <w:pPr>
        <w:jc w:val="both"/>
      </w:pPr>
      <w:rPr>
        <w:b/>
        <w:color w:val="FFFFFF" w:themeColor="background1"/>
        <w:w w:val="100"/>
        <w:sz w:val="20"/>
        <w:szCs w:val="20"/>
        <w:shd w:val="clear"/>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000000" w:fill="4472C4" w:themeFill="accent5"/>
      </w:tcPr>
    </w:tblStylePr>
    <w:tblStylePr w:type="lastRow">
      <w:pPr>
        <w:jc w:val="both"/>
      </w:pPr>
      <w:rPr>
        <w:color w:val="000000"/>
        <w:w w:val="100"/>
        <w:sz w:val="20"/>
        <w:szCs w:val="20"/>
        <w:shd w:val="clear"/>
      </w:rPr>
      <w:tblPr/>
      <w:tcPr>
        <w:tcBorders>
          <w:top w:val="double" w:color="auto" w:sz="6" w:space="0"/>
          <w:left w:val="nil"/>
          <w:bottom w:val="single" w:color="auto" w:sz="18" w:space="0"/>
          <w:right w:val="nil"/>
          <w:insideH w:val="nil"/>
          <w:insideV w:val="nil"/>
        </w:tcBorders>
        <w:shd w:val="clear" w:color="000000" w:fill="FFFFFF" w:themeFill="background1"/>
      </w:tcPr>
    </w:tblStylePr>
    <w:tblStylePr w:type="firstCol">
      <w:rPr>
        <w:b/>
        <w:color w:val="FFFFFF" w:themeColor="background1"/>
        <w:w w:val="100"/>
        <w:sz w:val="20"/>
        <w:szCs w:val="20"/>
        <w:shd w:val="clear"/>
        <w14:textFill>
          <w14:solidFill>
            <w14:schemeClr w14:val="bg1"/>
          </w14:solidFill>
        </w14:textFill>
      </w:rPr>
      <w:tblPr/>
      <w:tcPr>
        <w:tcBorders>
          <w:top w:val="nil"/>
          <w:left w:val="nil"/>
          <w:bottom w:val="single" w:color="auto" w:sz="18" w:space="0"/>
          <w:right w:val="nil"/>
          <w:insideH w:val="nil"/>
          <w:insideV w:val="nil"/>
        </w:tcBorders>
        <w:shd w:val="clear" w:color="000000" w:fill="4472C4" w:themeFill="accent5"/>
      </w:tcPr>
    </w:tblStylePr>
    <w:tblStylePr w:type="lastCol">
      <w:rPr>
        <w:b/>
        <w:color w:val="FFFFFF" w:themeColor="background1"/>
        <w:w w:val="100"/>
        <w:sz w:val="20"/>
        <w:szCs w:val="20"/>
        <w:shd w:val="clear"/>
        <w14:textFill>
          <w14:solidFill>
            <w14:schemeClr w14:val="bg1"/>
          </w14:solidFill>
        </w14:textFill>
      </w:rPr>
      <w:tblPr/>
      <w:tcPr>
        <w:tcBorders>
          <w:left w:val="nil"/>
          <w:right w:val="nil"/>
          <w:insideH w:val="nil"/>
          <w:insideV w:val="nil"/>
        </w:tcBorders>
        <w:shd w:val="clear" w:color="000000" w:fill="4472C4" w:themeFill="accent5"/>
      </w:tcPr>
    </w:tblStylePr>
    <w:tblStylePr w:type="band1Vert">
      <w:tblPr/>
      <w:tcPr>
        <w:tcBorders>
          <w:left w:val="nil"/>
          <w:right w:val="nil"/>
          <w:insideH w:val="nil"/>
          <w:insideV w:val="nil"/>
        </w:tcBorders>
        <w:shd w:val="clear" w:color="000000" w:fill="D7D7D7" w:themeFill="background1" w:themeFillShade="D8"/>
      </w:tcPr>
    </w:tblStylePr>
    <w:tblStylePr w:type="band1Horz">
      <w:tblPr/>
      <w:tcPr>
        <w:shd w:val="clear" w:color="000000"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w w:val="100"/>
        <w:sz w:val="20"/>
        <w:szCs w:val="20"/>
        <w:shd w:val="clear"/>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28">
    <w:name w:val="Strong"/>
    <w:qFormat/>
    <w:uiPriority w:val="20"/>
    <w:rPr>
      <w:b/>
      <w:w w:val="100"/>
      <w:sz w:val="21"/>
      <w:szCs w:val="21"/>
      <w:shd w:val="clear" w:color="000000"/>
    </w:rPr>
  </w:style>
  <w:style w:type="character" w:styleId="29">
    <w:name w:val="Emphasis"/>
    <w:qFormat/>
    <w:uiPriority w:val="18"/>
    <w:rPr>
      <w:i/>
      <w:w w:val="100"/>
      <w:sz w:val="21"/>
      <w:szCs w:val="21"/>
      <w:shd w:val="clear" w:color="000000"/>
    </w:rPr>
  </w:style>
  <w:style w:type="paragraph" w:styleId="30">
    <w:name w:val="No Spacing"/>
    <w:qFormat/>
    <w:uiPriority w:val="5"/>
    <w:pPr>
      <w:widowControl/>
      <w:wordWrap/>
      <w:autoSpaceDE/>
      <w:autoSpaceDN/>
      <w:jc w:val="both"/>
    </w:pPr>
    <w:rPr>
      <w:rFonts w:ascii="Times New Roman" w:hAnsi="Times New Roman" w:eastAsia="Times New Roman"/>
      <w:w w:val="100"/>
      <w:sz w:val="21"/>
      <w:szCs w:val="21"/>
      <w:shd w:val="clear"/>
    </w:rPr>
  </w:style>
  <w:style w:type="character" w:customStyle="1" w:styleId="31">
    <w:name w:val="Subtle Emphasis"/>
    <w:qFormat/>
    <w:uiPriority w:val="17"/>
    <w:rPr>
      <w:i/>
      <w:color w:val="404040"/>
      <w:w w:val="100"/>
      <w:sz w:val="21"/>
      <w:szCs w:val="21"/>
      <w:shd w:val="clear" w:color="000000"/>
    </w:rPr>
  </w:style>
  <w:style w:type="character" w:customStyle="1" w:styleId="32">
    <w:name w:val="Intense Emphasis"/>
    <w:qFormat/>
    <w:uiPriority w:val="19"/>
    <w:rPr>
      <w:i/>
      <w:color w:val="5B9BD5"/>
      <w:w w:val="100"/>
      <w:sz w:val="21"/>
      <w:szCs w:val="21"/>
      <w:shd w:val="clear" w:color="000000"/>
    </w:rPr>
  </w:style>
  <w:style w:type="paragraph" w:styleId="33">
    <w:name w:val="Quote"/>
    <w:qFormat/>
    <w:uiPriority w:val="21"/>
    <w:pPr>
      <w:widowControl/>
      <w:wordWrap/>
      <w:autoSpaceDE/>
      <w:autoSpaceDN/>
      <w:ind w:left="864" w:right="864" w:firstLine="0"/>
      <w:jc w:val="center"/>
    </w:pPr>
    <w:rPr>
      <w:rFonts w:ascii="Times New Roman" w:hAnsi="Times New Roman" w:eastAsia="Times New Roman"/>
      <w:i/>
      <w:color w:val="404040"/>
      <w:w w:val="100"/>
      <w:sz w:val="20"/>
      <w:szCs w:val="20"/>
      <w:shd w:val="clear"/>
    </w:rPr>
  </w:style>
  <w:style w:type="paragraph" w:styleId="34">
    <w:name w:val="Intense Quote"/>
    <w:qFormat/>
    <w:uiPriority w:val="22"/>
    <w:pPr>
      <w:widowControl/>
      <w:wordWrap/>
      <w:autoSpaceDE/>
      <w:autoSpaceDN/>
      <w:ind w:left="950" w:right="950" w:firstLine="0"/>
      <w:jc w:val="center"/>
    </w:pPr>
    <w:rPr>
      <w:rFonts w:ascii="Times New Roman" w:hAnsi="Times New Roman" w:eastAsia="Times New Roman"/>
      <w:i/>
      <w:color w:val="5B9BD5"/>
      <w:w w:val="100"/>
      <w:sz w:val="20"/>
      <w:szCs w:val="20"/>
      <w:shd w:val="clear"/>
    </w:rPr>
  </w:style>
  <w:style w:type="character" w:customStyle="1" w:styleId="35">
    <w:name w:val="Subtle Reference"/>
    <w:qFormat/>
    <w:uiPriority w:val="23"/>
    <w:rPr>
      <w:smallCaps/>
      <w:color w:val="5A5A5A"/>
      <w:w w:val="100"/>
      <w:sz w:val="21"/>
      <w:szCs w:val="21"/>
      <w:shd w:val="clear" w:color="000000"/>
    </w:rPr>
  </w:style>
  <w:style w:type="character" w:customStyle="1" w:styleId="36">
    <w:name w:val="Intense Reference"/>
    <w:qFormat/>
    <w:uiPriority w:val="24"/>
    <w:rPr>
      <w:b/>
      <w:smallCaps/>
      <w:color w:val="5B9BD5"/>
      <w:w w:val="100"/>
      <w:sz w:val="21"/>
      <w:szCs w:val="21"/>
      <w:shd w:val="clear" w:color="000000"/>
    </w:rPr>
  </w:style>
  <w:style w:type="character" w:customStyle="1" w:styleId="37">
    <w:name w:val="Book Title"/>
    <w:qFormat/>
    <w:uiPriority w:val="25"/>
    <w:rPr>
      <w:b/>
      <w:i/>
      <w:w w:val="100"/>
      <w:sz w:val="21"/>
      <w:szCs w:val="21"/>
      <w:shd w:val="clear" w:color="000000"/>
    </w:rPr>
  </w:style>
  <w:style w:type="paragraph" w:styleId="38">
    <w:name w:val="List Paragraph"/>
    <w:qFormat/>
    <w:uiPriority w:val="26"/>
    <w:pPr>
      <w:widowControl/>
      <w:wordWrap/>
      <w:autoSpaceDE/>
      <w:autoSpaceDN/>
      <w:ind w:left="850" w:firstLine="0"/>
      <w:jc w:val="both"/>
    </w:pPr>
    <w:rPr>
      <w:rFonts w:ascii="Times New Roman" w:hAnsi="Times New Roman" w:eastAsia="Times New Roman"/>
      <w:w w:val="100"/>
      <w:sz w:val="21"/>
      <w:szCs w:val="21"/>
      <w:shd w:val="clear"/>
    </w:rPr>
  </w:style>
  <w:style w:type="paragraph" w:customStyle="1" w:styleId="39">
    <w:name w:val="TOC Heading"/>
    <w:unhideWhenUsed/>
    <w:qFormat/>
    <w:uiPriority w:val="27"/>
    <w:pPr>
      <w:widowControl/>
      <w:wordWrap/>
      <w:autoSpaceDE/>
      <w:autoSpaceDN/>
      <w:jc w:val="both"/>
    </w:pPr>
    <w:rPr>
      <w:rFonts w:ascii="Times New Roman" w:hAnsi="Times New Roman" w:eastAsia="Times New Roman"/>
      <w:color w:val="2E74B5"/>
      <w:w w:val="100"/>
      <w:sz w:val="32"/>
      <w:szCs w:val="32"/>
      <w:shd w:val="clear"/>
    </w:rPr>
  </w:style>
  <w:style w:type="table" w:customStyle="1" w:styleId="40">
    <w:name w:val="Calendar1"/>
    <w:basedOn w:val="23"/>
    <w:qFormat/>
    <w:uiPriority w:val="143"/>
    <w:rPr>
      <w:w w:val="100"/>
      <w:sz w:val="22"/>
      <w:szCs w:val="22"/>
      <w:shd w:val="clear"/>
    </w:rPr>
    <w:tblPr>
      <w:tblCellMar>
        <w:top w:w="0" w:type="dxa"/>
        <w:left w:w="108" w:type="dxa"/>
        <w:bottom w:w="0" w:type="dxa"/>
        <w:right w:w="108" w:type="dxa"/>
      </w:tblCellMar>
    </w:tblPr>
    <w:tblStylePr w:type="firstRow">
      <w:pPr>
        <w:jc w:val="both"/>
      </w:pPr>
      <w:rPr>
        <w:w w:val="100"/>
        <w:sz w:val="44"/>
        <w:szCs w:val="44"/>
        <w:shd w:val="clear"/>
      </w:rPr>
    </w:tblStylePr>
    <w:tblStylePr w:type="lastRow">
      <w:tcPr>
        <w:tcBorders>
          <w:top w:val="nil"/>
          <w:left w:val="nil"/>
          <w:bottom w:val="nil"/>
          <w:right w:val="nil"/>
          <w:insideH w:val="nil"/>
          <w:insideV w:val="nil"/>
          <w:tl2br w:val="nil"/>
          <w:tr2bl w:val="nil"/>
        </w:tcBorders>
        <w:shd w:val="clear" w:color="auto" w:fill="auto"/>
      </w:tcPr>
    </w:tblStylePr>
    <w:tblStylePr w:type="band1Horz">
      <w:tcPr>
        <w:tcBorders>
          <w:top w:val="nil"/>
          <w:left w:val="nil"/>
          <w:bottom w:val="nil"/>
          <w:right w:val="nil"/>
          <w:insideH w:val="nil"/>
          <w:insideV w:val="nil"/>
          <w:tl2br w:val="nil"/>
          <w:tr2bl w:val="nil"/>
        </w:tcBorders>
        <w:shd w:val="clear" w:color="auto" w:fill="auto"/>
      </w:tcPr>
    </w:tblStylePr>
    <w:tblStylePr w:type="band2Horz">
      <w:tcPr>
        <w:tcBorders>
          <w:top w:val="single" w:color="000000" w:themeColor="text1" w:sz="24" w:space="0"/>
          <w:left w:val="nil"/>
          <w:bottom w:val="single" w:color="000000" w:themeColor="text1" w:sz="24" w:space="0"/>
          <w:right w:val="nil"/>
          <w:insideH w:val="nil"/>
          <w:insideV w:val="nil"/>
          <w:tl2br w:val="nil"/>
          <w:tr2bl w:val="nil"/>
        </w:tcBorders>
        <w:shd w:val="clear" w:color="auto" w:fill="auto"/>
      </w:tcPr>
    </w:tblStylePr>
  </w:style>
  <w:style w:type="table" w:customStyle="1" w:styleId="41">
    <w:name w:val="Calendar2"/>
    <w:basedOn w:val="23"/>
    <w:qFormat/>
    <w:uiPriority w:val="144"/>
    <w:pPr>
      <w:widowControl/>
      <w:wordWrap/>
      <w:autoSpaceDE/>
      <w:autoSpaceDN/>
      <w:jc w:val="center"/>
    </w:pPr>
    <w:rPr>
      <w:w w:val="100"/>
      <w:sz w:val="28"/>
      <w:szCs w:val="28"/>
      <w:shd w:val="clear"/>
    </w:rPr>
    <w:tblPr>
      <w:tblBorders>
        <w:insideV w:val="single" w:color="9CC2E5" w:themeColor="accent1" w:themeTint="99" w:sz="4" w:space="0"/>
      </w:tblBorders>
      <w:tblCellMar>
        <w:top w:w="0" w:type="dxa"/>
        <w:left w:w="108" w:type="dxa"/>
        <w:bottom w:w="0" w:type="dxa"/>
        <w:right w:w="108" w:type="dxa"/>
      </w:tblCellMar>
    </w:tblPr>
    <w:tblStylePr w:type="firstRow">
      <w:rPr>
        <w:color w:val="5B9BD5" w:themeColor="accent1"/>
        <w:w w:val="100"/>
        <w:sz w:val="32"/>
        <w:szCs w:val="32"/>
        <w:shd w:val="clear"/>
        <w14:textFill>
          <w14:solidFill>
            <w14:schemeClr w14:val="accent1"/>
          </w14:solidFill>
        </w14:textFill>
      </w:rPr>
      <w:tcPr>
        <w:tcBorders>
          <w:top w:val="nil"/>
          <w:left w:val="nil"/>
          <w:bottom w:val="nil"/>
          <w:right w:val="nil"/>
          <w:insideH w:val="nil"/>
          <w:insideV w:val="nil"/>
          <w:tl2br w:val="nil"/>
          <w:tr2bl w:val="nil"/>
        </w:tcBorders>
      </w:tcPr>
    </w:tblStylePr>
  </w:style>
  <w:style w:type="table" w:customStyle="1" w:styleId="42">
    <w:name w:val="Calendar3"/>
    <w:basedOn w:val="23"/>
    <w:qFormat/>
    <w:uiPriority w:val="145"/>
    <w:pPr>
      <w:widowControl/>
      <w:wordWrap/>
      <w:autoSpaceDE/>
      <w:autoSpaceDN/>
      <w:jc w:val="right"/>
    </w:pPr>
    <w:rPr>
      <w:color w:val="000000" w:themeColor="text1"/>
      <w:w w:val="100"/>
      <w:sz w:val="22"/>
      <w:szCs w:val="22"/>
      <w:shd w:val="clear"/>
      <w14:textFill>
        <w14:solidFill>
          <w14:schemeClr w14:val="tx1"/>
        </w14:solidFill>
      </w14:textFill>
    </w:rPr>
    <w:tblPr>
      <w:tblCellMar>
        <w:top w:w="0" w:type="dxa"/>
        <w:left w:w="108" w:type="dxa"/>
        <w:bottom w:w="0" w:type="dxa"/>
        <w:right w:w="108" w:type="dxa"/>
      </w:tblCellMar>
    </w:tblPr>
    <w:tblStylePr w:type="firstRow">
      <w:pPr>
        <w:jc w:val="right"/>
      </w:pPr>
      <w:rPr>
        <w:color w:val="5B9BD5" w:themeColor="accent1"/>
        <w:w w:val="100"/>
        <w:sz w:val="20"/>
        <w:szCs w:val="20"/>
        <w:shd w:val="clear"/>
        <w14:textFill>
          <w14:solidFill>
            <w14:schemeClr w14:val="accent1"/>
          </w14:solidFill>
        </w14:textFill>
      </w:rPr>
    </w:tblStylePr>
    <w:tblStylePr w:type="firstCol">
      <w:rPr>
        <w:color w:val="5B9BD5" w:themeColor="accent1"/>
        <w:w w:val="100"/>
        <w:sz w:val="20"/>
        <w:szCs w:val="20"/>
        <w:shd w:val="clear"/>
        <w14:textFill>
          <w14:solidFill>
            <w14:schemeClr w14:val="accent1"/>
          </w14:solidFill>
        </w14:textFill>
      </w:rPr>
    </w:tblStylePr>
    <w:tblStylePr w:type="lastCol">
      <w:rPr>
        <w:color w:val="5B9BD5" w:themeColor="accent1"/>
        <w:w w:val="100"/>
        <w:sz w:val="20"/>
        <w:szCs w:val="20"/>
        <w:shd w:val="clear"/>
        <w14:textFill>
          <w14:solidFill>
            <w14:schemeClr w14:val="accent1"/>
          </w14:solidFill>
        </w14:textFill>
      </w:rPr>
    </w:tblStylePr>
  </w:style>
  <w:style w:type="table" w:customStyle="1" w:styleId="43">
    <w:name w:val="Calendar4"/>
    <w:basedOn w:val="23"/>
    <w:qFormat/>
    <w:uiPriority w:val="146"/>
    <w:rPr>
      <w:b/>
      <w:color w:val="FFFFFF" w:themeColor="background1"/>
      <w:w w:val="100"/>
      <w:sz w:val="16"/>
      <w:szCs w:val="16"/>
      <w:shd w:val="clear"/>
      <w14:textFill>
        <w14:solidFill>
          <w14:schemeClr w14:val="bg1"/>
        </w14:solidFill>
      </w14:textFill>
    </w:rPr>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CellMar>
        <w:top w:w="0" w:type="dxa"/>
        <w:left w:w="108" w:type="dxa"/>
        <w:bottom w:w="0" w:type="dxa"/>
        <w:right w:w="108" w:type="dxa"/>
      </w:tblCellMar>
    </w:tblPr>
    <w:tcPr>
      <w:shd w:val="clear" w:color="000000" w:fill="1F4F7A" w:themeFill="accent1" w:themeFillShade="81"/>
    </w:tcPr>
    <w:tblStylePr w:type="firstRow">
      <w:rPr>
        <w:color w:val="5B9BD5" w:themeColor="accent1"/>
        <w:w w:val="100"/>
        <w:sz w:val="8"/>
        <w:szCs w:val="8"/>
        <w:shd w:val="clear"/>
        <w14:textFill>
          <w14:solidFill>
            <w14:schemeClr w14:val="accent1"/>
          </w14:solidFill>
        </w14:textFill>
      </w:rPr>
    </w:tblStylePr>
    <w:tblStylePr w:type="firstCol">
      <w:pPr>
        <w:jc w:val="both"/>
      </w:pPr>
      <w:rPr>
        <w:b/>
        <w:color w:val="5B9BD5" w:themeColor="accent1"/>
        <w:w w:val="100"/>
        <w:sz w:val="20"/>
        <w:szCs w:val="20"/>
        <w:shd w:val="clear"/>
        <w14:textFill>
          <w14:solidFill>
            <w14:schemeClr w14:val="accent1"/>
          </w14:solidFill>
        </w14:textFill>
      </w:rPr>
    </w:tblStylePr>
    <w:tblStylePr w:type="band1Horz">
      <w:rPr>
        <w:w w:val="100"/>
        <w:sz w:val="16"/>
        <w:szCs w:val="16"/>
        <w:shd w:val="clear"/>
      </w:rPr>
    </w:tblStylePr>
    <w:tblStylePr w:type="band2Horz">
      <w:rPr>
        <w:w w:val="100"/>
        <w:sz w:val="28"/>
        <w:szCs w:val="28"/>
        <w:shd w:val="clear"/>
      </w:rPr>
      <w:tcPr>
        <w:tcMar>
          <w:top w:w="115" w:type="dxa"/>
          <w:left w:w="0" w:type="dxa"/>
          <w:bottom w:w="115" w:type="dxa"/>
          <w:right w:w="86" w:type="dxa"/>
        </w:tcMar>
      </w:tcPr>
    </w:tblStylePr>
    <w:tblStylePr w:type="nwCell">
      <w:rPr>
        <w:w w:val="100"/>
        <w:sz w:val="8"/>
        <w:szCs w:val="8"/>
        <w:shd w:val="clear"/>
      </w:rPr>
    </w:tblStylePr>
  </w:style>
  <w:style w:type="table" w:customStyle="1" w:styleId="44">
    <w:name w:val="LightShading-Accent1"/>
    <w:basedOn w:val="23"/>
    <w:uiPriority w:val="147"/>
    <w:rPr>
      <w:color w:val="3785CC" w:themeColor="accent1" w:themeShade="D9"/>
      <w:w w:val="100"/>
      <w:sz w:val="22"/>
      <w:szCs w:val="22"/>
      <w:shd w:val="clear"/>
    </w:rPr>
    <w:tblPr>
      <w:tblBorders>
        <w:top w:val="single" w:color="5B9BD5" w:themeColor="accent1" w:sz="8" w:space="0"/>
        <w:bottom w:val="single" w:color="5B9BD5" w:themeColor="accent1" w:sz="8" w:space="0"/>
      </w:tblBorders>
      <w:tblCellMar>
        <w:top w:w="0" w:type="dxa"/>
        <w:left w:w="108" w:type="dxa"/>
        <w:bottom w:w="0" w:type="dxa"/>
        <w:right w:w="108" w:type="dxa"/>
      </w:tblCellMar>
    </w:tblPr>
    <w:tblStylePr w:type="firstRow">
      <w:pPr>
        <w:jc w:val="both"/>
      </w:pPr>
      <w:rPr>
        <w:b/>
        <w:w w:val="100"/>
        <w:sz w:val="20"/>
        <w:szCs w:val="20"/>
        <w:shd w:val="clear"/>
      </w:rPr>
      <w:tcPr>
        <w:tcBorders>
          <w:top w:val="single" w:color="5B9BD5" w:themeColor="accent1" w:sz="8" w:space="0"/>
          <w:left w:val="nil"/>
          <w:bottom w:val="single" w:color="5B9BD5" w:themeColor="accent1" w:sz="8" w:space="0"/>
          <w:right w:val="nil"/>
          <w:insideH w:val="nil"/>
          <w:insideV w:val="nil"/>
        </w:tcBorders>
      </w:tcPr>
    </w:tblStylePr>
    <w:tblStylePr w:type="lastRow">
      <w:pPr>
        <w:jc w:val="both"/>
      </w:pPr>
      <w:tcPr>
        <w:tcBorders>
          <w:top w:val="single" w:color="5B9BD5" w:themeColor="accent1" w:sz="8" w:space="0"/>
          <w:left w:val="nil"/>
          <w:bottom w:val="single" w:color="5B9BD5" w:themeColor="accent1" w:sz="8" w:space="0"/>
          <w:right w:val="nil"/>
          <w:insideH w:val="nil"/>
          <w:insideV w:val="nil"/>
        </w:tcBorders>
      </w:tcPr>
    </w:tblStylePr>
    <w:tblStylePr w:type="firstCol">
      <w:rPr>
        <w:b/>
        <w:w w:val="100"/>
        <w:sz w:val="20"/>
        <w:szCs w:val="20"/>
        <w:shd w:val="clear"/>
      </w:rPr>
    </w:tblStylePr>
    <w:tblStylePr w:type="lastCol">
      <w:rPr>
        <w:b/>
        <w:w w:val="100"/>
        <w:sz w:val="20"/>
        <w:szCs w:val="20"/>
        <w:shd w:val="clear"/>
      </w:rPr>
    </w:tblStylePr>
    <w:tblStylePr w:type="band1Vert">
      <w:tcPr>
        <w:tcBorders>
          <w:left w:val="nil"/>
          <w:right w:val="nil"/>
          <w:insideH w:val="nil"/>
          <w:insideV w:val="nil"/>
        </w:tcBorders>
        <w:shd w:val="clear" w:color="000000" w:fill="D7E6F4" w:themeFill="accent1" w:themeFillTint="3E"/>
      </w:tcPr>
    </w:tblStylePr>
    <w:tblStylePr w:type="band1Horz">
      <w:tcPr>
        <w:tcBorders>
          <w:left w:val="nil"/>
          <w:right w:val="nil"/>
          <w:insideH w:val="nil"/>
          <w:insideV w:val="nil"/>
        </w:tcBorders>
        <w:shd w:val="clear" w:color="000000" w:fill="D7E6F4" w:themeFill="accent1" w:themeFillTint="3E"/>
      </w:tcPr>
    </w:tblStylePr>
  </w:style>
  <w:style w:type="table" w:customStyle="1" w:styleId="45">
    <w:name w:val="MediumShading2-Accent5"/>
    <w:basedOn w:val="23"/>
    <w:uiPriority w:val="148"/>
    <w:rPr>
      <w:w w:val="100"/>
      <w:sz w:val="22"/>
      <w:szCs w:val="22"/>
      <w:shd w:val="clear"/>
    </w:rPr>
    <w:tblPr>
      <w:tblBorders>
        <w:top w:val="single" w:color="5B9BD5" w:themeColor="accent1" w:sz="18" w:space="0"/>
        <w:bottom w:val="single" w:color="5B9BD5" w:themeColor="accent1" w:sz="18" w:space="0"/>
      </w:tblBorders>
      <w:tblCellMar>
        <w:top w:w="0" w:type="dxa"/>
        <w:left w:w="108" w:type="dxa"/>
        <w:bottom w:w="0" w:type="dxa"/>
        <w:right w:w="108" w:type="dxa"/>
      </w:tblCellMar>
    </w:tblPr>
    <w:tblStylePr w:type="firstRow">
      <w:pPr>
        <w:jc w:val="both"/>
      </w:pPr>
      <w:rPr>
        <w:b/>
        <w:color w:val="FFFFFF" w:themeColor="background1"/>
        <w:w w:val="100"/>
        <w:sz w:val="20"/>
        <w:szCs w:val="20"/>
        <w:shd w:val="clear"/>
        <w14:textFill>
          <w14:solidFill>
            <w14:schemeClr w14:val="bg1"/>
          </w14:solidFill>
        </w14:textFill>
      </w:rPr>
      <w:tcPr>
        <w:tcBorders>
          <w:top w:val="single" w:color="auto" w:sz="18" w:space="0"/>
          <w:left w:val="nil"/>
          <w:bottom w:val="single" w:color="auto" w:sz="18" w:space="0"/>
          <w:right w:val="nil"/>
          <w:insideH w:val="nil"/>
          <w:insideV w:val="nil"/>
        </w:tcBorders>
        <w:shd w:val="clear" w:color="000000" w:fill="4472C4" w:themeFill="accent5"/>
      </w:tcPr>
    </w:tblStylePr>
    <w:tblStylePr w:type="lastRow">
      <w:pPr>
        <w:jc w:val="both"/>
      </w:pPr>
      <w:rPr>
        <w:b/>
        <w:w w:val="100"/>
        <w:sz w:val="20"/>
        <w:szCs w:val="20"/>
        <w:shd w:val="clear"/>
      </w:rPr>
      <w:tcPr>
        <w:tcBorders>
          <w:top w:val="double" w:color="auto" w:sz="6" w:space="0"/>
          <w:left w:val="nil"/>
          <w:bottom w:val="single" w:color="auto" w:sz="18" w:space="0"/>
          <w:right w:val="nil"/>
          <w:insideH w:val="nil"/>
          <w:insideV w:val="nil"/>
        </w:tcBorders>
        <w:shd w:val="clear" w:color="000000" w:fill="FFFFFF" w:themeFill="background1"/>
      </w:tcPr>
    </w:tblStylePr>
    <w:tblStylePr w:type="firstCol">
      <w:rPr>
        <w:b/>
        <w:w w:val="100"/>
        <w:sz w:val="20"/>
        <w:szCs w:val="20"/>
        <w:shd w:val="clear"/>
      </w:rPr>
    </w:tblStylePr>
    <w:tblStylePr w:type="lastCol">
      <w:rPr>
        <w:b/>
        <w:w w:val="100"/>
        <w:sz w:val="20"/>
        <w:szCs w:val="20"/>
        <w:shd w:val="clear"/>
      </w:rPr>
    </w:tblStylePr>
    <w:tblStylePr w:type="band1Vert">
      <w:tcPr>
        <w:tcBorders>
          <w:left w:val="nil"/>
          <w:right w:val="nil"/>
          <w:insideH w:val="nil"/>
          <w:insideV w:val="nil"/>
        </w:tcBorders>
        <w:shd w:val="clear" w:color="000000" w:fill="D7E6F4" w:themeFill="accent1" w:themeFillTint="3E"/>
      </w:tcPr>
    </w:tblStylePr>
    <w:tblStylePr w:type="band1Horz">
      <w:tcPr>
        <w:tcBorders>
          <w:left w:val="nil"/>
          <w:right w:val="nil"/>
          <w:insideH w:val="nil"/>
          <w:insideV w:val="nil"/>
        </w:tcBorders>
        <w:shd w:val="clear" w:color="000000" w:fill="D7E6F4" w:themeFill="accent1" w:themeFillTint="3E"/>
      </w:tcPr>
    </w:tblStylePr>
  </w:style>
  <w:style w:type="table" w:customStyle="1" w:styleId="46">
    <w:name w:val="LightList"/>
    <w:basedOn w:val="23"/>
    <w:uiPriority w:val="149"/>
    <w:rPr>
      <w:w w:val="100"/>
      <w:sz w:val="22"/>
      <w:szCs w:val="22"/>
      <w:shd w:val="clear"/>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jc w:val="both"/>
      </w:pPr>
      <w:rPr>
        <w:b/>
        <w:color w:val="FFFFFF" w:themeColor="background1"/>
        <w:w w:val="100"/>
        <w:sz w:val="20"/>
        <w:szCs w:val="20"/>
        <w:shd w:val="clear"/>
        <w14:textFill>
          <w14:solidFill>
            <w14:schemeClr w14:val="bg1"/>
          </w14:solidFill>
        </w14:textFill>
      </w:rPr>
      <w:tcPr>
        <w:shd w:val="clear" w:color="000000" w:fill="000000" w:themeFill="text1"/>
      </w:tcPr>
    </w:tblStylePr>
    <w:tblStylePr w:type="lastRow">
      <w:pPr>
        <w:jc w:val="both"/>
      </w:pPr>
      <w:rPr>
        <w:b/>
        <w:w w:val="100"/>
        <w:sz w:val="20"/>
        <w:szCs w:val="20"/>
        <w:shd w:val="clear"/>
      </w:rPr>
      <w:tcPr>
        <w:tcBorders>
          <w:top w:val="double" w:color="000000" w:themeColor="text1" w:sz="6" w:space="0"/>
          <w:left w:val="single" w:color="000000" w:themeColor="text1" w:sz="6" w:space="0"/>
          <w:bottom w:val="single" w:color="000000" w:themeColor="text1" w:sz="6" w:space="0"/>
          <w:right w:val="single" w:color="000000" w:themeColor="text1" w:sz="6" w:space="0"/>
        </w:tcBorders>
      </w:tcPr>
    </w:tblStylePr>
    <w:tblStylePr w:type="firstCol">
      <w:rPr>
        <w:b/>
        <w:w w:val="100"/>
        <w:sz w:val="20"/>
        <w:szCs w:val="20"/>
        <w:shd w:val="clear"/>
      </w:rPr>
    </w:tblStylePr>
    <w:tblStylePr w:type="lastCol">
      <w:rPr>
        <w:b/>
        <w:w w:val="100"/>
        <w:sz w:val="20"/>
        <w:szCs w:val="20"/>
        <w:shd w:val="clear"/>
      </w:rPr>
    </w:tblStylePr>
    <w:tblStylePr w:type="band1Vert">
      <w:tcPr>
        <w:tcBorders>
          <w:top w:val="single" w:color="D7E6F4" w:themeColor="accent1" w:themeTint="3E" w:sz="8" w:space="0"/>
          <w:left w:val="single" w:color="D7E6F4" w:themeColor="accent1" w:themeTint="3E" w:sz="8" w:space="0"/>
          <w:bottom w:val="single" w:color="D7E6F4" w:themeColor="accent1" w:themeTint="3E" w:sz="8" w:space="0"/>
          <w:right w:val="single" w:color="D7E6F4" w:themeColor="accent1" w:themeTint="3E" w:sz="8" w:space="0"/>
        </w:tcBorders>
      </w:tcPr>
    </w:tblStylePr>
    <w:tblStylePr w:type="band1Horz">
      <w:tcPr>
        <w:tcBorders>
          <w:top w:val="single" w:color="D7E6F4" w:themeColor="accent1" w:themeTint="3E" w:sz="8" w:space="0"/>
          <w:left w:val="single" w:color="D7E6F4" w:themeColor="accent1" w:themeTint="3E" w:sz="8" w:space="0"/>
          <w:bottom w:val="single" w:color="D7E6F4" w:themeColor="accent1" w:themeTint="3E" w:sz="8" w:space="0"/>
          <w:right w:val="single" w:color="D7E6F4" w:themeColor="accent1" w:themeTint="3E" w:sz="8" w:space="0"/>
        </w:tcBorders>
      </w:tcPr>
    </w:tblStylePr>
  </w:style>
  <w:style w:type="table" w:customStyle="1" w:styleId="47">
    <w:name w:val="LightList-Accent3"/>
    <w:basedOn w:val="23"/>
    <w:uiPriority w:val="150"/>
    <w:rPr>
      <w:w w:val="100"/>
      <w:sz w:val="22"/>
      <w:szCs w:val="22"/>
      <w:shd w:val="clear"/>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CellMar>
        <w:top w:w="0" w:type="dxa"/>
        <w:left w:w="108" w:type="dxa"/>
        <w:bottom w:w="0" w:type="dxa"/>
        <w:right w:w="108" w:type="dxa"/>
      </w:tblCellMar>
    </w:tblPr>
    <w:tblStylePr w:type="firstRow">
      <w:pPr>
        <w:jc w:val="both"/>
      </w:pPr>
      <w:rPr>
        <w:b/>
        <w:color w:val="FFFFFF" w:themeColor="background1"/>
        <w:w w:val="100"/>
        <w:sz w:val="20"/>
        <w:szCs w:val="20"/>
        <w:shd w:val="clear"/>
        <w14:textFill>
          <w14:solidFill>
            <w14:schemeClr w14:val="bg1"/>
          </w14:solidFill>
        </w14:textFill>
      </w:rPr>
      <w:tcPr>
        <w:shd w:val="clear" w:color="000000" w:fill="A5A5A5" w:themeFill="accent3"/>
      </w:tcPr>
    </w:tblStylePr>
    <w:tblStylePr w:type="lastRow">
      <w:pPr>
        <w:jc w:val="both"/>
      </w:pPr>
      <w:rPr>
        <w:b/>
        <w:w w:val="100"/>
        <w:sz w:val="20"/>
        <w:szCs w:val="20"/>
        <w:shd w:val="clear"/>
      </w:rPr>
      <w:tcPr>
        <w:tcBorders>
          <w:top w:val="double" w:color="A5A5A5" w:themeColor="accent3" w:sz="6" w:space="0"/>
          <w:left w:val="single" w:color="A5A5A5" w:themeColor="accent3" w:sz="6" w:space="0"/>
          <w:bottom w:val="single" w:color="A5A5A5" w:themeColor="accent3" w:sz="6" w:space="0"/>
          <w:right w:val="single" w:color="A5A5A5" w:themeColor="accent3" w:sz="6" w:space="0"/>
        </w:tcBorders>
      </w:tcPr>
    </w:tblStylePr>
    <w:tblStylePr w:type="firstCol">
      <w:rPr>
        <w:b/>
        <w:w w:val="100"/>
        <w:sz w:val="20"/>
        <w:szCs w:val="20"/>
        <w:shd w:val="clear"/>
      </w:rPr>
    </w:tblStylePr>
    <w:tblStylePr w:type="lastCol">
      <w:rPr>
        <w:b/>
        <w:w w:val="100"/>
        <w:sz w:val="20"/>
        <w:szCs w:val="20"/>
        <w:shd w:val="clear"/>
      </w:rPr>
    </w:tblStylePr>
    <w:tblStylePr w:type="band1Vert">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customStyle="1" w:styleId="48">
    <w:name w:val="MediumList2-Accent1"/>
    <w:basedOn w:val="23"/>
    <w:uiPriority w:val="151"/>
    <w:rPr>
      <w:color w:val="000000" w:themeColor="text1"/>
      <w:w w:val="100"/>
      <w:sz w:val="22"/>
      <w:szCs w:val="22"/>
      <w:shd w:val="clear"/>
      <w14:textFill>
        <w14:solidFill>
          <w14:schemeClr w14:val="tx1"/>
        </w14:solidFill>
      </w14:textFill>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CellMar>
        <w:top w:w="0" w:type="dxa"/>
        <w:left w:w="108" w:type="dxa"/>
        <w:bottom w:w="0" w:type="dxa"/>
        <w:right w:w="108" w:type="dxa"/>
      </w:tblCellMar>
    </w:tblPr>
    <w:tblStylePr w:type="firstRow">
      <w:tcPr>
        <w:tcBorders>
          <w:top w:val="nil"/>
          <w:left w:val="nil"/>
          <w:bottom w:val="single" w:color="5B9BD5" w:themeColor="accent1" w:sz="24" w:space="0"/>
          <w:right w:val="nil"/>
          <w:insideH w:val="nil"/>
          <w:insideV w:val="nil"/>
        </w:tcBorders>
        <w:shd w:val="clear" w:color="000000" w:fill="FFFFFF" w:themeFill="background1"/>
      </w:tcPr>
    </w:tblStylePr>
    <w:tblStylePr w:type="lastRow">
      <w:tcPr>
        <w:tcBorders>
          <w:top w:val="single" w:color="5B9BD5" w:themeColor="accent1" w:sz="4" w:space="0"/>
          <w:left w:val="nil"/>
          <w:bottom w:val="nil"/>
          <w:right w:val="nil"/>
          <w:insideH w:val="nil"/>
          <w:insideV w:val="nil"/>
        </w:tcBorders>
        <w:shd w:val="clear" w:color="000000" w:fill="FFFFFF" w:themeFill="background1"/>
      </w:tcPr>
    </w:tblStylePr>
    <w:tblStylePr w:type="firstCol">
      <w:tcPr>
        <w:tcBorders>
          <w:top w:val="nil"/>
          <w:left w:val="nil"/>
          <w:bottom w:val="nil"/>
          <w:right w:val="single" w:color="5B9BD5" w:themeColor="accent1" w:sz="4" w:space="0"/>
          <w:insideH w:val="nil"/>
          <w:insideV w:val="nil"/>
        </w:tcBorders>
        <w:shd w:val="clear" w:color="000000" w:fill="FFFFFF" w:themeFill="background1"/>
      </w:tcPr>
    </w:tblStylePr>
    <w:tblStylePr w:type="lastCol">
      <w:tcPr>
        <w:tcBorders>
          <w:top w:val="nil"/>
          <w:left w:val="single" w:color="5B9BD5" w:themeColor="accent1" w:sz="4" w:space="0"/>
          <w:bottom w:val="nil"/>
          <w:right w:val="nil"/>
          <w:insideH w:val="nil"/>
          <w:insideV w:val="nil"/>
        </w:tcBorders>
        <w:shd w:val="clear" w:color="000000" w:fill="FFFFFF" w:themeFill="background1"/>
      </w:tcPr>
    </w:tblStylePr>
    <w:tblStylePr w:type="band1Vert">
      <w:tcPr>
        <w:tcBorders>
          <w:left w:val="nil"/>
          <w:right w:val="nil"/>
          <w:insideH w:val="nil"/>
          <w:insideV w:val="nil"/>
        </w:tcBorders>
        <w:shd w:val="clear" w:color="000000" w:fill="D7E6F4" w:themeFill="accent1" w:themeFillTint="3E"/>
      </w:tcPr>
    </w:tblStylePr>
    <w:tblStylePr w:type="band1Horz">
      <w:tcPr>
        <w:tcBorders>
          <w:top w:val="nil"/>
          <w:bottom w:val="nil"/>
          <w:insideH w:val="nil"/>
          <w:insideV w:val="nil"/>
        </w:tcBorders>
        <w:shd w:val="clear" w:color="000000" w:fill="D7E6F4" w:themeFill="accent1" w:themeFillTint="3E"/>
      </w:tcPr>
    </w:tblStylePr>
    <w:tblStylePr w:type="nwCell">
      <w:tcPr>
        <w:shd w:val="clear" w:color="000000" w:fill="FFFFFF" w:themeFill="background1"/>
      </w:tcPr>
    </w:tblStylePr>
    <w:tblStylePr w:type="swCell">
      <w:tcPr>
        <w:tcBorders>
          <w:top w:val="nil"/>
        </w:tcBorders>
      </w:tcPr>
    </w:tblStylePr>
  </w:style>
  <w:style w:type="paragraph" w:customStyle="1" w:styleId="49">
    <w:name w:val="Decimal Aligned"/>
    <w:basedOn w:val="1"/>
    <w:qFormat/>
    <w:uiPriority w:val="152"/>
    <w:pPr>
      <w:widowControl/>
      <w:wordWrap/>
      <w:autoSpaceDE/>
      <w:autoSpaceDN/>
    </w:pPr>
    <w:rPr>
      <w:rFonts w:ascii="Malgun Gothic" w:hAnsi="Malgun Gothic" w:eastAsia="Malgun Gothic"/>
      <w:w w:val="100"/>
      <w:sz w:val="22"/>
      <w:szCs w:val="22"/>
      <w:shd w:val="clear"/>
    </w:rPr>
  </w:style>
  <w:style w:type="character" w:customStyle="1" w:styleId="50">
    <w:name w:val="脚注文本 Char"/>
    <w:basedOn w:val="27"/>
    <w:link w:val="18"/>
    <w:uiPriority w:val="154"/>
    <w:rPr>
      <w:rFonts w:ascii="Malgun Gothic" w:hAnsi="Malgun Gothic" w:eastAsia="Malgun Gothic"/>
      <w:w w:val="100"/>
      <w:sz w:val="20"/>
      <w:szCs w:val="20"/>
      <w:shd w:val="clear"/>
    </w:rPr>
  </w:style>
  <w:style w:type="table" w:customStyle="1" w:styleId="51">
    <w:name w:val="样式1"/>
    <w:basedOn w:val="23"/>
    <w:uiPriority w:val="157"/>
    <w:pPr>
      <w:widowControl/>
      <w:wordWrap/>
      <w:autoSpaceDE/>
      <w:autoSpaceDN/>
    </w:pPr>
    <w:tblPr>
      <w:tblCellMar>
        <w:top w:w="0" w:type="dxa"/>
        <w:left w:w="108" w:type="dxa"/>
        <w:bottom w:w="0" w:type="dxa"/>
        <w:right w:w="108" w:type="dxa"/>
      </w:tblCellMar>
    </w:tblPr>
  </w:style>
  <w:style w:type="table" w:customStyle="1" w:styleId="52">
    <w:name w:val="三线表"/>
    <w:basedOn w:val="23"/>
    <w:uiPriority w:val="158"/>
    <w:pPr>
      <w:widowControl/>
      <w:wordWrap/>
      <w:autoSpaceDE/>
      <w:autoSpaceDN/>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黑体"/>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宋体"/>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china</Company>
  <Pages>5</Pages>
  <Words>975</Words>
  <Characters>6525</Characters>
  <Lines>46</Lines>
  <Paragraphs>13</Paragraphs>
  <TotalTime>26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2020-01-08T06:10:19Z</dcterms:created>
  <dc:creator>Administrator</dc:creator>
  <cp:lastModifiedBy>2016年山东省高考理科状元</cp:lastModifiedBy>
  <dcterms:modified xsi:type="dcterms:W3CDTF">2020-01-08T06:37:13Z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