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drawings/drawing2.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b/>
          <w:sz w:val="32"/>
          <w:szCs w:val="32"/>
        </w:rPr>
      </w:pPr>
      <w:r>
        <w:rPr>
          <w:rFonts w:hint="eastAsia" w:ascii="Times New Roman" w:hAnsi="Times New Roman" w:eastAsia="黑体"/>
          <w:b/>
          <w:sz w:val="32"/>
          <w:szCs w:val="32"/>
        </w:rPr>
        <w:t>上海市某</w:t>
      </w:r>
      <w:r>
        <w:rPr>
          <w:rFonts w:hint="eastAsia" w:ascii="Times New Roman" w:hAnsi="Times New Roman" w:eastAsia="黑体"/>
          <w:b/>
          <w:sz w:val="32"/>
          <w:szCs w:val="32"/>
          <w:lang w:eastAsia="zh-CN"/>
        </w:rPr>
        <w:t>工业地块</w:t>
      </w:r>
      <w:r>
        <w:rPr>
          <w:rFonts w:hint="eastAsia" w:ascii="Times New Roman" w:hAnsi="Times New Roman" w:eastAsia="黑体"/>
          <w:b/>
          <w:sz w:val="32"/>
          <w:szCs w:val="32"/>
        </w:rPr>
        <w:t>土壤重金属砷铅复合污染修复效果评估</w:t>
      </w:r>
    </w:p>
    <w:p>
      <w:pPr>
        <w:spacing w:line="360" w:lineRule="auto"/>
        <w:jc w:val="center"/>
        <w:rPr>
          <w:rFonts w:ascii="Times New Roman" w:hAnsi="Times New Roman" w:eastAsia="楷体_GB2312"/>
          <w:szCs w:val="21"/>
        </w:rPr>
      </w:pPr>
      <w:r>
        <w:rPr>
          <w:rFonts w:ascii="Times New Roman" w:hAnsi="Times New Roman"/>
          <w:sz w:val="24"/>
        </w:rPr>
        <w:t xml:space="preserve"> </w:t>
      </w:r>
      <w:r>
        <w:rPr>
          <w:rFonts w:hint="eastAsia" w:ascii="Times New Roman" w:hAnsi="Times New Roman" w:eastAsia="楷体_GB2312"/>
          <w:szCs w:val="21"/>
        </w:rPr>
        <w:t>李文润</w:t>
      </w:r>
    </w:p>
    <w:p>
      <w:pPr>
        <w:spacing w:line="360" w:lineRule="auto"/>
        <w:jc w:val="center"/>
        <w:rPr>
          <w:rFonts w:ascii="Times New Roman" w:hAnsi="Times New Roman" w:eastAsia="楷体_GB2312"/>
          <w:szCs w:val="21"/>
        </w:rPr>
      </w:pPr>
      <w:r>
        <w:rPr>
          <w:rFonts w:ascii="Times New Roman" w:hAnsi="Times New Roman" w:eastAsia="楷体_GB2312"/>
          <w:szCs w:val="21"/>
        </w:rPr>
        <w:t>（</w:t>
      </w:r>
      <w:r>
        <w:rPr>
          <w:rFonts w:hint="eastAsia" w:ascii="Times New Roman" w:hAnsi="Times New Roman" w:eastAsia="楷体_GB2312"/>
          <w:szCs w:val="21"/>
        </w:rPr>
        <w:t>上海利元环保检测技术有限公司</w:t>
      </w:r>
      <w:r>
        <w:rPr>
          <w:rFonts w:ascii="Times New Roman" w:hAnsi="Times New Roman" w:eastAsia="楷体_GB2312"/>
          <w:szCs w:val="21"/>
        </w:rPr>
        <w:t>，</w:t>
      </w:r>
      <w:r>
        <w:rPr>
          <w:rFonts w:hint="eastAsia" w:ascii="Times New Roman" w:hAnsi="Times New Roman" w:eastAsia="楷体_GB2312"/>
          <w:szCs w:val="21"/>
        </w:rPr>
        <w:t>上海</w:t>
      </w:r>
      <w:r>
        <w:rPr>
          <w:rFonts w:ascii="Times New Roman" w:hAnsi="Times New Roman" w:eastAsia="楷体_GB2312"/>
          <w:szCs w:val="21"/>
        </w:rPr>
        <w:t xml:space="preserve"> </w:t>
      </w:r>
      <w:r>
        <w:rPr>
          <w:rFonts w:hint="eastAsia" w:ascii="Times New Roman" w:hAnsi="Times New Roman" w:eastAsia="楷体_GB2312"/>
          <w:szCs w:val="21"/>
          <w:lang w:val="en-US" w:eastAsia="zh-CN"/>
        </w:rPr>
        <w:t>201206</w:t>
      </w:r>
      <w:r>
        <w:rPr>
          <w:rFonts w:ascii="Times New Roman" w:hAnsi="Times New Roman" w:eastAsia="楷体_GB2312"/>
          <w:szCs w:val="21"/>
        </w:rPr>
        <w:t>）</w:t>
      </w:r>
    </w:p>
    <w:p>
      <w:pPr>
        <w:spacing w:line="480" w:lineRule="atLeast"/>
        <w:rPr>
          <w:rFonts w:ascii="Times New Roman" w:hAnsi="Times New Roman"/>
          <w:sz w:val="18"/>
          <w:szCs w:val="18"/>
        </w:rPr>
      </w:pPr>
      <w:r>
        <w:rPr>
          <w:rFonts w:ascii="Times New Roman" w:hAnsi="Times New Roman"/>
          <w:b/>
          <w:sz w:val="18"/>
          <w:szCs w:val="18"/>
        </w:rPr>
        <w:t>摘要：</w:t>
      </w:r>
      <w:r>
        <w:rPr>
          <w:rFonts w:hint="eastAsia" w:ascii="Times New Roman" w:hAnsi="Times New Roman"/>
          <w:sz w:val="18"/>
          <w:szCs w:val="18"/>
        </w:rPr>
        <w:t>经场地调查和人体健康评估表明上海市某工业地块受铅砷复合污染，污染物浓度超过了人体健康风险可接受水平需要修复，修复技术采用原地异位稳定化技术，修复药剂为磷酸盐/亚铁盐复配粘土矿物稳定剂，实际修复方量为</w:t>
      </w:r>
      <w:r>
        <w:rPr>
          <w:rFonts w:ascii="Times New Roman" w:hAnsi="Times New Roman"/>
          <w:sz w:val="18"/>
          <w:szCs w:val="18"/>
        </w:rPr>
        <w:t xml:space="preserve">2710 </w:t>
      </w:r>
      <w:r>
        <w:rPr>
          <w:rFonts w:hint="eastAsia" w:ascii="Times New Roman" w:hAnsi="Times New Roman"/>
          <w:sz w:val="18"/>
          <w:szCs w:val="18"/>
        </w:rPr>
        <w:t>m</w:t>
      </w:r>
      <w:r>
        <w:rPr>
          <w:rFonts w:hint="eastAsia" w:ascii="Times New Roman" w:hAnsi="Times New Roman"/>
          <w:sz w:val="18"/>
          <w:szCs w:val="18"/>
          <w:vertAlign w:val="superscript"/>
        </w:rPr>
        <w:t>3</w:t>
      </w:r>
      <w:r>
        <w:rPr>
          <w:rFonts w:hint="eastAsia" w:ascii="Times New Roman" w:hAnsi="Times New Roman"/>
          <w:sz w:val="18"/>
          <w:szCs w:val="18"/>
        </w:rPr>
        <w:t>，依据《污染地块风险管控与土壤修复效果评估技术导则》（HJ 25.5-2018）对整个修复过程进行评估、</w:t>
      </w:r>
      <w:r>
        <w:rPr>
          <w:rFonts w:hint="eastAsia" w:ascii="Times New Roman" w:hAnsi="Times New Roman"/>
          <w:sz w:val="18"/>
          <w:szCs w:val="18"/>
          <w:lang w:eastAsia="zh-CN"/>
        </w:rPr>
        <w:t>现场采样</w:t>
      </w:r>
      <w:r>
        <w:rPr>
          <w:rFonts w:hint="eastAsia" w:ascii="Times New Roman" w:hAnsi="Times New Roman"/>
          <w:sz w:val="18"/>
          <w:szCs w:val="18"/>
        </w:rPr>
        <w:t>监测，土壤监测结果符合评价标准，修复工程效果评估合格。</w:t>
      </w:r>
    </w:p>
    <w:p>
      <w:pPr>
        <w:spacing w:line="480" w:lineRule="atLeast"/>
        <w:rPr>
          <w:rFonts w:ascii="Times New Roman" w:hAnsi="Times New Roman"/>
          <w:sz w:val="18"/>
          <w:szCs w:val="18"/>
        </w:rPr>
      </w:pPr>
      <w:r>
        <w:rPr>
          <w:rFonts w:ascii="Times New Roman" w:hAnsi="Times New Roman"/>
          <w:b/>
          <w:bCs/>
          <w:sz w:val="18"/>
          <w:szCs w:val="18"/>
        </w:rPr>
        <w:t>关键词：</w:t>
      </w:r>
      <w:r>
        <w:rPr>
          <w:rFonts w:hint="eastAsia" w:ascii="Times New Roman" w:hAnsi="Times New Roman"/>
          <w:sz w:val="18"/>
          <w:szCs w:val="18"/>
        </w:rPr>
        <w:t>土壤铅砷复合污染；稳定化技术；污染修复；效果评估</w:t>
      </w:r>
    </w:p>
    <w:p>
      <w:pPr>
        <w:spacing w:line="360" w:lineRule="auto"/>
        <w:rPr>
          <w:rFonts w:ascii="Times New Roman" w:hAnsi="Times New Roman"/>
          <w:b/>
          <w:kern w:val="0"/>
          <w:sz w:val="32"/>
          <w:szCs w:val="32"/>
          <w:highlight w:val="yellow"/>
        </w:rPr>
      </w:pPr>
      <w:r>
        <w:rPr>
          <w:rFonts w:ascii="Times New Roman" w:hAnsi="Times New Roman"/>
          <w:b/>
          <w:sz w:val="18"/>
          <w:szCs w:val="18"/>
        </w:rPr>
        <w:t>中图分类号：X</w:t>
      </w:r>
      <w:r>
        <w:rPr>
          <w:rFonts w:hint="eastAsia" w:ascii="Times New Roman" w:hAnsi="Times New Roman"/>
          <w:b/>
          <w:sz w:val="18"/>
          <w:szCs w:val="18"/>
        </w:rPr>
        <w:t>53</w:t>
      </w:r>
      <w:r>
        <w:rPr>
          <w:rFonts w:ascii="Times New Roman" w:hAnsi="Times New Roman"/>
          <w:b/>
          <w:sz w:val="18"/>
          <w:szCs w:val="18"/>
        </w:rPr>
        <w:t xml:space="preserve">   </w:t>
      </w:r>
      <w:r>
        <w:rPr>
          <w:rFonts w:ascii="Times New Roman" w:hAnsi="Times New Roman"/>
          <w:sz w:val="18"/>
          <w:szCs w:val="18"/>
        </w:rPr>
        <w:t xml:space="preserve">    </w:t>
      </w:r>
      <w:r>
        <w:rPr>
          <w:rFonts w:ascii="Times New Roman" w:hAnsi="Times New Roman"/>
          <w:b/>
          <w:sz w:val="18"/>
          <w:szCs w:val="18"/>
        </w:rPr>
        <w:t>文献标识码：A</w:t>
      </w:r>
      <w:bookmarkStart w:id="0" w:name="_GoBack"/>
      <w:bookmarkEnd w:id="0"/>
    </w:p>
    <w:p>
      <w:pPr>
        <w:autoSpaceDE w:val="0"/>
        <w:autoSpaceDN w:val="0"/>
        <w:adjustRightInd w:val="0"/>
        <w:spacing w:line="360" w:lineRule="auto"/>
        <w:jc w:val="center"/>
        <w:rPr>
          <w:rFonts w:ascii="Times New Roman" w:hAnsi="Times New Roman"/>
          <w:b/>
          <w:kern w:val="0"/>
          <w:sz w:val="32"/>
          <w:szCs w:val="32"/>
        </w:rPr>
      </w:pPr>
      <w:r>
        <w:rPr>
          <w:rFonts w:ascii="Times New Roman" w:hAnsi="Times New Roman"/>
          <w:b/>
          <w:kern w:val="0"/>
          <w:sz w:val="32"/>
          <w:szCs w:val="32"/>
        </w:rPr>
        <w:t>Remediation Effectiveness Evaluation of Heavy Metal Lead and Arsenic in Soil for A Contaminated Site in Shanghai</w:t>
      </w:r>
    </w:p>
    <w:p>
      <w:pPr>
        <w:autoSpaceDE w:val="0"/>
        <w:autoSpaceDN w:val="0"/>
        <w:adjustRightInd w:val="0"/>
        <w:spacing w:line="360" w:lineRule="auto"/>
        <w:jc w:val="center"/>
        <w:rPr>
          <w:rFonts w:ascii="Times New Roman" w:hAnsi="Times New Roman"/>
          <w:b/>
          <w:kern w:val="0"/>
          <w:sz w:val="32"/>
          <w:szCs w:val="32"/>
        </w:rPr>
      </w:pPr>
      <w:r>
        <w:rPr>
          <w:rFonts w:ascii="Times New Roman" w:hAnsi="Times New Roman"/>
          <w:kern w:val="0"/>
          <w:szCs w:val="21"/>
        </w:rPr>
        <w:t xml:space="preserve">Li Wenrun </w:t>
      </w:r>
      <w:r>
        <w:rPr>
          <w:rFonts w:ascii="Times New Roman" w:hAnsi="Times New Roman"/>
          <w:i/>
          <w:iCs/>
          <w:kern w:val="0"/>
          <w:szCs w:val="21"/>
        </w:rPr>
        <w:t>(</w:t>
      </w:r>
      <w:r>
        <w:rPr>
          <w:rFonts w:ascii="&amp;quot" w:hAnsi="&amp;quot" w:cs="宋体"/>
          <w:i/>
          <w:iCs/>
          <w:color w:val="222222"/>
          <w:kern w:val="0"/>
          <w:szCs w:val="21"/>
        </w:rPr>
        <w:t>Shanghai Liyuan Environmental Testing co. LTD</w:t>
      </w:r>
    </w:p>
    <w:p>
      <w:pPr>
        <w:autoSpaceDE w:val="0"/>
        <w:autoSpaceDN w:val="0"/>
        <w:adjustRightInd w:val="0"/>
        <w:spacing w:line="360" w:lineRule="auto"/>
        <w:jc w:val="center"/>
        <w:rPr>
          <w:rFonts w:hint="eastAsia" w:ascii="Times New Roman" w:hAnsi="Times New Roman"/>
          <w:i/>
          <w:iCs/>
          <w:kern w:val="0"/>
          <w:szCs w:val="21"/>
        </w:rPr>
      </w:pPr>
      <w:r>
        <w:rPr>
          <w:rFonts w:ascii="Times New Roman" w:hAnsi="Times New Roman"/>
          <w:i/>
          <w:iCs/>
          <w:kern w:val="0"/>
          <w:szCs w:val="21"/>
        </w:rPr>
        <w:t>, Shanghai 200120, China)</w:t>
      </w:r>
    </w:p>
    <w:p>
      <w:pPr>
        <w:spacing w:line="480" w:lineRule="exact"/>
        <w:ind w:firstLine="422" w:firstLineChars="200"/>
        <w:jc w:val="left"/>
        <w:rPr>
          <w:rFonts w:ascii="Times New Roman" w:hAnsi="Times New Roman"/>
        </w:rPr>
      </w:pPr>
      <w:r>
        <w:rPr>
          <w:rFonts w:ascii="Times New Roman" w:hAnsi="Times New Roman"/>
          <w:b/>
        </w:rPr>
        <w:t>Abstract:</w:t>
      </w:r>
      <w:r>
        <w:rPr>
          <w:rFonts w:ascii="Times New Roman" w:hAnsi="Times New Roman"/>
        </w:rPr>
        <w:t xml:space="preserve"> An industrial site in Shanghai was contaminated with lead and arsenic</w:t>
      </w:r>
      <w:r>
        <w:rPr>
          <w:rFonts w:hint="eastAsia" w:ascii="Times New Roman" w:hAnsi="Times New Roman"/>
        </w:rPr>
        <w:t xml:space="preserve"> and</w:t>
      </w:r>
      <w:r>
        <w:rPr>
          <w:rFonts w:ascii="Times New Roman" w:hAnsi="Times New Roman"/>
        </w:rPr>
        <w:t xml:space="preserve"> the </w:t>
      </w:r>
      <w:r>
        <w:rPr>
          <w:rFonts w:hint="eastAsia" w:ascii="Times New Roman" w:hAnsi="Times New Roman"/>
        </w:rPr>
        <w:t>c</w:t>
      </w:r>
      <w:r>
        <w:rPr>
          <w:rFonts w:ascii="Times New Roman" w:hAnsi="Times New Roman"/>
        </w:rPr>
        <w:t>oncentrations of contaminants show</w:t>
      </w:r>
      <w:r>
        <w:rPr>
          <w:rFonts w:hint="eastAsia" w:ascii="Times New Roman" w:hAnsi="Times New Roman"/>
        </w:rPr>
        <w:t>ed</w:t>
      </w:r>
      <w:r>
        <w:rPr>
          <w:rFonts w:ascii="Times New Roman" w:hAnsi="Times New Roman"/>
        </w:rPr>
        <w:t xml:space="preserve"> to exceed acceptable levels of human health risk by environmental site investigation and human health risk assessment. Ex-situ solidification/stabilization technology was adopted to repair the contaminated soil,</w:t>
      </w:r>
      <w:r>
        <w:t xml:space="preserve"> </w:t>
      </w:r>
      <w:r>
        <w:rPr>
          <w:rFonts w:ascii="Times New Roman" w:hAnsi="Times New Roman"/>
        </w:rPr>
        <w:t>phosphate/ferrous salt compound clay mineral stabilizer was used as a remediation agent.</w:t>
      </w:r>
      <w:r>
        <w:t xml:space="preserve"> </w:t>
      </w:r>
      <w:r>
        <w:rPr>
          <w:rFonts w:ascii="Times New Roman" w:hAnsi="Times New Roman"/>
        </w:rPr>
        <w:t>The actual amount of repair of this project was 2710 m</w:t>
      </w:r>
      <w:r>
        <w:rPr>
          <w:rFonts w:ascii="Times New Roman" w:hAnsi="Times New Roman"/>
          <w:vertAlign w:val="superscript"/>
        </w:rPr>
        <w:t>3</w:t>
      </w:r>
      <w:r>
        <w:rPr>
          <w:rFonts w:ascii="Times New Roman" w:hAnsi="Times New Roman"/>
        </w:rPr>
        <w:t>.</w:t>
      </w:r>
      <w:r>
        <w:t xml:space="preserve"> </w:t>
      </w:r>
      <w:r>
        <w:rPr>
          <w:rFonts w:ascii="Times New Roman" w:hAnsi="Times New Roman"/>
        </w:rPr>
        <w:t>The remediation process was evaluated and monitored according to the technical guidelines for risk control and soil remediation effect assessment of contaminated plots (HJ 25.5-2018).</w:t>
      </w:r>
      <w:r>
        <w:t xml:space="preserve"> </w:t>
      </w:r>
      <w:r>
        <w:rPr>
          <w:rFonts w:ascii="Times New Roman" w:hAnsi="Times New Roman"/>
        </w:rPr>
        <w:t>The test results conform to the remediation target value, the practice indicates the contaminated soil</w:t>
      </w:r>
      <w:r>
        <w:rPr>
          <w:rFonts w:hint="eastAsia" w:ascii="Times New Roman" w:hAnsi="Times New Roman"/>
        </w:rPr>
        <w:t xml:space="preserve"> </w:t>
      </w:r>
      <w:r>
        <w:rPr>
          <w:rFonts w:ascii="Times New Roman" w:hAnsi="Times New Roman"/>
        </w:rPr>
        <w:t>remediation has good effect and reaches the remediation goals.</w:t>
      </w:r>
    </w:p>
    <w:p>
      <w:pPr>
        <w:spacing w:line="480" w:lineRule="exact"/>
        <w:ind w:firstLine="422" w:firstLineChars="200"/>
        <w:jc w:val="left"/>
        <w:rPr>
          <w:rFonts w:ascii="Times New Roman" w:hAnsi="Times New Roman"/>
        </w:rPr>
      </w:pPr>
      <w:r>
        <w:rPr>
          <w:rFonts w:ascii="Times New Roman" w:hAnsi="Times New Roman"/>
          <w:b/>
          <w:szCs w:val="21"/>
        </w:rPr>
        <w:t>Keywords</w:t>
      </w:r>
      <w:r>
        <w:rPr>
          <w:rFonts w:ascii="Times New Roman" w:hAnsi="Times New Roman"/>
          <w:szCs w:val="21"/>
        </w:rPr>
        <w:t>:</w:t>
      </w:r>
      <w:r>
        <w:rPr>
          <w:rFonts w:ascii="Times New Roman" w:hAnsi="Times New Roman"/>
        </w:rPr>
        <w:t xml:space="preserve"> Compound contamination of soil with lead and arsenic; Stabilization technology; Pollution remediation; evaluation</w:t>
      </w:r>
    </w:p>
    <w:p>
      <w:pPr>
        <w:pStyle w:val="6"/>
        <w:spacing w:before="0" w:beforeAutospacing="0" w:after="0" w:afterAutospacing="0"/>
        <w:ind w:firstLine="560" w:firstLineChars="200"/>
        <w:jc w:val="both"/>
        <w:rPr>
          <w:rFonts w:ascii="Times New Roman" w:hAnsi="Times New Roman"/>
          <w:sz w:val="28"/>
          <w:szCs w:val="28"/>
        </w:rPr>
      </w:pPr>
      <w:r>
        <w:rPr>
          <w:rFonts w:hint="eastAsia" w:ascii="Times New Roman" w:hAnsi="Times New Roman" w:cs="Times New Roman"/>
          <w:kern w:val="2"/>
          <w:sz w:val="28"/>
          <w:szCs w:val="28"/>
        </w:rPr>
        <w:t>依据上海市沪环保防[2014]188号的相关规定</w:t>
      </w:r>
      <w:r>
        <w:rPr>
          <w:rFonts w:ascii="Times New Roman" w:hAnsi="Times New Roman" w:cs="Times New Roman"/>
          <w:kern w:val="2"/>
          <w:sz w:val="28"/>
          <w:szCs w:val="28"/>
          <w:vertAlign w:val="superscript"/>
        </w:rPr>
        <w:t>[1]</w:t>
      </w:r>
      <w:r>
        <w:rPr>
          <w:rFonts w:hint="eastAsia" w:ascii="Times New Roman" w:hAnsi="Times New Roman" w:cs="Times New Roman"/>
          <w:kern w:val="2"/>
          <w:sz w:val="28"/>
          <w:szCs w:val="28"/>
        </w:rPr>
        <w:t>，按照“谁污染、谁治理”的原则，原土地用途为工业用地的场地再开发利用为经营性用地，应按照规定进行土壤和地下水环境调查和评估，经认定存在污染并且需要治理修复的，场地责任方应承担土壤或地下水环境修复的责任和费用，将污染场地治理修复达到环保要求，方可进行再开发利用。</w:t>
      </w:r>
    </w:p>
    <w:p>
      <w:pPr>
        <w:spacing w:line="360" w:lineRule="auto"/>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场地概况</w:t>
      </w:r>
    </w:p>
    <w:p>
      <w:pPr>
        <w:spacing w:line="360" w:lineRule="auto"/>
        <w:ind w:firstLine="537" w:firstLineChars="192"/>
        <w:rPr>
          <w:rFonts w:ascii="Times New Roman" w:hAnsi="Times New Roman"/>
          <w:sz w:val="28"/>
          <w:szCs w:val="28"/>
        </w:rPr>
      </w:pPr>
      <w:r>
        <w:rPr>
          <w:rFonts w:hint="eastAsia" w:ascii="Times New Roman" w:hAnsi="Times New Roman"/>
          <w:sz w:val="28"/>
          <w:szCs w:val="28"/>
        </w:rPr>
        <w:t>本场地位于上海市城区，历史为工业用地，存在金属制品加工厂、机械加工厂、设备生产厂，场地规划用作商业用地，属于《土壤环境质量 建设用地土壤污染风险管控标准（试行）》（GB 36600-2018）中划分的第一类用地，场地总面积10000</w:t>
      </w:r>
      <w:r>
        <w:rPr>
          <w:rFonts w:ascii="Times New Roman" w:hAnsi="Times New Roman"/>
          <w:sz w:val="28"/>
          <w:szCs w:val="28"/>
        </w:rPr>
        <w:t xml:space="preserve"> </w:t>
      </w:r>
      <w:r>
        <w:rPr>
          <w:rFonts w:hint="eastAsia" w:ascii="Times New Roman" w:hAnsi="Times New Roman"/>
          <w:sz w:val="28"/>
          <w:szCs w:val="28"/>
        </w:rPr>
        <w:t>m</w:t>
      </w:r>
      <w:r>
        <w:rPr>
          <w:rFonts w:hint="eastAsia" w:ascii="Times New Roman" w:hAnsi="Times New Roman"/>
          <w:sz w:val="28"/>
          <w:szCs w:val="28"/>
          <w:vertAlign w:val="superscript"/>
        </w:rPr>
        <w:t>2</w:t>
      </w:r>
      <w:r>
        <w:rPr>
          <w:rFonts w:hint="eastAsia" w:ascii="Times New Roman" w:hAnsi="Times New Roman"/>
          <w:sz w:val="28"/>
          <w:szCs w:val="28"/>
        </w:rPr>
        <w:t>，污染区域面积为830</w:t>
      </w:r>
      <w:r>
        <w:rPr>
          <w:rFonts w:ascii="Times New Roman" w:hAnsi="Times New Roman"/>
          <w:sz w:val="28"/>
          <w:szCs w:val="28"/>
        </w:rPr>
        <w:t xml:space="preserve"> </w:t>
      </w:r>
      <w:r>
        <w:rPr>
          <w:rFonts w:hint="eastAsia" w:ascii="Times New Roman" w:hAnsi="Times New Roman"/>
          <w:sz w:val="28"/>
          <w:szCs w:val="28"/>
        </w:rPr>
        <w:t>m</w:t>
      </w:r>
      <w:r>
        <w:rPr>
          <w:rFonts w:hint="eastAsia" w:ascii="Times New Roman" w:hAnsi="Times New Roman"/>
          <w:sz w:val="28"/>
          <w:szCs w:val="28"/>
          <w:vertAlign w:val="superscript"/>
        </w:rPr>
        <w:t>2</w:t>
      </w:r>
      <w:r>
        <w:rPr>
          <w:rFonts w:hint="eastAsia" w:ascii="Times New Roman" w:hAnsi="Times New Roman"/>
          <w:sz w:val="28"/>
          <w:szCs w:val="28"/>
        </w:rPr>
        <w:t>。</w:t>
      </w:r>
    </w:p>
    <w:p>
      <w:pPr>
        <w:numPr>
          <w:ilvl w:val="1"/>
          <w:numId w:val="1"/>
        </w:num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地块调查阶段结论</w:t>
      </w:r>
      <w:r>
        <w:rPr>
          <w:rFonts w:hint="eastAsia" w:ascii="Times New Roman" w:hAnsi="Times New Roman" w:eastAsia="黑体"/>
          <w:sz w:val="28"/>
          <w:szCs w:val="28"/>
        </w:rPr>
        <w:tab/>
      </w:r>
    </w:p>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1.1.1地块调查主要结论</w:t>
      </w:r>
    </w:p>
    <w:p>
      <w:pPr>
        <w:spacing w:line="360" w:lineRule="auto"/>
        <w:ind w:firstLine="537" w:firstLineChars="192"/>
        <w:rPr>
          <w:rFonts w:ascii="Times New Roman" w:hAnsi="Times New Roman"/>
          <w:sz w:val="28"/>
          <w:szCs w:val="28"/>
        </w:rPr>
      </w:pPr>
      <w:r>
        <w:rPr>
          <w:rFonts w:hint="eastAsia" w:ascii="Times New Roman" w:hAnsi="Times New Roman"/>
          <w:sz w:val="28"/>
          <w:szCs w:val="28"/>
        </w:rPr>
        <w:t>前期地块调查阶段所得场地内四个点位土壤重金属铅</w:t>
      </w:r>
      <w:r>
        <w:rPr>
          <w:rFonts w:hint="eastAsia" w:ascii="Times New Roman" w:hAnsi="Times New Roman"/>
          <w:sz w:val="28"/>
          <w:szCs w:val="28"/>
          <w:lang w:eastAsia="zh-CN"/>
        </w:rPr>
        <w:t>浓度</w:t>
      </w:r>
      <w:r>
        <w:rPr>
          <w:rFonts w:hint="eastAsia" w:ascii="Times New Roman" w:hAnsi="Times New Roman"/>
          <w:sz w:val="28"/>
          <w:szCs w:val="28"/>
        </w:rPr>
        <w:t>、砷</w:t>
      </w:r>
      <w:r>
        <w:rPr>
          <w:rFonts w:hint="eastAsia" w:ascii="Times New Roman" w:hAnsi="Times New Roman"/>
          <w:sz w:val="28"/>
          <w:szCs w:val="28"/>
          <w:lang w:eastAsia="zh-CN"/>
        </w:rPr>
        <w:t>浓度</w:t>
      </w:r>
      <w:r>
        <w:rPr>
          <w:rFonts w:hint="eastAsia" w:ascii="Times New Roman" w:hAnsi="Times New Roman"/>
          <w:sz w:val="28"/>
          <w:szCs w:val="28"/>
        </w:rPr>
        <w:t>超过（GB 36600-2018）第一类用地筛选值，砷浓度范围：2</w:t>
      </w:r>
      <w:r>
        <w:rPr>
          <w:rFonts w:ascii="Times New Roman" w:hAnsi="Times New Roman"/>
          <w:sz w:val="28"/>
          <w:szCs w:val="28"/>
        </w:rPr>
        <w:t>1.6 mg</w:t>
      </w:r>
      <w:r>
        <w:rPr>
          <w:rFonts w:hint="eastAsia" w:ascii="Times New Roman" w:hAnsi="Times New Roman"/>
          <w:sz w:val="28"/>
          <w:szCs w:val="28"/>
        </w:rPr>
        <w:t>/kg-</w:t>
      </w:r>
      <w:r>
        <w:rPr>
          <w:rFonts w:ascii="Times New Roman" w:hAnsi="Times New Roman"/>
          <w:sz w:val="28"/>
          <w:szCs w:val="28"/>
        </w:rPr>
        <w:t>38.3 mg</w:t>
      </w:r>
      <w:r>
        <w:rPr>
          <w:rFonts w:hint="eastAsia" w:ascii="Times New Roman" w:hAnsi="Times New Roman"/>
          <w:sz w:val="28"/>
          <w:szCs w:val="28"/>
        </w:rPr>
        <w:t>/kg，铅浓度范围</w:t>
      </w:r>
      <w:r>
        <w:rPr>
          <w:rFonts w:ascii="Times New Roman" w:hAnsi="Times New Roman"/>
          <w:sz w:val="28"/>
          <w:szCs w:val="28"/>
        </w:rPr>
        <w:t>525 mg</w:t>
      </w:r>
      <w:r>
        <w:rPr>
          <w:rFonts w:hint="eastAsia" w:ascii="Times New Roman" w:hAnsi="Times New Roman"/>
          <w:sz w:val="28"/>
          <w:szCs w:val="28"/>
        </w:rPr>
        <w:t>/kg-</w:t>
      </w:r>
      <w:r>
        <w:rPr>
          <w:rFonts w:ascii="Times New Roman" w:hAnsi="Times New Roman"/>
          <w:sz w:val="28"/>
          <w:szCs w:val="28"/>
        </w:rPr>
        <w:t>1460mg</w:t>
      </w:r>
      <w:r>
        <w:rPr>
          <w:rFonts w:hint="eastAsia" w:ascii="Times New Roman" w:hAnsi="Times New Roman"/>
          <w:sz w:val="28"/>
          <w:szCs w:val="28"/>
        </w:rPr>
        <w:t>/kg。</w:t>
      </w:r>
    </w:p>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1.1.2土壤人体健康评估主要结论</w:t>
      </w:r>
    </w:p>
    <w:p>
      <w:pPr>
        <w:spacing w:line="360" w:lineRule="auto"/>
        <w:ind w:firstLine="537" w:firstLineChars="192"/>
        <w:rPr>
          <w:rFonts w:ascii="Times New Roman" w:hAnsi="Times New Roman"/>
          <w:sz w:val="28"/>
          <w:szCs w:val="28"/>
        </w:rPr>
      </w:pPr>
      <w:r>
        <w:rPr>
          <w:rFonts w:ascii="Times New Roman" w:hAnsi="Times New Roman"/>
          <w:sz w:val="28"/>
          <w:szCs w:val="28"/>
        </w:rPr>
        <w:t>依据</w:t>
      </w:r>
      <w:r>
        <w:rPr>
          <w:rFonts w:hint="eastAsia" w:ascii="Times New Roman" w:hAnsi="Times New Roman"/>
          <w:sz w:val="28"/>
          <w:szCs w:val="28"/>
        </w:rPr>
        <w:t>HJ 25.5-2018</w:t>
      </w:r>
      <w:r>
        <w:rPr>
          <w:rFonts w:ascii="Times New Roman" w:hAnsi="Times New Roman"/>
          <w:sz w:val="28"/>
          <w:szCs w:val="28"/>
        </w:rPr>
        <w:t>对地块关注污染物铅</w:t>
      </w:r>
      <w:r>
        <w:rPr>
          <w:rFonts w:hint="eastAsia" w:ascii="Times New Roman" w:hAnsi="Times New Roman"/>
          <w:sz w:val="28"/>
          <w:szCs w:val="28"/>
        </w:rPr>
        <w:t>、</w:t>
      </w:r>
      <w:r>
        <w:rPr>
          <w:rFonts w:ascii="Times New Roman" w:hAnsi="Times New Roman"/>
          <w:sz w:val="28"/>
          <w:szCs w:val="28"/>
        </w:rPr>
        <w:t>砷进行</w:t>
      </w:r>
      <w:r>
        <w:rPr>
          <w:rFonts w:hint="eastAsia" w:ascii="Times New Roman" w:hAnsi="Times New Roman"/>
          <w:sz w:val="28"/>
          <w:szCs w:val="28"/>
        </w:rPr>
        <w:t>人体</w:t>
      </w:r>
      <w:r>
        <w:rPr>
          <w:rFonts w:hint="eastAsia" w:ascii="Times New Roman" w:hAnsi="Times New Roman"/>
          <w:sz w:val="28"/>
          <w:szCs w:val="28"/>
          <w:lang w:eastAsia="zh-CN"/>
        </w:rPr>
        <w:t>暴露</w:t>
      </w:r>
      <w:r>
        <w:rPr>
          <w:rFonts w:hint="eastAsia" w:ascii="Times New Roman" w:hAnsi="Times New Roman"/>
          <w:sz w:val="28"/>
          <w:szCs w:val="28"/>
        </w:rPr>
        <w:t>健康风险评估。地块上超标点位铅、砷均超风险，经计算土壤中超风险污染物风险控制值为：砷20 mg/kg、铅400 mg/kg。</w:t>
      </w:r>
    </w:p>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1.2土壤修复方案</w:t>
      </w:r>
    </w:p>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1.2.1修复范围与理论修复工程量</w:t>
      </w:r>
    </w:p>
    <w:p>
      <w:pPr>
        <w:spacing w:line="360" w:lineRule="auto"/>
        <w:ind w:firstLine="537" w:firstLineChars="192"/>
        <w:rPr>
          <w:rFonts w:ascii="Times New Roman" w:hAnsi="Times New Roman"/>
          <w:sz w:val="28"/>
          <w:szCs w:val="28"/>
        </w:rPr>
      </w:pPr>
      <w:r>
        <w:rPr>
          <w:rFonts w:hint="eastAsia" w:ascii="Times New Roman" w:hAnsi="Times New Roman"/>
          <w:sz w:val="28"/>
          <w:szCs w:val="28"/>
        </w:rPr>
        <w:t>场地内受铅、砷污染区域的面积为830</w:t>
      </w:r>
      <w:r>
        <w:rPr>
          <w:rFonts w:ascii="Times New Roman" w:hAnsi="Times New Roman"/>
          <w:sz w:val="28"/>
          <w:szCs w:val="28"/>
        </w:rPr>
        <w:t xml:space="preserve"> </w:t>
      </w:r>
      <w:r>
        <w:rPr>
          <w:rFonts w:hint="eastAsia" w:ascii="Times New Roman" w:hAnsi="Times New Roman"/>
          <w:sz w:val="28"/>
          <w:szCs w:val="28"/>
        </w:rPr>
        <w:t>m</w:t>
      </w:r>
      <w:r>
        <w:rPr>
          <w:rFonts w:hint="eastAsia" w:ascii="Times New Roman" w:hAnsi="Times New Roman"/>
          <w:sz w:val="28"/>
          <w:szCs w:val="28"/>
          <w:vertAlign w:val="superscript"/>
        </w:rPr>
        <w:t>2</w:t>
      </w:r>
      <w:r>
        <w:rPr>
          <w:rFonts w:hint="eastAsia" w:ascii="Times New Roman" w:hAnsi="Times New Roman"/>
          <w:sz w:val="28"/>
          <w:szCs w:val="28"/>
        </w:rPr>
        <w:t>，按照0-2.9</w:t>
      </w:r>
      <w:r>
        <w:rPr>
          <w:rFonts w:ascii="Times New Roman" w:hAnsi="Times New Roman"/>
          <w:sz w:val="28"/>
          <w:szCs w:val="28"/>
        </w:rPr>
        <w:t xml:space="preserve"> </w:t>
      </w:r>
      <w:r>
        <w:rPr>
          <w:rFonts w:hint="eastAsia" w:ascii="Times New Roman" w:hAnsi="Times New Roman"/>
          <w:sz w:val="28"/>
          <w:szCs w:val="28"/>
        </w:rPr>
        <w:t>m的不同深度分成两个区域。理论修复工程量见表1。</w:t>
      </w:r>
    </w:p>
    <w:p>
      <w:pPr>
        <w:spacing w:line="360" w:lineRule="auto"/>
        <w:ind w:firstLine="540" w:firstLineChars="192"/>
        <w:jc w:val="center"/>
        <w:rPr>
          <w:rFonts w:ascii="Times New Roman" w:hAnsi="Times New Roman"/>
          <w:b/>
          <w:sz w:val="28"/>
          <w:szCs w:val="28"/>
        </w:rPr>
      </w:pPr>
      <w:r>
        <w:rPr>
          <w:rFonts w:hint="eastAsia" w:ascii="Times New Roman" w:hAnsi="Times New Roman"/>
          <w:b/>
          <w:sz w:val="28"/>
          <w:szCs w:val="28"/>
        </w:rPr>
        <w:t>表1</w:t>
      </w:r>
      <w:r>
        <w:rPr>
          <w:rFonts w:ascii="Times New Roman" w:hAnsi="Times New Roman"/>
          <w:b/>
          <w:sz w:val="28"/>
          <w:szCs w:val="28"/>
        </w:rPr>
        <w:t xml:space="preserve"> 理论修复工程量</w:t>
      </w:r>
    </w:p>
    <w:tbl>
      <w:tblPr>
        <w:tblStyle w:val="8"/>
        <w:tblpPr w:leftFromText="180" w:rightFromText="180" w:vertAnchor="text" w:horzAnchor="page" w:tblpXSpec="center" w:tblpY="14"/>
        <w:tblOverlap w:val="never"/>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94"/>
        <w:gridCol w:w="1994"/>
        <w:gridCol w:w="1496"/>
        <w:gridCol w:w="303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170" w:type="pct"/>
            <w:tcBorders>
              <w:bottom w:val="single" w:color="auto" w:sz="4" w:space="0"/>
            </w:tcBorders>
            <w:shd w:val="clear" w:color="auto" w:fill="auto"/>
            <w:noWrap/>
            <w:vAlign w:val="center"/>
          </w:tcPr>
          <w:p>
            <w:pPr>
              <w:jc w:val="center"/>
              <w:rPr>
                <w:rFonts w:ascii="仿宋" w:hAnsi="仿宋" w:eastAsia="仿宋" w:cs="仿宋"/>
                <w:b/>
                <w:bCs/>
                <w:sz w:val="24"/>
              </w:rPr>
            </w:pPr>
            <w:r>
              <w:rPr>
                <w:rFonts w:hint="eastAsia" w:ascii="仿宋" w:hAnsi="仿宋" w:eastAsia="仿宋" w:cs="仿宋"/>
                <w:b/>
                <w:bCs/>
                <w:sz w:val="24"/>
              </w:rPr>
              <w:t>污染区域</w:t>
            </w:r>
          </w:p>
        </w:tc>
        <w:tc>
          <w:tcPr>
            <w:tcW w:w="1170" w:type="pct"/>
            <w:tcBorders>
              <w:bottom w:val="single" w:color="auto" w:sz="4" w:space="0"/>
            </w:tcBorders>
            <w:shd w:val="clear" w:color="auto" w:fill="auto"/>
            <w:noWrap/>
            <w:vAlign w:val="center"/>
          </w:tcPr>
          <w:p>
            <w:pPr>
              <w:jc w:val="center"/>
              <w:rPr>
                <w:rFonts w:ascii="仿宋" w:hAnsi="仿宋" w:eastAsia="仿宋" w:cs="仿宋"/>
                <w:b/>
                <w:bCs/>
                <w:sz w:val="24"/>
              </w:rPr>
            </w:pPr>
            <w:r>
              <w:rPr>
                <w:rFonts w:hint="eastAsia" w:ascii="仿宋" w:hAnsi="仿宋" w:eastAsia="仿宋" w:cs="仿宋"/>
                <w:b/>
                <w:bCs/>
                <w:sz w:val="24"/>
              </w:rPr>
              <w:t>污染因子</w:t>
            </w:r>
          </w:p>
        </w:tc>
        <w:tc>
          <w:tcPr>
            <w:tcW w:w="878" w:type="pct"/>
            <w:tcBorders>
              <w:bottom w:val="single" w:color="auto" w:sz="4" w:space="0"/>
            </w:tcBorders>
            <w:shd w:val="clear" w:color="auto" w:fill="auto"/>
            <w:noWrap/>
            <w:vAlign w:val="center"/>
          </w:tcPr>
          <w:p>
            <w:pPr>
              <w:jc w:val="center"/>
              <w:rPr>
                <w:rFonts w:ascii="仿宋" w:hAnsi="仿宋" w:eastAsia="仿宋" w:cs="仿宋"/>
                <w:b/>
                <w:bCs/>
                <w:sz w:val="24"/>
              </w:rPr>
            </w:pPr>
          </w:p>
          <w:p>
            <w:pPr>
              <w:jc w:val="center"/>
              <w:rPr>
                <w:rFonts w:ascii="仿宋" w:hAnsi="仿宋" w:eastAsia="仿宋" w:cs="仿宋"/>
                <w:b/>
                <w:bCs/>
                <w:sz w:val="24"/>
              </w:rPr>
            </w:pPr>
            <w:r>
              <w:rPr>
                <w:rFonts w:hint="eastAsia" w:ascii="仿宋" w:hAnsi="仿宋" w:eastAsia="仿宋" w:cs="仿宋"/>
                <w:b/>
                <w:bCs/>
                <w:sz w:val="24"/>
              </w:rPr>
              <w:t>清挖深度/m</w:t>
            </w:r>
          </w:p>
          <w:p>
            <w:pPr>
              <w:jc w:val="center"/>
              <w:rPr>
                <w:rFonts w:ascii="仿宋" w:hAnsi="仿宋" w:eastAsia="仿宋" w:cs="仿宋"/>
                <w:b/>
                <w:bCs/>
                <w:sz w:val="24"/>
              </w:rPr>
            </w:pPr>
          </w:p>
        </w:tc>
        <w:tc>
          <w:tcPr>
            <w:tcW w:w="1781" w:type="pct"/>
            <w:tcBorders>
              <w:bottom w:val="single" w:color="auto" w:sz="4" w:space="0"/>
            </w:tcBorders>
            <w:shd w:val="clear" w:color="auto" w:fill="auto"/>
            <w:noWrap/>
            <w:vAlign w:val="center"/>
          </w:tcPr>
          <w:p>
            <w:pPr>
              <w:jc w:val="center"/>
              <w:rPr>
                <w:rFonts w:ascii="仿宋" w:hAnsi="仿宋" w:eastAsia="仿宋" w:cs="仿宋"/>
                <w:b/>
                <w:bCs/>
                <w:sz w:val="24"/>
              </w:rPr>
            </w:pPr>
            <w:r>
              <w:rPr>
                <w:rFonts w:hint="eastAsia" w:ascii="仿宋" w:hAnsi="仿宋" w:eastAsia="仿宋" w:cs="仿宋"/>
                <w:b/>
                <w:bCs/>
                <w:sz w:val="24"/>
              </w:rPr>
              <w:t>清挖方量/m</w:t>
            </w:r>
            <w:r>
              <w:rPr>
                <w:rFonts w:hint="eastAsia" w:ascii="仿宋" w:hAnsi="仿宋" w:eastAsia="仿宋" w:cs="仿宋"/>
                <w:b/>
                <w:bCs/>
                <w:sz w:val="24"/>
                <w:vertAlign w:val="superscript"/>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jc w:val="center"/>
        </w:trPr>
        <w:tc>
          <w:tcPr>
            <w:tcW w:w="1170" w:type="pc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fldChar w:fldCharType="begin"/>
            </w:r>
            <w:r>
              <w:rPr>
                <w:rFonts w:hint="eastAsia" w:ascii="仿宋" w:hAnsi="仿宋" w:eastAsia="仿宋" w:cs="仿宋"/>
                <w:sz w:val="24"/>
              </w:rPr>
              <w:instrText xml:space="preserve"> = 1 \* ROMAN \* MERGEFORMAT </w:instrText>
            </w:r>
            <w:r>
              <w:rPr>
                <w:rFonts w:hint="eastAsia" w:ascii="仿宋" w:hAnsi="仿宋" w:eastAsia="仿宋" w:cs="仿宋"/>
                <w:sz w:val="24"/>
              </w:rPr>
              <w:fldChar w:fldCharType="separate"/>
            </w:r>
            <w:r>
              <w:rPr>
                <w:rFonts w:hint="eastAsia" w:ascii="仿宋" w:hAnsi="仿宋" w:eastAsia="仿宋" w:cs="仿宋"/>
              </w:rPr>
              <w:t>I</w:t>
            </w:r>
            <w:r>
              <w:rPr>
                <w:rFonts w:hint="eastAsia" w:ascii="仿宋" w:hAnsi="仿宋" w:eastAsia="仿宋" w:cs="仿宋"/>
                <w:sz w:val="24"/>
              </w:rPr>
              <w:fldChar w:fldCharType="end"/>
            </w:r>
          </w:p>
        </w:tc>
        <w:tc>
          <w:tcPr>
            <w:tcW w:w="1170" w:type="pct"/>
            <w:vMerge w:val="restar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铅、砷</w:t>
            </w:r>
          </w:p>
        </w:tc>
        <w:tc>
          <w:tcPr>
            <w:tcW w:w="878" w:type="pc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0.0</w:t>
            </w:r>
            <w:r>
              <w:rPr>
                <w:rFonts w:ascii="仿宋" w:hAnsi="仿宋" w:eastAsia="仿宋" w:cs="仿宋"/>
                <w:sz w:val="24"/>
              </w:rPr>
              <w:t>-</w:t>
            </w:r>
            <w:r>
              <w:rPr>
                <w:rFonts w:hint="eastAsia" w:ascii="仿宋" w:hAnsi="仿宋" w:eastAsia="仿宋" w:cs="仿宋"/>
                <w:sz w:val="24"/>
              </w:rPr>
              <w:t>1.3</w:t>
            </w:r>
          </w:p>
        </w:tc>
        <w:tc>
          <w:tcPr>
            <w:tcW w:w="1781" w:type="pc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480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170" w:type="pct"/>
            <w:tcBorders>
              <w:bottom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fldChar w:fldCharType="begin"/>
            </w:r>
            <w:r>
              <w:rPr>
                <w:rFonts w:hint="eastAsia" w:ascii="仿宋" w:hAnsi="仿宋" w:eastAsia="仿宋" w:cs="仿宋"/>
                <w:sz w:val="24"/>
              </w:rPr>
              <w:instrText xml:space="preserve"> = 2 \* ROMAN \* MERGEFORMAT </w:instrText>
            </w:r>
            <w:r>
              <w:rPr>
                <w:rFonts w:hint="eastAsia" w:ascii="仿宋" w:hAnsi="仿宋" w:eastAsia="仿宋" w:cs="仿宋"/>
                <w:sz w:val="24"/>
              </w:rPr>
              <w:fldChar w:fldCharType="separate"/>
            </w:r>
            <w:r>
              <w:rPr>
                <w:rFonts w:hint="eastAsia" w:ascii="仿宋" w:hAnsi="仿宋" w:eastAsia="仿宋" w:cs="仿宋"/>
              </w:rPr>
              <w:t>II</w:t>
            </w:r>
            <w:r>
              <w:rPr>
                <w:rFonts w:hint="eastAsia" w:ascii="仿宋" w:hAnsi="仿宋" w:eastAsia="仿宋" w:cs="仿宋"/>
                <w:sz w:val="24"/>
              </w:rPr>
              <w:fldChar w:fldCharType="end"/>
            </w:r>
          </w:p>
        </w:tc>
        <w:tc>
          <w:tcPr>
            <w:tcW w:w="1170" w:type="pct"/>
            <w:vMerge w:val="continue"/>
            <w:tcBorders>
              <w:bottom w:val="single" w:color="auto" w:sz="4" w:space="0"/>
            </w:tcBorders>
            <w:shd w:val="clear" w:color="auto" w:fill="auto"/>
            <w:noWrap/>
            <w:vAlign w:val="center"/>
          </w:tcPr>
          <w:p>
            <w:pPr>
              <w:jc w:val="center"/>
              <w:rPr>
                <w:rFonts w:ascii="仿宋" w:hAnsi="仿宋" w:eastAsia="仿宋" w:cs="仿宋"/>
                <w:sz w:val="24"/>
              </w:rPr>
            </w:pPr>
          </w:p>
        </w:tc>
        <w:tc>
          <w:tcPr>
            <w:tcW w:w="878" w:type="pct"/>
            <w:tcBorders>
              <w:bottom w:val="single" w:color="auto" w:sz="4" w:space="0"/>
            </w:tcBorders>
            <w:shd w:val="clear" w:color="auto" w:fill="auto"/>
            <w:noWrap/>
            <w:vAlign w:val="center"/>
          </w:tcPr>
          <w:p>
            <w:pPr>
              <w:ind w:firstLine="240" w:firstLineChars="100"/>
              <w:rPr>
                <w:rFonts w:ascii="仿宋" w:hAnsi="仿宋" w:eastAsia="仿宋" w:cs="仿宋"/>
                <w:sz w:val="24"/>
              </w:rPr>
            </w:pPr>
            <w:r>
              <w:rPr>
                <w:rFonts w:hint="eastAsia" w:ascii="仿宋" w:hAnsi="仿宋" w:eastAsia="仿宋" w:cs="仿宋"/>
                <w:sz w:val="24"/>
              </w:rPr>
              <w:t>0.0-2.9</w:t>
            </w:r>
          </w:p>
        </w:tc>
        <w:tc>
          <w:tcPr>
            <w:tcW w:w="1781" w:type="pct"/>
            <w:tcBorders>
              <w:bottom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2200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170" w:type="pc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合计修复量</w:t>
            </w:r>
          </w:p>
        </w:tc>
        <w:tc>
          <w:tcPr>
            <w:tcW w:w="2048" w:type="pct"/>
            <w:gridSpan w:val="2"/>
            <w:tcBorders>
              <w:top w:val="single" w:color="auto" w:sz="4" w:space="0"/>
            </w:tcBorders>
            <w:shd w:val="clear" w:color="auto" w:fill="auto"/>
            <w:noWrap/>
            <w:vAlign w:val="center"/>
          </w:tcPr>
          <w:p>
            <w:pPr>
              <w:jc w:val="center"/>
              <w:rPr>
                <w:rFonts w:ascii="仿宋" w:hAnsi="仿宋" w:eastAsia="仿宋" w:cs="仿宋"/>
                <w:sz w:val="24"/>
              </w:rPr>
            </w:pPr>
          </w:p>
        </w:tc>
        <w:tc>
          <w:tcPr>
            <w:tcW w:w="1781" w:type="pct"/>
            <w:tcBorders>
              <w:top w:val="single" w:color="auto" w:sz="4" w:space="0"/>
            </w:tcBorders>
            <w:shd w:val="clear" w:color="auto" w:fill="auto"/>
            <w:noWrap/>
            <w:vAlign w:val="center"/>
          </w:tcPr>
          <w:p>
            <w:pPr>
              <w:jc w:val="center"/>
              <w:rPr>
                <w:rFonts w:ascii="仿宋" w:hAnsi="仿宋" w:eastAsia="仿宋" w:cs="仿宋"/>
                <w:sz w:val="24"/>
              </w:rPr>
            </w:pPr>
            <w:r>
              <w:rPr>
                <w:rFonts w:hint="eastAsia" w:ascii="仿宋" w:hAnsi="仿宋" w:eastAsia="仿宋" w:cs="仿宋"/>
                <w:sz w:val="24"/>
              </w:rPr>
              <w:t>2680</w:t>
            </w:r>
          </w:p>
        </w:tc>
      </w:tr>
    </w:tbl>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1.2.2修复目标值</w:t>
      </w:r>
    </w:p>
    <w:p>
      <w:pPr>
        <w:tabs>
          <w:tab w:val="left" w:pos="4895"/>
        </w:tabs>
        <w:spacing w:line="360" w:lineRule="auto"/>
        <w:ind w:firstLine="560" w:firstLineChars="200"/>
        <w:rPr>
          <w:rFonts w:ascii="Times New Roman" w:hAnsi="Times New Roman" w:eastAsia="黑体"/>
          <w:sz w:val="28"/>
          <w:szCs w:val="28"/>
        </w:rPr>
      </w:pPr>
      <w:r>
        <w:rPr>
          <w:rFonts w:hint="eastAsia" w:ascii="Times New Roman" w:hAnsi="Times New Roman"/>
          <w:sz w:val="28"/>
          <w:szCs w:val="28"/>
        </w:rPr>
        <w:t>清挖后基坑清理值采用GB 36600-2018中第一类用地筛选值；稳定化修复后土壤</w:t>
      </w:r>
      <w:r>
        <w:rPr>
          <w:rFonts w:hint="eastAsia" w:ascii="Times New Roman" w:hAnsi="Times New Roman"/>
          <w:sz w:val="28"/>
          <w:szCs w:val="28"/>
          <w:lang w:eastAsia="zh-CN"/>
        </w:rPr>
        <w:t>依据规范</w:t>
      </w:r>
      <w:r>
        <w:rPr>
          <w:rFonts w:hint="eastAsia" w:ascii="Times New Roman" w:hAnsi="Times New Roman"/>
          <w:sz w:val="28"/>
          <w:szCs w:val="28"/>
        </w:rPr>
        <w:t>，采用硫酸硝酸混合配制的浸提剂，浸出液浓度满足《地下水质量标准》(GB/T 14848-2017) IV类标准限值。</w:t>
      </w:r>
    </w:p>
    <w:p>
      <w:pPr>
        <w:spacing w:line="360" w:lineRule="auto"/>
        <w:ind w:firstLine="540" w:firstLineChars="192"/>
        <w:jc w:val="center"/>
        <w:rPr>
          <w:rFonts w:ascii="Times New Roman" w:hAnsi="Times New Roman"/>
          <w:b/>
          <w:sz w:val="28"/>
          <w:szCs w:val="28"/>
        </w:rPr>
      </w:pPr>
      <w:r>
        <w:rPr>
          <w:rFonts w:hint="eastAsia" w:ascii="Times New Roman" w:hAnsi="Times New Roman"/>
          <w:b/>
          <w:sz w:val="28"/>
          <w:szCs w:val="28"/>
        </w:rPr>
        <w:t>表</w:t>
      </w:r>
      <w:r>
        <w:rPr>
          <w:rFonts w:ascii="Times New Roman" w:hAnsi="Times New Roman"/>
          <w:b/>
          <w:sz w:val="28"/>
          <w:szCs w:val="28"/>
        </w:rPr>
        <w:t xml:space="preserve">2 </w:t>
      </w:r>
      <w:r>
        <w:rPr>
          <w:rFonts w:hint="eastAsia" w:ascii="Times New Roman" w:hAnsi="Times New Roman"/>
          <w:b/>
          <w:sz w:val="28"/>
          <w:szCs w:val="28"/>
        </w:rPr>
        <w:t>修复目标值</w:t>
      </w:r>
    </w:p>
    <w:tbl>
      <w:tblPr>
        <w:tblStyle w:val="8"/>
        <w:tblW w:w="5000" w:type="pct"/>
        <w:jc w:val="center"/>
        <w:tblLayout w:type="autofit"/>
        <w:tblCellMar>
          <w:top w:w="0" w:type="dxa"/>
          <w:left w:w="108" w:type="dxa"/>
          <w:bottom w:w="0" w:type="dxa"/>
          <w:right w:w="108" w:type="dxa"/>
        </w:tblCellMar>
      </w:tblPr>
      <w:tblGrid>
        <w:gridCol w:w="1710"/>
        <w:gridCol w:w="2270"/>
        <w:gridCol w:w="4542"/>
      </w:tblGrid>
      <w:tr>
        <w:tblPrEx>
          <w:tblCellMar>
            <w:top w:w="0" w:type="dxa"/>
            <w:left w:w="108" w:type="dxa"/>
            <w:bottom w:w="0" w:type="dxa"/>
            <w:right w:w="108" w:type="dxa"/>
          </w:tblCellMar>
        </w:tblPrEx>
        <w:trPr>
          <w:trHeight w:val="20" w:hRule="atLeast"/>
          <w:jc w:val="center"/>
        </w:trPr>
        <w:tc>
          <w:tcPr>
            <w:tcW w:w="1003" w:type="pct"/>
            <w:vMerge w:val="restart"/>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
                <w:color w:val="000000" w:themeColor="text1"/>
                <w:sz w:val="24"/>
                <w14:textFill>
                  <w14:solidFill>
                    <w14:schemeClr w14:val="tx1"/>
                  </w14:solidFill>
                </w14:textFill>
              </w:rPr>
            </w:pPr>
            <w:r>
              <w:rPr>
                <w:rFonts w:hint="eastAsia" w:ascii="仿宋" w:hAnsi="仿宋" w:eastAsia="仿宋" w:cs="仿宋"/>
                <w:b/>
                <w:color w:val="000000" w:themeColor="text1"/>
                <w:sz w:val="24"/>
                <w14:textFill>
                  <w14:solidFill>
                    <w14:schemeClr w14:val="tx1"/>
                  </w14:solidFill>
                </w14:textFill>
              </w:rPr>
              <w:t>目标污染物</w:t>
            </w:r>
          </w:p>
        </w:tc>
        <w:tc>
          <w:tcPr>
            <w:tcW w:w="3997" w:type="pct"/>
            <w:gridSpan w:val="2"/>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
                <w:color w:val="000000" w:themeColor="text1"/>
                <w:sz w:val="24"/>
                <w14:textFill>
                  <w14:solidFill>
                    <w14:schemeClr w14:val="tx1"/>
                  </w14:solidFill>
                </w14:textFill>
              </w:rPr>
            </w:pPr>
            <w:r>
              <w:rPr>
                <w:rFonts w:hint="eastAsia" w:ascii="仿宋" w:hAnsi="仿宋" w:eastAsia="仿宋" w:cs="仿宋"/>
                <w:b/>
                <w:color w:val="000000" w:themeColor="text1"/>
                <w:sz w:val="24"/>
                <w14:textFill>
                  <w14:solidFill>
                    <w14:schemeClr w14:val="tx1"/>
                  </w14:solidFill>
                </w14:textFill>
              </w:rPr>
              <w:t>修复目标值</w:t>
            </w:r>
          </w:p>
        </w:tc>
      </w:tr>
      <w:tr>
        <w:tblPrEx>
          <w:tblCellMar>
            <w:top w:w="0" w:type="dxa"/>
            <w:left w:w="108" w:type="dxa"/>
            <w:bottom w:w="0" w:type="dxa"/>
            <w:right w:w="108" w:type="dxa"/>
          </w:tblCellMar>
        </w:tblPrEx>
        <w:trPr>
          <w:trHeight w:val="20" w:hRule="atLeast"/>
          <w:jc w:val="center"/>
        </w:trPr>
        <w:tc>
          <w:tcPr>
            <w:tcW w:w="1003" w:type="pct"/>
            <w:vMerge w:val="continue"/>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
                <w:color w:val="000000" w:themeColor="text1"/>
                <w:sz w:val="24"/>
                <w14:textFill>
                  <w14:solidFill>
                    <w14:schemeClr w14:val="tx1"/>
                  </w14:solidFill>
                </w14:textFill>
              </w:rPr>
            </w:pPr>
          </w:p>
        </w:tc>
        <w:tc>
          <w:tcPr>
            <w:tcW w:w="1332" w:type="pct"/>
            <w:vMerge w:val="restart"/>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
                <w:color w:val="000000" w:themeColor="text1"/>
                <w:sz w:val="24"/>
                <w14:textFill>
                  <w14:solidFill>
                    <w14:schemeClr w14:val="tx1"/>
                  </w14:solidFill>
                </w14:textFill>
              </w:rPr>
            </w:pPr>
            <w:r>
              <w:rPr>
                <w:rFonts w:hint="eastAsia" w:ascii="仿宋" w:hAnsi="仿宋" w:eastAsia="仿宋" w:cs="仿宋"/>
                <w:b/>
                <w:color w:val="000000" w:themeColor="text1"/>
                <w:sz w:val="24"/>
                <w14:textFill>
                  <w14:solidFill>
                    <w14:schemeClr w14:val="tx1"/>
                  </w14:solidFill>
                </w14:textFill>
              </w:rPr>
              <w:t>基坑清理 mg/kg</w:t>
            </w:r>
          </w:p>
        </w:tc>
        <w:tc>
          <w:tcPr>
            <w:tcW w:w="2665" w:type="pct"/>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
                <w:color w:val="000000" w:themeColor="text1"/>
                <w:sz w:val="24"/>
                <w14:textFill>
                  <w14:solidFill>
                    <w14:schemeClr w14:val="tx1"/>
                  </w14:solidFill>
                </w14:textFill>
              </w:rPr>
            </w:pPr>
            <w:r>
              <w:rPr>
                <w:rFonts w:hint="eastAsia" w:ascii="仿宋" w:hAnsi="仿宋" w:eastAsia="仿宋" w:cs="仿宋"/>
                <w:b/>
                <w:color w:val="000000" w:themeColor="text1"/>
                <w:sz w:val="24"/>
                <w14:textFill>
                  <w14:solidFill>
                    <w14:schemeClr w14:val="tx1"/>
                  </w14:solidFill>
                </w14:textFill>
              </w:rPr>
              <w:t>稳定化修复后土壤</w:t>
            </w:r>
          </w:p>
        </w:tc>
      </w:tr>
      <w:tr>
        <w:tblPrEx>
          <w:tblCellMar>
            <w:top w:w="0" w:type="dxa"/>
            <w:left w:w="108" w:type="dxa"/>
            <w:bottom w:w="0" w:type="dxa"/>
            <w:right w:w="108" w:type="dxa"/>
          </w:tblCellMar>
        </w:tblPrEx>
        <w:trPr>
          <w:trHeight w:val="20" w:hRule="atLeast"/>
          <w:jc w:val="center"/>
        </w:trPr>
        <w:tc>
          <w:tcPr>
            <w:tcW w:w="1003" w:type="pct"/>
            <w:vMerge w:val="continue"/>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p>
        </w:tc>
        <w:tc>
          <w:tcPr>
            <w:tcW w:w="1332" w:type="pct"/>
            <w:vMerge w:val="continue"/>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p>
        </w:tc>
        <w:tc>
          <w:tcPr>
            <w:tcW w:w="2665" w:type="pct"/>
            <w:tcBorders>
              <w:top w:val="single" w:color="auto" w:sz="4" w:space="0"/>
              <w:bottom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r>
              <w:rPr>
                <w:rFonts w:hint="eastAsia" w:ascii="仿宋" w:hAnsi="仿宋" w:eastAsia="仿宋" w:cs="仿宋"/>
                <w:b/>
                <w:color w:val="000000" w:themeColor="text1"/>
                <w:sz w:val="24"/>
                <w14:textFill>
                  <w14:solidFill>
                    <w14:schemeClr w14:val="tx1"/>
                  </w14:solidFill>
                </w14:textFill>
              </w:rPr>
              <w:t>浸出浓度μg/L</w:t>
            </w:r>
          </w:p>
        </w:tc>
      </w:tr>
      <w:tr>
        <w:tblPrEx>
          <w:tblCellMar>
            <w:top w:w="0" w:type="dxa"/>
            <w:left w:w="108" w:type="dxa"/>
            <w:bottom w:w="0" w:type="dxa"/>
            <w:right w:w="108" w:type="dxa"/>
          </w:tblCellMar>
        </w:tblPrEx>
        <w:trPr>
          <w:trHeight w:val="323" w:hRule="atLeast"/>
          <w:jc w:val="center"/>
        </w:trPr>
        <w:tc>
          <w:tcPr>
            <w:tcW w:w="1003" w:type="pct"/>
            <w:tcBorders>
              <w:top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r>
              <w:rPr>
                <w:rFonts w:hint="eastAsia" w:ascii="仿宋" w:hAnsi="仿宋" w:eastAsia="仿宋" w:cs="仿宋"/>
                <w:bCs/>
                <w:color w:val="000000" w:themeColor="text1"/>
                <w:sz w:val="24"/>
                <w14:textFill>
                  <w14:solidFill>
                    <w14:schemeClr w14:val="tx1"/>
                  </w14:solidFill>
                </w14:textFill>
              </w:rPr>
              <w:t>铅</w:t>
            </w:r>
          </w:p>
        </w:tc>
        <w:tc>
          <w:tcPr>
            <w:tcW w:w="1332" w:type="pct"/>
            <w:tcBorders>
              <w:top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r>
              <w:rPr>
                <w:rFonts w:hint="eastAsia" w:ascii="仿宋" w:hAnsi="仿宋" w:eastAsia="仿宋" w:cs="仿宋"/>
                <w:bCs/>
                <w:snapToGrid w:val="0"/>
                <w:color w:val="000000" w:themeColor="text1"/>
                <w:sz w:val="24"/>
                <w14:textFill>
                  <w14:solidFill>
                    <w14:schemeClr w14:val="tx1"/>
                  </w14:solidFill>
                </w14:textFill>
              </w:rPr>
              <w:t>400</w:t>
            </w:r>
          </w:p>
        </w:tc>
        <w:tc>
          <w:tcPr>
            <w:tcW w:w="2665" w:type="pct"/>
            <w:tcBorders>
              <w:top w:val="single" w:color="auto" w:sz="4" w:space="0"/>
            </w:tcBorders>
            <w:vAlign w:val="center"/>
          </w:tcPr>
          <w:p>
            <w:pPr>
              <w:pStyle w:val="24"/>
              <w:autoSpaceDE/>
              <w:autoSpaceDN/>
              <w:spacing w:beforeLines="0" w:line="300" w:lineRule="auto"/>
              <w:jc w:val="center"/>
              <w:rPr>
                <w:rFonts w:ascii="仿宋" w:hAnsi="仿宋" w:eastAsia="仿宋" w:cs="仿宋"/>
                <w:bCs/>
                <w:snapToGrid w:val="0"/>
                <w:color w:val="000000" w:themeColor="text1"/>
                <w:sz w:val="24"/>
                <w14:textFill>
                  <w14:solidFill>
                    <w14:schemeClr w14:val="tx1"/>
                  </w14:solidFill>
                </w14:textFill>
              </w:rPr>
            </w:pPr>
            <w:r>
              <w:rPr>
                <w:rFonts w:hint="eastAsia" w:ascii="仿宋" w:hAnsi="仿宋" w:eastAsia="仿宋" w:cs="仿宋"/>
                <w:bCs/>
                <w:snapToGrid w:val="0"/>
                <w:color w:val="000000" w:themeColor="text1"/>
                <w:sz w:val="24"/>
                <w14:textFill>
                  <w14:solidFill>
                    <w14:schemeClr w14:val="tx1"/>
                  </w14:solidFill>
                </w14:textFill>
              </w:rPr>
              <w:t>100</w:t>
            </w:r>
          </w:p>
        </w:tc>
      </w:tr>
      <w:tr>
        <w:tblPrEx>
          <w:tblCellMar>
            <w:top w:w="0" w:type="dxa"/>
            <w:left w:w="108" w:type="dxa"/>
            <w:bottom w:w="0" w:type="dxa"/>
            <w:right w:w="108" w:type="dxa"/>
          </w:tblCellMar>
        </w:tblPrEx>
        <w:trPr>
          <w:trHeight w:val="20" w:hRule="atLeast"/>
          <w:jc w:val="center"/>
        </w:trPr>
        <w:tc>
          <w:tcPr>
            <w:tcW w:w="1003" w:type="pct"/>
            <w:tcBorders>
              <w:bottom w:val="single" w:color="auto" w:sz="4" w:space="0"/>
            </w:tcBorders>
            <w:vAlign w:val="center"/>
          </w:tcPr>
          <w:p>
            <w:pPr>
              <w:pStyle w:val="24"/>
              <w:autoSpaceDE/>
              <w:autoSpaceDN/>
              <w:spacing w:beforeLines="0" w:line="300" w:lineRule="auto"/>
              <w:jc w:val="center"/>
              <w:rPr>
                <w:rFonts w:ascii="仿宋" w:hAnsi="仿宋" w:eastAsia="仿宋" w:cs="仿宋"/>
                <w:bCs/>
                <w:color w:val="000000" w:themeColor="text1"/>
                <w:sz w:val="24"/>
                <w14:textFill>
                  <w14:solidFill>
                    <w14:schemeClr w14:val="tx1"/>
                  </w14:solidFill>
                </w14:textFill>
              </w:rPr>
            </w:pPr>
            <w:r>
              <w:rPr>
                <w:rFonts w:hint="eastAsia" w:ascii="仿宋" w:hAnsi="仿宋" w:eastAsia="仿宋" w:cs="仿宋"/>
                <w:bCs/>
                <w:color w:val="000000" w:themeColor="text1"/>
                <w:sz w:val="24"/>
                <w14:textFill>
                  <w14:solidFill>
                    <w14:schemeClr w14:val="tx1"/>
                  </w14:solidFill>
                </w14:textFill>
              </w:rPr>
              <w:t>砷</w:t>
            </w:r>
          </w:p>
        </w:tc>
        <w:tc>
          <w:tcPr>
            <w:tcW w:w="1332" w:type="pct"/>
            <w:tcBorders>
              <w:bottom w:val="single" w:color="auto" w:sz="4" w:space="0"/>
            </w:tcBorders>
            <w:vAlign w:val="center"/>
          </w:tcPr>
          <w:p>
            <w:pPr>
              <w:pStyle w:val="24"/>
              <w:autoSpaceDE/>
              <w:autoSpaceDN/>
              <w:spacing w:beforeLines="0" w:line="300" w:lineRule="auto"/>
              <w:jc w:val="center"/>
              <w:rPr>
                <w:rFonts w:ascii="仿宋" w:hAnsi="仿宋" w:eastAsia="仿宋" w:cs="仿宋"/>
                <w:bCs/>
                <w:snapToGrid w:val="0"/>
                <w:color w:val="000000" w:themeColor="text1"/>
                <w:sz w:val="24"/>
                <w14:textFill>
                  <w14:solidFill>
                    <w14:schemeClr w14:val="tx1"/>
                  </w14:solidFill>
                </w14:textFill>
              </w:rPr>
            </w:pPr>
            <w:r>
              <w:rPr>
                <w:rFonts w:hint="eastAsia" w:ascii="仿宋" w:hAnsi="仿宋" w:eastAsia="仿宋" w:cs="仿宋"/>
                <w:bCs/>
                <w:snapToGrid w:val="0"/>
                <w:color w:val="000000" w:themeColor="text1"/>
                <w:sz w:val="24"/>
                <w14:textFill>
                  <w14:solidFill>
                    <w14:schemeClr w14:val="tx1"/>
                  </w14:solidFill>
                </w14:textFill>
              </w:rPr>
              <w:t>20</w:t>
            </w:r>
          </w:p>
        </w:tc>
        <w:tc>
          <w:tcPr>
            <w:tcW w:w="2665" w:type="pct"/>
            <w:tcBorders>
              <w:bottom w:val="single" w:color="auto" w:sz="4" w:space="0"/>
            </w:tcBorders>
            <w:vAlign w:val="center"/>
          </w:tcPr>
          <w:p>
            <w:pPr>
              <w:pStyle w:val="24"/>
              <w:autoSpaceDE/>
              <w:autoSpaceDN/>
              <w:spacing w:beforeLines="0" w:line="300" w:lineRule="auto"/>
              <w:jc w:val="center"/>
              <w:rPr>
                <w:rFonts w:ascii="仿宋" w:hAnsi="仿宋" w:eastAsia="仿宋" w:cs="仿宋"/>
                <w:bCs/>
                <w:snapToGrid w:val="0"/>
                <w:color w:val="000000" w:themeColor="text1"/>
                <w:sz w:val="24"/>
                <w14:textFill>
                  <w14:solidFill>
                    <w14:schemeClr w14:val="tx1"/>
                  </w14:solidFill>
                </w14:textFill>
              </w:rPr>
            </w:pPr>
            <w:r>
              <w:rPr>
                <w:rFonts w:hint="eastAsia" w:ascii="仿宋" w:hAnsi="仿宋" w:eastAsia="仿宋" w:cs="仿宋"/>
                <w:bCs/>
                <w:snapToGrid w:val="0"/>
                <w:color w:val="000000" w:themeColor="text1"/>
                <w:sz w:val="24"/>
                <w14:textFill>
                  <w14:solidFill>
                    <w14:schemeClr w14:val="tx1"/>
                  </w14:solidFill>
                </w14:textFill>
              </w:rPr>
              <w:t>50</w:t>
            </w:r>
          </w:p>
        </w:tc>
      </w:tr>
    </w:tbl>
    <w:p>
      <w:pPr>
        <w:tabs>
          <w:tab w:val="left" w:pos="4895"/>
        </w:tabs>
        <w:spacing w:line="360" w:lineRule="auto"/>
        <w:rPr>
          <w:rFonts w:ascii="Times New Roman" w:hAnsi="Times New Roman" w:eastAsia="黑体"/>
          <w:sz w:val="28"/>
          <w:szCs w:val="28"/>
        </w:rPr>
      </w:pPr>
      <w:r>
        <w:rPr>
          <w:rFonts w:hint="eastAsia" w:ascii="Times New Roman" w:hAnsi="Times New Roman" w:eastAsia="黑体"/>
          <w:sz w:val="28"/>
          <w:szCs w:val="28"/>
        </w:rPr>
        <w:t>1.2.3修复技术路线</w:t>
      </w:r>
    </w:p>
    <w:p>
      <w:pPr>
        <w:tabs>
          <w:tab w:val="left" w:pos="4895"/>
        </w:tabs>
        <w:spacing w:line="360" w:lineRule="auto"/>
        <w:rPr>
          <w:rFonts w:ascii="Times New Roman" w:hAnsi="Times New Roman"/>
          <w:sz w:val="28"/>
          <w:szCs w:val="28"/>
        </w:rPr>
      </w:pPr>
      <w:r>
        <w:rPr>
          <w:rFonts w:hint="eastAsia" w:ascii="Times New Roman" w:hAnsi="Times New Roman" w:eastAsia="黑体"/>
          <w:sz w:val="28"/>
          <w:szCs w:val="28"/>
        </w:rPr>
        <w:t xml:space="preserve">   </w:t>
      </w:r>
      <w:r>
        <w:rPr>
          <w:rFonts w:hint="eastAsia" w:ascii="Times New Roman" w:hAnsi="Times New Roman"/>
          <w:sz w:val="28"/>
          <w:szCs w:val="28"/>
        </w:rPr>
        <w:t xml:space="preserve"> 本项目土壤铅、砷采用原地异位稳定化技术进行修复，污染土壤经过挖掘，短驳至本场地土壤暂存处，加入修复药剂后利用挖机对其进行筛分破碎等预处理；利用机械和人工结合方式布撒设计比例的修复药剂，利用挖机进行混合搅拌并雾炮喷水调节湿度，药剂混合完成的土壤养护7天完成修复。</w:t>
      </w:r>
    </w:p>
    <w:p>
      <w:pPr>
        <w:spacing w:line="360" w:lineRule="auto"/>
        <w:rPr>
          <w:rFonts w:ascii="黑体" w:hAnsi="黑体" w:eastAsia="黑体"/>
          <w:sz w:val="28"/>
          <w:szCs w:val="28"/>
        </w:rPr>
      </w:pPr>
      <w:r>
        <w:rPr>
          <w:rFonts w:hint="eastAsia" w:ascii="黑体" w:hAnsi="黑体" w:eastAsia="黑体"/>
          <w:sz w:val="28"/>
          <w:szCs w:val="28"/>
        </w:rPr>
        <w:t>2修复施工过程</w:t>
      </w:r>
    </w:p>
    <w:p>
      <w:pPr>
        <w:spacing w:line="360" w:lineRule="auto"/>
        <w:rPr>
          <w:rFonts w:ascii="黑体" w:hAnsi="黑体" w:eastAsia="黑体"/>
          <w:sz w:val="28"/>
          <w:szCs w:val="28"/>
        </w:rPr>
      </w:pPr>
      <w:r>
        <w:rPr>
          <w:rFonts w:hint="eastAsia" w:ascii="黑体" w:hAnsi="黑体" w:eastAsia="黑体"/>
          <w:sz w:val="28"/>
          <w:szCs w:val="28"/>
        </w:rPr>
        <w:t>2.1修复实施过程</w:t>
      </w:r>
    </w:p>
    <w:p>
      <w:pPr>
        <w:tabs>
          <w:tab w:val="left" w:pos="4895"/>
        </w:tabs>
        <w:spacing w:line="360" w:lineRule="auto"/>
        <w:ind w:firstLine="560" w:firstLineChars="200"/>
        <w:rPr>
          <w:rFonts w:ascii="Times New Roman" w:hAnsi="Times New Roman"/>
          <w:sz w:val="28"/>
          <w:szCs w:val="28"/>
        </w:rPr>
      </w:pPr>
      <w:r>
        <w:rPr>
          <w:rFonts w:hint="eastAsia" w:ascii="Times New Roman" w:hAnsi="Times New Roman"/>
          <w:sz w:val="28"/>
          <w:szCs w:val="28"/>
        </w:rPr>
        <w:t>修复施工过程首先进行施工场地的平面布置，然后在污染范围边界通过高精度RTK进行现场放样，修复区域四周设置围挡。</w:t>
      </w:r>
      <w:r>
        <w:rPr>
          <w:rFonts w:hint="eastAsia" w:ascii="Times New Roman" w:hAnsi="Times New Roman"/>
          <w:sz w:val="28"/>
          <w:szCs w:val="28"/>
          <w:lang w:eastAsia="zh-CN"/>
        </w:rPr>
        <w:t>进行土壤</w:t>
      </w:r>
      <w:r>
        <w:rPr>
          <w:rFonts w:hint="eastAsia" w:ascii="Times New Roman" w:hAnsi="Times New Roman"/>
          <w:sz w:val="28"/>
          <w:szCs w:val="28"/>
        </w:rPr>
        <w:t>异位修复的区域</w:t>
      </w:r>
      <w:r>
        <w:rPr>
          <w:rFonts w:hint="eastAsia" w:ascii="Times New Roman" w:hAnsi="Times New Roman"/>
          <w:sz w:val="28"/>
          <w:szCs w:val="28"/>
          <w:lang w:eastAsia="zh-CN"/>
        </w:rPr>
        <w:t>地面</w:t>
      </w:r>
      <w:r>
        <w:rPr>
          <w:rFonts w:hint="eastAsia" w:ascii="Times New Roman" w:hAnsi="Times New Roman"/>
          <w:sz w:val="28"/>
          <w:szCs w:val="28"/>
        </w:rPr>
        <w:t>铺设</w:t>
      </w:r>
      <w:r>
        <w:rPr>
          <w:rFonts w:hint="eastAsia" w:ascii="Times New Roman" w:hAnsi="Times New Roman"/>
          <w:sz w:val="28"/>
          <w:szCs w:val="28"/>
          <w:lang w:val="en-US" w:eastAsia="zh-CN"/>
        </w:rPr>
        <w:t>1.5mm的</w:t>
      </w:r>
      <w:r>
        <w:rPr>
          <w:rFonts w:hint="eastAsia" w:ascii="Times New Roman" w:hAnsi="Times New Roman"/>
          <w:sz w:val="28"/>
          <w:szCs w:val="28"/>
        </w:rPr>
        <w:t>土工布</w:t>
      </w:r>
      <w:r>
        <w:rPr>
          <w:rFonts w:hint="eastAsia" w:ascii="Times New Roman" w:hAnsi="Times New Roman"/>
          <w:sz w:val="28"/>
          <w:szCs w:val="28"/>
          <w:lang w:eastAsia="zh-CN"/>
        </w:rPr>
        <w:t>以及</w:t>
      </w:r>
      <w:r>
        <w:rPr>
          <w:rFonts w:hint="eastAsia" w:ascii="Times New Roman" w:hAnsi="Times New Roman"/>
          <w:sz w:val="28"/>
          <w:szCs w:val="28"/>
        </w:rPr>
        <w:t>HDPE防渗膜。依据控制边界进行基坑清挖，经污染土壤清挖至异位修复区域。采用Allu斗作为土壤破碎</w:t>
      </w:r>
      <w:r>
        <w:rPr>
          <w:rFonts w:hint="eastAsia" w:ascii="Times New Roman" w:hAnsi="Times New Roman"/>
          <w:sz w:val="28"/>
          <w:szCs w:val="28"/>
          <w:lang w:eastAsia="zh-CN"/>
        </w:rPr>
        <w:t>筛分</w:t>
      </w:r>
      <w:r>
        <w:rPr>
          <w:rFonts w:hint="eastAsia" w:ascii="Times New Roman" w:hAnsi="Times New Roman"/>
          <w:sz w:val="28"/>
          <w:szCs w:val="28"/>
        </w:rPr>
        <w:t>设备对</w:t>
      </w:r>
      <w:r>
        <w:rPr>
          <w:rFonts w:hint="eastAsia" w:ascii="Times New Roman" w:hAnsi="Times New Roman"/>
          <w:sz w:val="28"/>
          <w:szCs w:val="28"/>
          <w:lang w:eastAsia="zh-CN"/>
        </w:rPr>
        <w:t>项目</w:t>
      </w:r>
      <w:r>
        <w:rPr>
          <w:rFonts w:hint="eastAsia" w:ascii="Times New Roman" w:hAnsi="Times New Roman"/>
          <w:sz w:val="28"/>
          <w:szCs w:val="28"/>
        </w:rPr>
        <w:t>污染土壤进行筛分破碎以及混合预处理；随后再次利用挖机将亚铁盐与复配稳定剂均匀布撒并与污染土壤预混；药剂混合设备</w:t>
      </w:r>
      <w:r>
        <w:rPr>
          <w:rFonts w:hint="eastAsia" w:ascii="Times New Roman" w:hAnsi="Times New Roman"/>
          <w:sz w:val="28"/>
          <w:szCs w:val="28"/>
          <w:lang w:eastAsia="zh-CN"/>
        </w:rPr>
        <w:t>选用</w:t>
      </w:r>
      <w:r>
        <w:rPr>
          <w:rFonts w:hint="eastAsia" w:ascii="Times New Roman" w:hAnsi="Times New Roman"/>
          <w:sz w:val="28"/>
          <w:szCs w:val="28"/>
        </w:rPr>
        <w:t>Allu斗</w:t>
      </w:r>
      <w:r>
        <w:rPr>
          <w:rFonts w:hint="eastAsia" w:ascii="Times New Roman" w:hAnsi="Times New Roman"/>
          <w:sz w:val="28"/>
          <w:szCs w:val="28"/>
          <w:lang w:eastAsia="zh-CN"/>
        </w:rPr>
        <w:t>对</w:t>
      </w:r>
      <w:r>
        <w:rPr>
          <w:rFonts w:hint="eastAsia" w:ascii="Times New Roman" w:hAnsi="Times New Roman"/>
          <w:sz w:val="28"/>
          <w:szCs w:val="28"/>
        </w:rPr>
        <w:t>污染土壤进行修复处理，保证</w:t>
      </w:r>
      <w:r>
        <w:rPr>
          <w:rFonts w:hint="eastAsia" w:ascii="Times New Roman" w:hAnsi="Times New Roman"/>
          <w:sz w:val="28"/>
          <w:szCs w:val="28"/>
          <w:lang w:eastAsia="zh-CN"/>
        </w:rPr>
        <w:t>药剂对重金属铅、砷的固定</w:t>
      </w:r>
      <w:r>
        <w:rPr>
          <w:rFonts w:hint="eastAsia" w:ascii="Times New Roman" w:hAnsi="Times New Roman"/>
          <w:sz w:val="28"/>
          <w:szCs w:val="28"/>
        </w:rPr>
        <w:t>效果；药剂混合完成的</w:t>
      </w:r>
      <w:r>
        <w:rPr>
          <w:rFonts w:hint="eastAsia" w:ascii="Times New Roman" w:hAnsi="Times New Roman"/>
          <w:sz w:val="28"/>
          <w:szCs w:val="28"/>
          <w:lang w:eastAsia="zh-CN"/>
        </w:rPr>
        <w:t>污染</w:t>
      </w:r>
      <w:r>
        <w:rPr>
          <w:rFonts w:hint="eastAsia" w:ascii="Times New Roman" w:hAnsi="Times New Roman"/>
          <w:sz w:val="28"/>
          <w:szCs w:val="28"/>
        </w:rPr>
        <w:t>土壤</w:t>
      </w:r>
      <w:r>
        <w:rPr>
          <w:rFonts w:hint="eastAsia" w:ascii="Times New Roman" w:hAnsi="Times New Roman"/>
          <w:sz w:val="28"/>
          <w:szCs w:val="28"/>
          <w:lang w:eastAsia="zh-CN"/>
        </w:rPr>
        <w:t>保持</w:t>
      </w:r>
      <w:r>
        <w:rPr>
          <w:rFonts w:hint="eastAsia" w:ascii="Times New Roman" w:hAnsi="Times New Roman"/>
          <w:sz w:val="28"/>
          <w:szCs w:val="28"/>
          <w:lang w:val="en-US" w:eastAsia="zh-CN"/>
        </w:rPr>
        <w:t>25%的湿度</w:t>
      </w:r>
      <w:r>
        <w:rPr>
          <w:rFonts w:hint="eastAsia" w:ascii="Times New Roman" w:hAnsi="Times New Roman"/>
          <w:sz w:val="28"/>
          <w:szCs w:val="28"/>
        </w:rPr>
        <w:t>养护</w:t>
      </w:r>
      <w:r>
        <w:rPr>
          <w:rFonts w:hint="eastAsia" w:ascii="Times New Roman" w:hAnsi="Times New Roman"/>
          <w:sz w:val="28"/>
          <w:szCs w:val="28"/>
          <w:lang w:eastAsia="zh-CN"/>
        </w:rPr>
        <w:t>一周</w:t>
      </w:r>
      <w:r>
        <w:rPr>
          <w:rFonts w:hint="eastAsia" w:ascii="Times New Roman" w:hAnsi="Times New Roman"/>
          <w:sz w:val="28"/>
          <w:szCs w:val="28"/>
        </w:rPr>
        <w:t>，修复完成后形成</w:t>
      </w:r>
      <w:r>
        <w:rPr>
          <w:rFonts w:hint="eastAsia" w:ascii="Times New Roman" w:hAnsi="Times New Roman"/>
          <w:sz w:val="28"/>
          <w:szCs w:val="28"/>
          <w:lang w:eastAsia="zh-CN"/>
        </w:rPr>
        <w:t>待检测验收堆土</w:t>
      </w:r>
      <w:r>
        <w:rPr>
          <w:rFonts w:hint="eastAsia" w:ascii="Times New Roman" w:hAnsi="Times New Roman"/>
          <w:sz w:val="28"/>
          <w:szCs w:val="28"/>
        </w:rPr>
        <w:t>。验收合格后的土壤外运运作</w:t>
      </w:r>
      <w:r>
        <w:rPr>
          <w:rFonts w:hint="eastAsia" w:ascii="Times New Roman" w:hAnsi="Times New Roman"/>
          <w:sz w:val="28"/>
          <w:szCs w:val="28"/>
          <w:lang w:eastAsia="zh-CN"/>
        </w:rPr>
        <w:t>上海市某区</w:t>
      </w:r>
      <w:r>
        <w:rPr>
          <w:rFonts w:hint="eastAsia" w:ascii="Times New Roman" w:hAnsi="Times New Roman"/>
          <w:sz w:val="28"/>
          <w:szCs w:val="28"/>
        </w:rPr>
        <w:t>道路</w:t>
      </w:r>
      <w:r>
        <w:rPr>
          <w:rFonts w:hint="eastAsia" w:ascii="Times New Roman" w:hAnsi="Times New Roman"/>
          <w:sz w:val="28"/>
          <w:szCs w:val="28"/>
          <w:lang w:eastAsia="zh-CN"/>
        </w:rPr>
        <w:t>一级公路的</w:t>
      </w:r>
      <w:r>
        <w:rPr>
          <w:rFonts w:hint="eastAsia" w:ascii="Times New Roman" w:hAnsi="Times New Roman"/>
          <w:sz w:val="28"/>
          <w:szCs w:val="28"/>
        </w:rPr>
        <w:t>中层覆土。</w:t>
      </w:r>
    </w:p>
    <w:p>
      <w:pPr>
        <w:spacing w:line="360" w:lineRule="auto"/>
        <w:rPr>
          <w:rFonts w:ascii="黑体" w:hAnsi="黑体" w:eastAsia="黑体"/>
          <w:sz w:val="28"/>
          <w:szCs w:val="28"/>
        </w:rPr>
      </w:pPr>
      <w:r>
        <w:rPr>
          <w:rFonts w:hint="eastAsia" w:ascii="黑体" w:hAnsi="黑体" w:eastAsia="黑体"/>
          <w:sz w:val="28"/>
          <w:szCs w:val="28"/>
        </w:rPr>
        <w:t>2.2修复过程二次污染防控</w:t>
      </w:r>
    </w:p>
    <w:p>
      <w:pPr>
        <w:spacing w:line="360" w:lineRule="auto"/>
        <w:rPr>
          <w:rFonts w:ascii="Times New Roman" w:hAnsi="Times New Roman"/>
          <w:sz w:val="28"/>
          <w:szCs w:val="28"/>
        </w:rPr>
      </w:pPr>
      <w:r>
        <w:rPr>
          <w:rFonts w:hint="eastAsia" w:ascii="黑体" w:hAnsi="黑体" w:eastAsia="黑体"/>
          <w:sz w:val="28"/>
          <w:szCs w:val="28"/>
        </w:rPr>
        <w:t xml:space="preserve">  </w:t>
      </w:r>
      <w:r>
        <w:rPr>
          <w:rFonts w:hint="eastAsia" w:ascii="Times New Roman" w:hAnsi="Times New Roman"/>
          <w:sz w:val="28"/>
          <w:szCs w:val="28"/>
        </w:rPr>
        <w:t xml:space="preserve">  修复过程中采用了多项措施对施工过程引起的二次污染进行防控，施工场地每日进行洒水降低扬尘；基坑开挖后覆盖防尘网；施工过程对基坑降水、建筑垃圾冲洗水、车辆冲洗水进行收集回用；土壤暂存和修复区域的底部铺设防HDPE</w:t>
      </w:r>
      <w:r>
        <w:rPr>
          <w:rFonts w:hint="eastAsia" w:ascii="Times New Roman" w:hAnsi="Times New Roman"/>
          <w:sz w:val="28"/>
          <w:szCs w:val="28"/>
          <w:lang w:eastAsia="zh-CN"/>
        </w:rPr>
        <w:t>防</w:t>
      </w:r>
      <w:r>
        <w:rPr>
          <w:rFonts w:hint="eastAsia" w:ascii="Times New Roman" w:hAnsi="Times New Roman"/>
          <w:sz w:val="28"/>
          <w:szCs w:val="28"/>
        </w:rPr>
        <w:t>渗膜，避免</w:t>
      </w:r>
      <w:r>
        <w:rPr>
          <w:rFonts w:hint="eastAsia" w:ascii="Times New Roman" w:hAnsi="Times New Roman"/>
          <w:sz w:val="28"/>
          <w:szCs w:val="28"/>
          <w:lang w:eastAsia="zh-CN"/>
        </w:rPr>
        <w:t>表层土壤和浅层地下水受到</w:t>
      </w:r>
      <w:r>
        <w:rPr>
          <w:rFonts w:hint="eastAsia" w:ascii="Times New Roman" w:hAnsi="Times New Roman"/>
          <w:sz w:val="28"/>
          <w:szCs w:val="28"/>
        </w:rPr>
        <w:t>土壤渗滤液</w:t>
      </w:r>
      <w:r>
        <w:rPr>
          <w:rFonts w:hint="eastAsia" w:ascii="Times New Roman" w:hAnsi="Times New Roman"/>
          <w:sz w:val="28"/>
          <w:szCs w:val="28"/>
          <w:lang w:eastAsia="zh-CN"/>
        </w:rPr>
        <w:t>的污染</w:t>
      </w:r>
      <w:r>
        <w:rPr>
          <w:rFonts w:hint="eastAsia" w:ascii="Times New Roman" w:hAnsi="Times New Roman"/>
          <w:sz w:val="28"/>
          <w:szCs w:val="28"/>
        </w:rPr>
        <w:t>。施工过程中对场界无组织废气和场界噪声进行了多次监测，本项目整个修复过程中无环境污染事故发生。</w:t>
      </w:r>
    </w:p>
    <w:p>
      <w:pPr>
        <w:spacing w:line="360" w:lineRule="auto"/>
        <w:rPr>
          <w:rFonts w:ascii="黑体" w:hAnsi="黑体" w:eastAsia="黑体"/>
          <w:sz w:val="28"/>
          <w:szCs w:val="28"/>
        </w:rPr>
      </w:pPr>
      <w:r>
        <w:rPr>
          <w:rFonts w:hint="eastAsia" w:ascii="黑体" w:hAnsi="黑体" w:eastAsia="黑体"/>
          <w:sz w:val="28"/>
          <w:szCs w:val="28"/>
        </w:rPr>
        <w:t>3效果评估布点方案</w:t>
      </w:r>
    </w:p>
    <w:p>
      <w:pPr>
        <w:spacing w:line="360" w:lineRule="auto"/>
        <w:rPr>
          <w:rFonts w:ascii="黑体" w:hAnsi="黑体" w:eastAsia="黑体"/>
          <w:sz w:val="28"/>
          <w:szCs w:val="28"/>
        </w:rPr>
      </w:pPr>
      <w:r>
        <w:rPr>
          <w:rFonts w:hint="eastAsia" w:ascii="黑体" w:hAnsi="黑体" w:eastAsia="黑体"/>
          <w:sz w:val="28"/>
          <w:szCs w:val="28"/>
        </w:rPr>
        <w:t>3.1评估范围</w:t>
      </w:r>
    </w:p>
    <w:p>
      <w:pPr>
        <w:spacing w:line="360" w:lineRule="auto"/>
        <w:ind w:firstLine="560" w:firstLineChars="200"/>
        <w:rPr>
          <w:rFonts w:ascii="Times New Roman" w:hAnsi="Times New Roman"/>
          <w:sz w:val="28"/>
          <w:szCs w:val="28"/>
        </w:rPr>
      </w:pPr>
      <w:r>
        <w:rPr>
          <w:rFonts w:hint="eastAsia" w:ascii="Times New Roman" w:hAnsi="Times New Roman"/>
          <w:sz w:val="28"/>
          <w:szCs w:val="28"/>
        </w:rPr>
        <w:t>本修复工程验收监测的范围包括： 1）污染土壤清</w:t>
      </w:r>
      <w:r>
        <w:rPr>
          <w:rFonts w:hint="eastAsia" w:ascii="Times New Roman" w:hAnsi="Times New Roman"/>
          <w:sz w:val="28"/>
          <w:szCs w:val="28"/>
          <w:lang w:eastAsia="zh-CN"/>
        </w:rPr>
        <w:t>理</w:t>
      </w:r>
      <w:r>
        <w:rPr>
          <w:rFonts w:hint="eastAsia" w:ascii="Times New Roman" w:hAnsi="Times New Roman"/>
          <w:sz w:val="28"/>
          <w:szCs w:val="28"/>
        </w:rPr>
        <w:t>效果的验收监测</w:t>
      </w:r>
      <w:r>
        <w:rPr>
          <w:rFonts w:hint="eastAsia" w:ascii="Times New Roman" w:hAnsi="Times New Roman"/>
          <w:sz w:val="28"/>
          <w:szCs w:val="28"/>
          <w:lang w:eastAsia="zh-CN"/>
        </w:rPr>
        <w:t>：</w:t>
      </w:r>
      <w:r>
        <w:rPr>
          <w:rFonts w:hint="eastAsia" w:ascii="Times New Roman" w:hAnsi="Times New Roman"/>
          <w:sz w:val="28"/>
          <w:szCs w:val="28"/>
        </w:rPr>
        <w:t>基坑侧壁和底部土壤；2）测经过异地修复后的污染土壤；3）二次污染：包括土壤暂存区、修复设施所在区、建筑垃圾堆放区、短驳道路等区域的土壤和浅层地下水。</w:t>
      </w:r>
    </w:p>
    <w:p>
      <w:pPr>
        <w:spacing w:line="360" w:lineRule="auto"/>
        <w:rPr>
          <w:rFonts w:ascii="黑体" w:hAnsi="黑体" w:eastAsia="黑体"/>
          <w:sz w:val="28"/>
          <w:szCs w:val="28"/>
        </w:rPr>
      </w:pPr>
      <w:r>
        <w:rPr>
          <w:rFonts w:hint="eastAsia" w:ascii="黑体" w:hAnsi="黑体" w:eastAsia="黑体"/>
          <w:sz w:val="28"/>
          <w:szCs w:val="28"/>
        </w:rPr>
        <w:t>3.2布点原则与方案</w:t>
      </w:r>
    </w:p>
    <w:p>
      <w:pPr>
        <w:spacing w:line="360" w:lineRule="auto"/>
        <w:ind w:firstLine="560"/>
        <w:rPr>
          <w:rFonts w:ascii="Times New Roman" w:hAnsi="Times New Roman"/>
          <w:sz w:val="28"/>
          <w:szCs w:val="28"/>
        </w:rPr>
      </w:pPr>
      <w:r>
        <w:rPr>
          <w:rFonts w:hint="eastAsia" w:ascii="Times New Roman" w:hAnsi="Times New Roman"/>
          <w:sz w:val="28"/>
          <w:szCs w:val="28"/>
        </w:rPr>
        <w:t>依据HJ</w:t>
      </w:r>
      <w:r>
        <w:rPr>
          <w:rFonts w:ascii="Times New Roman" w:hAnsi="Times New Roman"/>
          <w:sz w:val="28"/>
          <w:szCs w:val="28"/>
        </w:rPr>
        <w:t xml:space="preserve"> </w:t>
      </w:r>
      <w:r>
        <w:rPr>
          <w:rFonts w:hint="eastAsia" w:ascii="Times New Roman" w:hAnsi="Times New Roman"/>
          <w:sz w:val="28"/>
          <w:szCs w:val="28"/>
        </w:rPr>
        <w:t>25.5-2018进行布设，基坑底部面积范围在100 m</w:t>
      </w:r>
      <w:r>
        <w:rPr>
          <w:rFonts w:hint="eastAsia" w:ascii="Times New Roman" w:hAnsi="Times New Roman"/>
          <w:sz w:val="28"/>
          <w:szCs w:val="28"/>
          <w:vertAlign w:val="superscript"/>
        </w:rPr>
        <w:t>2</w:t>
      </w:r>
      <w:r>
        <w:rPr>
          <w:rFonts w:hint="eastAsia" w:ascii="Times New Roman" w:hAnsi="Times New Roman"/>
          <w:sz w:val="28"/>
          <w:szCs w:val="28"/>
        </w:rPr>
        <w:t>-1000 m</w:t>
      </w:r>
      <w:r>
        <w:rPr>
          <w:rFonts w:hint="eastAsia" w:ascii="Times New Roman" w:hAnsi="Times New Roman"/>
          <w:sz w:val="28"/>
          <w:szCs w:val="28"/>
          <w:vertAlign w:val="superscript"/>
        </w:rPr>
        <w:t>2</w:t>
      </w:r>
      <w:r>
        <w:rPr>
          <w:rFonts w:hint="eastAsia" w:ascii="Times New Roman" w:hAnsi="Times New Roman"/>
          <w:sz w:val="28"/>
          <w:szCs w:val="28"/>
        </w:rPr>
        <w:t>时，底坑布点数量不少于3个，</w:t>
      </w:r>
      <w:r>
        <w:rPr>
          <w:rFonts w:hint="eastAsia" w:ascii="Times New Roman" w:hAnsi="Times New Roman"/>
          <w:sz w:val="28"/>
          <w:szCs w:val="28"/>
          <w:lang w:eastAsia="zh-CN"/>
        </w:rPr>
        <w:t>基坑</w:t>
      </w:r>
      <w:r>
        <w:rPr>
          <w:rFonts w:hint="eastAsia" w:ascii="Times New Roman" w:hAnsi="Times New Roman"/>
          <w:sz w:val="28"/>
          <w:szCs w:val="28"/>
        </w:rPr>
        <w:t>侧壁</w:t>
      </w:r>
      <w:r>
        <w:rPr>
          <w:rFonts w:hint="eastAsia" w:ascii="Times New Roman" w:hAnsi="Times New Roman"/>
          <w:sz w:val="28"/>
          <w:szCs w:val="28"/>
          <w:lang w:eastAsia="zh-CN"/>
        </w:rPr>
        <w:t>的最少采样数量为</w:t>
      </w:r>
      <w:r>
        <w:rPr>
          <w:rFonts w:hint="eastAsia" w:ascii="Times New Roman" w:hAnsi="Times New Roman"/>
          <w:sz w:val="28"/>
          <w:szCs w:val="28"/>
        </w:rPr>
        <w:t>5个，基坑深度大于1m时，考虑分层采样。修复后土壤依据堆体体积确定采样单元，堆土体积为</w:t>
      </w:r>
      <w:r>
        <w:rPr>
          <w:rFonts w:ascii="Times New Roman" w:hAnsi="Times New Roman"/>
          <w:sz w:val="28"/>
          <w:szCs w:val="28"/>
        </w:rPr>
        <w:t>5</w:t>
      </w:r>
      <w:r>
        <w:rPr>
          <w:rFonts w:hint="eastAsia" w:ascii="Times New Roman" w:hAnsi="Times New Roman"/>
          <w:sz w:val="28"/>
          <w:szCs w:val="28"/>
        </w:rPr>
        <w:t>00 m</w:t>
      </w:r>
      <w:r>
        <w:rPr>
          <w:rFonts w:ascii="Times New Roman" w:hAnsi="Times New Roman"/>
          <w:sz w:val="28"/>
          <w:szCs w:val="28"/>
          <w:vertAlign w:val="superscript"/>
        </w:rPr>
        <w:t>3</w:t>
      </w:r>
      <w:r>
        <w:rPr>
          <w:rFonts w:hint="eastAsia" w:ascii="Times New Roman" w:hAnsi="Times New Roman"/>
          <w:sz w:val="28"/>
          <w:szCs w:val="28"/>
        </w:rPr>
        <w:t>-1000 m</w:t>
      </w:r>
      <w:r>
        <w:rPr>
          <w:rFonts w:ascii="Times New Roman" w:hAnsi="Times New Roman"/>
          <w:sz w:val="28"/>
          <w:szCs w:val="28"/>
          <w:vertAlign w:val="superscript"/>
        </w:rPr>
        <w:t>3</w:t>
      </w:r>
      <w:r>
        <w:rPr>
          <w:rFonts w:ascii="Times New Roman" w:hAnsi="Times New Roman"/>
          <w:sz w:val="28"/>
          <w:szCs w:val="28"/>
        </w:rPr>
        <w:t>时</w:t>
      </w:r>
      <w:r>
        <w:rPr>
          <w:rFonts w:hint="eastAsia" w:ascii="Times New Roman" w:hAnsi="Times New Roman"/>
          <w:sz w:val="28"/>
          <w:szCs w:val="28"/>
        </w:rPr>
        <w:t>，</w:t>
      </w:r>
      <w:r>
        <w:rPr>
          <w:rFonts w:hint="eastAsia" w:ascii="Times New Roman" w:hAnsi="Times New Roman"/>
          <w:sz w:val="28"/>
          <w:szCs w:val="28"/>
          <w:lang w:eastAsia="zh-CN"/>
        </w:rPr>
        <w:t>需布设不少于</w:t>
      </w:r>
      <w:r>
        <w:rPr>
          <w:rFonts w:hint="eastAsia" w:ascii="Times New Roman" w:hAnsi="Times New Roman"/>
          <w:sz w:val="28"/>
          <w:szCs w:val="28"/>
        </w:rPr>
        <w:t>4个</w:t>
      </w:r>
      <w:r>
        <w:rPr>
          <w:rFonts w:hint="eastAsia" w:ascii="Times New Roman" w:hAnsi="Times New Roman"/>
          <w:sz w:val="28"/>
          <w:szCs w:val="28"/>
          <w:lang w:eastAsia="zh-CN"/>
        </w:rPr>
        <w:t>的</w:t>
      </w:r>
      <w:r>
        <w:rPr>
          <w:rFonts w:hint="eastAsia" w:ascii="Times New Roman" w:hAnsi="Times New Roman"/>
          <w:sz w:val="28"/>
          <w:szCs w:val="28"/>
        </w:rPr>
        <w:t>采样点位，</w:t>
      </w:r>
      <w:r>
        <w:rPr>
          <w:rFonts w:hint="eastAsia" w:ascii="Times New Roman" w:hAnsi="Times New Roman"/>
          <w:sz w:val="28"/>
          <w:szCs w:val="28"/>
          <w:lang w:eastAsia="zh-CN"/>
        </w:rPr>
        <w:t>每</w:t>
      </w:r>
      <w:r>
        <w:rPr>
          <w:rFonts w:hint="eastAsia" w:ascii="Times New Roman" w:hAnsi="Times New Roman"/>
          <w:sz w:val="28"/>
          <w:szCs w:val="28"/>
        </w:rPr>
        <w:t>增加5</w:t>
      </w:r>
      <w:r>
        <w:rPr>
          <w:rFonts w:ascii="Times New Roman" w:hAnsi="Times New Roman"/>
          <w:sz w:val="28"/>
          <w:szCs w:val="28"/>
        </w:rPr>
        <w:t>00</w:t>
      </w:r>
      <w:r>
        <w:rPr>
          <w:rFonts w:hint="eastAsia" w:ascii="Times New Roman" w:hAnsi="Times New Roman"/>
          <w:sz w:val="28"/>
          <w:szCs w:val="28"/>
        </w:rPr>
        <w:t xml:space="preserve"> m</w:t>
      </w:r>
      <w:r>
        <w:rPr>
          <w:rFonts w:ascii="Times New Roman" w:hAnsi="Times New Roman"/>
          <w:sz w:val="28"/>
          <w:szCs w:val="28"/>
          <w:vertAlign w:val="superscript"/>
        </w:rPr>
        <w:t>3</w:t>
      </w:r>
      <w:r>
        <w:rPr>
          <w:rFonts w:hint="eastAsia" w:ascii="Times New Roman" w:hAnsi="Times New Roman"/>
          <w:sz w:val="28"/>
          <w:szCs w:val="28"/>
        </w:rPr>
        <w:t>，</w:t>
      </w:r>
      <w:r>
        <w:rPr>
          <w:rFonts w:hint="eastAsia" w:ascii="Times New Roman" w:hAnsi="Times New Roman"/>
          <w:sz w:val="28"/>
          <w:szCs w:val="28"/>
          <w:lang w:eastAsia="zh-CN"/>
        </w:rPr>
        <w:t>相应增设</w:t>
      </w:r>
      <w:r>
        <w:rPr>
          <w:rFonts w:hint="eastAsia" w:ascii="Times New Roman" w:hAnsi="Times New Roman"/>
          <w:sz w:val="28"/>
          <w:szCs w:val="28"/>
          <w:lang w:val="en-US" w:eastAsia="zh-CN"/>
        </w:rPr>
        <w:t>1点位</w:t>
      </w:r>
      <w:r>
        <w:rPr>
          <w:rFonts w:hint="eastAsia" w:ascii="Times New Roman" w:hAnsi="Times New Roman"/>
          <w:sz w:val="28"/>
          <w:szCs w:val="28"/>
        </w:rPr>
        <w:t>。</w:t>
      </w:r>
    </w:p>
    <w:p>
      <w:pPr>
        <w:spacing w:line="360" w:lineRule="auto"/>
        <w:ind w:firstLine="560"/>
        <w:rPr>
          <w:rFonts w:ascii="Times New Roman" w:hAnsi="Times New Roman"/>
          <w:sz w:val="28"/>
          <w:szCs w:val="28"/>
        </w:rPr>
      </w:pPr>
      <w:r>
        <w:rPr>
          <w:rFonts w:hint="eastAsia" w:ascii="Times New Roman" w:hAnsi="Times New Roman"/>
          <w:sz w:val="28"/>
          <w:szCs w:val="28"/>
        </w:rPr>
        <w:t>本项目基坑内根据不同污染深度分成</w:t>
      </w:r>
      <w:r>
        <w:rPr>
          <w:rFonts w:ascii="Times New Roman" w:hAnsi="Times New Roman"/>
          <w:sz w:val="28"/>
          <w:szCs w:val="28"/>
        </w:rPr>
        <w:fldChar w:fldCharType="begin"/>
      </w:r>
      <w:r>
        <w:rPr>
          <w:rFonts w:ascii="Times New Roman" w:hAnsi="Times New Roman"/>
          <w:sz w:val="28"/>
          <w:szCs w:val="28"/>
        </w:rPr>
        <w:instrText xml:space="preserve"> = 1 \* ROMAN \* MERGEFORMAT </w:instrText>
      </w:r>
      <w:r>
        <w:rPr>
          <w:rFonts w:ascii="Times New Roman" w:hAnsi="Times New Roman"/>
          <w:sz w:val="28"/>
          <w:szCs w:val="28"/>
        </w:rPr>
        <w:fldChar w:fldCharType="separate"/>
      </w:r>
      <w:r>
        <w:rPr>
          <w:rFonts w:ascii="Times New Roman" w:hAnsi="Times New Roman"/>
        </w:rPr>
        <w:t>I</w:t>
      </w:r>
      <w:r>
        <w:rPr>
          <w:rFonts w:ascii="Times New Roman" w:hAnsi="Times New Roman"/>
          <w:sz w:val="28"/>
          <w:szCs w:val="28"/>
        </w:rPr>
        <w:fldChar w:fldCharType="end"/>
      </w:r>
      <w:r>
        <w:rPr>
          <w:rFonts w:ascii="Times New Roman" w:hAnsi="Times New Roman"/>
          <w:sz w:val="28"/>
          <w:szCs w:val="28"/>
        </w:rPr>
        <w:t>，</w:t>
      </w:r>
      <w:r>
        <w:rPr>
          <w:rFonts w:ascii="Times New Roman" w:hAnsi="Times New Roman"/>
          <w:sz w:val="28"/>
          <w:szCs w:val="28"/>
        </w:rPr>
        <w:fldChar w:fldCharType="begin"/>
      </w:r>
      <w:r>
        <w:rPr>
          <w:rFonts w:ascii="Times New Roman" w:hAnsi="Times New Roman"/>
          <w:sz w:val="28"/>
          <w:szCs w:val="28"/>
        </w:rPr>
        <w:instrText xml:space="preserve"> = 2 \* ROMAN \* MERGEFORMAT </w:instrText>
      </w:r>
      <w:r>
        <w:rPr>
          <w:rFonts w:ascii="Times New Roman" w:hAnsi="Times New Roman"/>
          <w:sz w:val="28"/>
          <w:szCs w:val="28"/>
        </w:rPr>
        <w:fldChar w:fldCharType="separate"/>
      </w:r>
      <w:r>
        <w:rPr>
          <w:rFonts w:ascii="Times New Roman" w:hAnsi="Times New Roman"/>
        </w:rPr>
        <w:t>II</w:t>
      </w:r>
      <w:r>
        <w:rPr>
          <w:rFonts w:ascii="Times New Roman" w:hAnsi="Times New Roman"/>
          <w:sz w:val="28"/>
          <w:szCs w:val="28"/>
        </w:rPr>
        <w:fldChar w:fldCharType="end"/>
      </w:r>
      <w:r>
        <w:rPr>
          <w:rFonts w:hint="eastAsia" w:ascii="Times New Roman" w:hAnsi="Times New Roman"/>
          <w:sz w:val="28"/>
          <w:szCs w:val="28"/>
        </w:rPr>
        <w:t>两个区域，验收时</w:t>
      </w:r>
      <w:r>
        <w:rPr>
          <w:rFonts w:ascii="Times New Roman" w:hAnsi="Times New Roman"/>
          <w:sz w:val="28"/>
          <w:szCs w:val="28"/>
        </w:rPr>
        <w:fldChar w:fldCharType="begin"/>
      </w:r>
      <w:r>
        <w:rPr>
          <w:rFonts w:ascii="Times New Roman" w:hAnsi="Times New Roman"/>
          <w:sz w:val="28"/>
          <w:szCs w:val="28"/>
        </w:rPr>
        <w:instrText xml:space="preserve"> = 1 \* ROMAN \* MERGEFORMAT </w:instrText>
      </w:r>
      <w:r>
        <w:rPr>
          <w:rFonts w:ascii="Times New Roman" w:hAnsi="Times New Roman"/>
          <w:sz w:val="28"/>
          <w:szCs w:val="28"/>
        </w:rPr>
        <w:fldChar w:fldCharType="separate"/>
      </w:r>
      <w:r>
        <w:rPr>
          <w:rFonts w:ascii="Times New Roman" w:hAnsi="Times New Roman"/>
        </w:rPr>
        <w:t>I</w:t>
      </w:r>
      <w:r>
        <w:rPr>
          <w:rFonts w:ascii="Times New Roman" w:hAnsi="Times New Roman"/>
          <w:sz w:val="28"/>
          <w:szCs w:val="28"/>
        </w:rPr>
        <w:fldChar w:fldCharType="end"/>
      </w:r>
      <w:r>
        <w:rPr>
          <w:rFonts w:hint="eastAsia" w:ascii="Times New Roman" w:hAnsi="Times New Roman"/>
          <w:sz w:val="28"/>
          <w:szCs w:val="28"/>
        </w:rPr>
        <w:t>区域底部布设4个采样单元，</w:t>
      </w:r>
      <w:r>
        <w:rPr>
          <w:rFonts w:ascii="Times New Roman" w:hAnsi="Times New Roman"/>
          <w:sz w:val="28"/>
          <w:szCs w:val="28"/>
        </w:rPr>
        <w:fldChar w:fldCharType="begin"/>
      </w:r>
      <w:r>
        <w:rPr>
          <w:rFonts w:ascii="Times New Roman" w:hAnsi="Times New Roman"/>
          <w:sz w:val="28"/>
          <w:szCs w:val="28"/>
        </w:rPr>
        <w:instrText xml:space="preserve"> = 2 \* ROMAN \* MERGEFORMAT </w:instrText>
      </w:r>
      <w:r>
        <w:rPr>
          <w:rFonts w:ascii="Times New Roman" w:hAnsi="Times New Roman"/>
          <w:sz w:val="28"/>
          <w:szCs w:val="28"/>
        </w:rPr>
        <w:fldChar w:fldCharType="separate"/>
      </w:r>
      <w:r>
        <w:rPr>
          <w:rFonts w:ascii="Times New Roman" w:hAnsi="Times New Roman"/>
        </w:rPr>
        <w:t>II</w:t>
      </w:r>
      <w:r>
        <w:rPr>
          <w:rFonts w:ascii="Times New Roman" w:hAnsi="Times New Roman"/>
          <w:sz w:val="28"/>
          <w:szCs w:val="28"/>
        </w:rPr>
        <w:fldChar w:fldCharType="end"/>
      </w:r>
      <w:r>
        <w:rPr>
          <w:rFonts w:hint="eastAsia" w:ascii="Times New Roman" w:hAnsi="Times New Roman"/>
          <w:sz w:val="28"/>
          <w:szCs w:val="28"/>
        </w:rPr>
        <w:t>区域底部布设5个采样单元，基坑侧壁布设5个采样单元，基坑内部</w:t>
      </w:r>
      <w:r>
        <w:rPr>
          <w:rFonts w:ascii="Times New Roman" w:hAnsi="Times New Roman"/>
          <w:sz w:val="28"/>
          <w:szCs w:val="28"/>
        </w:rPr>
        <w:fldChar w:fldCharType="begin"/>
      </w:r>
      <w:r>
        <w:rPr>
          <w:rFonts w:ascii="Times New Roman" w:hAnsi="Times New Roman"/>
          <w:sz w:val="28"/>
          <w:szCs w:val="28"/>
        </w:rPr>
        <w:instrText xml:space="preserve"> = 1 \* ROMAN \* MERGEFORMAT </w:instrText>
      </w:r>
      <w:r>
        <w:rPr>
          <w:rFonts w:ascii="Times New Roman" w:hAnsi="Times New Roman"/>
          <w:sz w:val="28"/>
          <w:szCs w:val="28"/>
        </w:rPr>
        <w:fldChar w:fldCharType="separate"/>
      </w:r>
      <w:r>
        <w:rPr>
          <w:rFonts w:ascii="Times New Roman" w:hAnsi="Times New Roman"/>
        </w:rPr>
        <w:t>I</w:t>
      </w:r>
      <w:r>
        <w:rPr>
          <w:rFonts w:ascii="Times New Roman" w:hAnsi="Times New Roman"/>
          <w:sz w:val="28"/>
          <w:szCs w:val="28"/>
        </w:rPr>
        <w:fldChar w:fldCharType="end"/>
      </w:r>
      <w:r>
        <w:rPr>
          <w:rFonts w:ascii="Times New Roman" w:hAnsi="Times New Roman"/>
          <w:sz w:val="28"/>
          <w:szCs w:val="28"/>
        </w:rPr>
        <w:t>，</w:t>
      </w:r>
      <w:r>
        <w:rPr>
          <w:rFonts w:ascii="Times New Roman" w:hAnsi="Times New Roman"/>
          <w:sz w:val="28"/>
          <w:szCs w:val="28"/>
        </w:rPr>
        <w:fldChar w:fldCharType="begin"/>
      </w:r>
      <w:r>
        <w:rPr>
          <w:rFonts w:ascii="Times New Roman" w:hAnsi="Times New Roman"/>
          <w:sz w:val="28"/>
          <w:szCs w:val="28"/>
        </w:rPr>
        <w:instrText xml:space="preserve"> = 2 \* ROMAN \* MERGEFORMAT </w:instrText>
      </w:r>
      <w:r>
        <w:rPr>
          <w:rFonts w:ascii="Times New Roman" w:hAnsi="Times New Roman"/>
          <w:sz w:val="28"/>
          <w:szCs w:val="28"/>
        </w:rPr>
        <w:fldChar w:fldCharType="separate"/>
      </w:r>
      <w:r>
        <w:rPr>
          <w:rFonts w:ascii="Times New Roman" w:hAnsi="Times New Roman"/>
        </w:rPr>
        <w:t>II</w:t>
      </w:r>
      <w:r>
        <w:rPr>
          <w:rFonts w:ascii="Times New Roman" w:hAnsi="Times New Roman"/>
          <w:sz w:val="28"/>
          <w:szCs w:val="28"/>
        </w:rPr>
        <w:fldChar w:fldCharType="end"/>
      </w:r>
      <w:r>
        <w:rPr>
          <w:rFonts w:hint="eastAsia" w:ascii="Times New Roman" w:hAnsi="Times New Roman"/>
          <w:sz w:val="28"/>
          <w:szCs w:val="28"/>
        </w:rPr>
        <w:t>两个区域高差形成的侧壁布设1个采样单元，因基坑深度大于1m，侧壁均分两层采样，采样深度为0</w:t>
      </w:r>
      <w:r>
        <w:rPr>
          <w:rFonts w:ascii="Times New Roman" w:hAnsi="Times New Roman"/>
          <w:sz w:val="28"/>
          <w:szCs w:val="28"/>
        </w:rPr>
        <w:t>.2 m和</w:t>
      </w:r>
      <w:r>
        <w:rPr>
          <w:rFonts w:hint="eastAsia" w:ascii="Times New Roman" w:hAnsi="Times New Roman"/>
          <w:sz w:val="28"/>
          <w:szCs w:val="28"/>
        </w:rPr>
        <w:t>1</w:t>
      </w:r>
      <w:r>
        <w:rPr>
          <w:rFonts w:ascii="Times New Roman" w:hAnsi="Times New Roman"/>
          <w:sz w:val="28"/>
          <w:szCs w:val="28"/>
        </w:rPr>
        <w:t>.2 m</w:t>
      </w:r>
      <w:r>
        <w:rPr>
          <w:rFonts w:hint="eastAsia" w:ascii="Times New Roman" w:hAnsi="Times New Roman"/>
          <w:sz w:val="28"/>
          <w:szCs w:val="28"/>
        </w:rPr>
        <w:t>。实际</w:t>
      </w:r>
      <w:r>
        <w:rPr>
          <w:rFonts w:hint="eastAsia" w:ascii="Times New Roman" w:hAnsi="Times New Roman"/>
          <w:sz w:val="28"/>
          <w:szCs w:val="28"/>
          <w:lang w:eastAsia="zh-CN"/>
        </w:rPr>
        <w:t>修复工程量为</w:t>
      </w:r>
      <w:r>
        <w:rPr>
          <w:rFonts w:hint="eastAsia" w:ascii="Times New Roman" w:hAnsi="Times New Roman"/>
          <w:sz w:val="28"/>
          <w:szCs w:val="28"/>
        </w:rPr>
        <w:t>2</w:t>
      </w:r>
      <w:r>
        <w:rPr>
          <w:rFonts w:ascii="Times New Roman" w:hAnsi="Times New Roman"/>
          <w:sz w:val="28"/>
          <w:szCs w:val="28"/>
        </w:rPr>
        <w:t>710</w:t>
      </w:r>
      <w:r>
        <w:rPr>
          <w:rFonts w:hint="eastAsia" w:ascii="Times New Roman" w:hAnsi="Times New Roman"/>
          <w:sz w:val="28"/>
          <w:szCs w:val="28"/>
          <w:lang w:val="en-US" w:eastAsia="zh-CN"/>
        </w:rPr>
        <w:t xml:space="preserve"> </w:t>
      </w:r>
      <w:r>
        <w:rPr>
          <w:rFonts w:hint="eastAsia" w:ascii="Times New Roman" w:hAnsi="Times New Roman"/>
          <w:sz w:val="28"/>
          <w:szCs w:val="28"/>
        </w:rPr>
        <w:t>m</w:t>
      </w:r>
      <w:r>
        <w:rPr>
          <w:rFonts w:hint="eastAsia" w:ascii="Times New Roman" w:hAnsi="Times New Roman"/>
          <w:sz w:val="28"/>
          <w:szCs w:val="28"/>
          <w:vertAlign w:val="superscript"/>
        </w:rPr>
        <w:t>3</w:t>
      </w:r>
      <w:r>
        <w:rPr>
          <w:rFonts w:hint="eastAsia" w:ascii="Times New Roman" w:hAnsi="Times New Roman"/>
          <w:sz w:val="28"/>
          <w:szCs w:val="28"/>
        </w:rPr>
        <w:t>，共布设12个采样单元。采样布点见图1和图2。</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41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93" w:hRule="atLeast"/>
        </w:trPr>
        <w:tc>
          <w:tcPr>
            <w:tcW w:w="8418" w:type="dxa"/>
          </w:tcPr>
          <w:p>
            <w:pPr>
              <w:pStyle w:val="25"/>
              <w:rPr>
                <w:color w:val="000000" w:themeColor="text1"/>
                <w14:textFill>
                  <w14:solidFill>
                    <w14:schemeClr w14:val="tx1"/>
                  </w14:solidFill>
                </w14:textFill>
              </w:rPr>
            </w:pPr>
          </w:p>
          <w:p>
            <w:pPr>
              <w:pStyle w:val="25"/>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3564890</wp:posOffset>
                      </wp:positionH>
                      <wp:positionV relativeFrom="paragraph">
                        <wp:posOffset>2785110</wp:posOffset>
                      </wp:positionV>
                      <wp:extent cx="1956435" cy="9785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56435" cy="978535"/>
                              </a:xfrm>
                              <a:prstGeom prst="rect">
                                <a:avLst/>
                              </a:prstGeom>
                              <a:solidFill>
                                <a:srgbClr val="FFFFFF">
                                  <a:alpha val="0"/>
                                </a:srgbClr>
                              </a:solidFill>
                              <a:ln>
                                <a:noFill/>
                              </a:ln>
                            </wps:spPr>
                            <wps:txbx>
                              <w:txbxContent>
                                <w:p>
                                  <w:pPr>
                                    <w:jc w:val="center"/>
                                    <w:rPr>
                                      <w:b/>
                                      <w:sz w:val="28"/>
                                      <w:szCs w:val="28"/>
                                    </w:rPr>
                                  </w:pPr>
                                  <w:r>
                                    <w:rPr>
                                      <w:b/>
                                      <w:sz w:val="28"/>
                                      <w:szCs w:val="28"/>
                                    </w:rPr>
                                    <w:t>图例</w:t>
                                  </w:r>
                                </w:p>
                                <w:p>
                                  <w:pPr>
                                    <w:ind w:firstLine="630" w:firstLineChars="300"/>
                                    <w:rPr>
                                      <w:szCs w:val="21"/>
                                    </w:rPr>
                                  </w:pPr>
                                  <w:r>
                                    <w:rPr>
                                      <w:szCs w:val="21"/>
                                    </w:rPr>
                                    <w:t>基坑底部采样点位</w:t>
                                  </w:r>
                                </w:p>
                                <w:p>
                                  <w:pPr>
                                    <w:ind w:firstLine="630" w:firstLineChars="300"/>
                                    <w:rPr>
                                      <w:szCs w:val="21"/>
                                    </w:rPr>
                                  </w:pPr>
                                  <w:r>
                                    <w:rPr>
                                      <w:rFonts w:hint="eastAsia"/>
                                      <w:szCs w:val="21"/>
                                    </w:rPr>
                                    <w:t>基坑侧壁采样点位</w:t>
                                  </w:r>
                                </w:p>
                              </w:txbxContent>
                            </wps:txbx>
                            <wps:bodyPr upright="1"/>
                          </wps:wsp>
                        </a:graphicData>
                      </a:graphic>
                    </wp:anchor>
                  </w:drawing>
                </mc:Choice>
                <mc:Fallback>
                  <w:pict>
                    <v:shape id="_x0000_s1026" o:spid="_x0000_s1026" o:spt="202" type="#_x0000_t202" style="position:absolute;left:0pt;margin-left:280.7pt;margin-top:219.3pt;height:77.05pt;width:154.05pt;z-index:251680768;mso-width-relative:page;mso-height-relative:page;" fillcolor="#FFFFFF" filled="t" stroked="f" coordsize="21600,21600" o:gfxdata="UEsDBAoAAAAAAIdO4kAAAAAAAAAAAAAAAAAEAAAAZHJzL1BLAwQUAAAACACHTuJAUVosltoAAAAL&#10;AQAADwAAAGRycy9kb3ducmV2LnhtbE2PQU+DQBCF7yb+h82YeDF2AVu6RZYeGj2YqIlY7wuMQGVn&#10;Cbtt8d87nvQ4eV/e+ybfznYQJ5x870hDvIhAINWu6anVsH9/vFUgfDDUmMERavhGD9vi8iI3WePO&#10;9IanMrSCS8hnRkMXwphJ6esOrfELNyJx9ukmawKfUyubyZy53A4yiaJUWtMTL3RmxF2H9Vd5tLz7&#10;MKvxo3reHZ7Km+qQvFL/okjr66s4ugcRcA5/MPzqszoU7FS5IzVeDBpWabxkVMPyTqUgmFDpZgWi&#10;4miTrEEWufz/Q/EDUEsDBBQAAAAIAIdO4kDOjNsXsQEAAEYDAAAOAAAAZHJzL2Uyb0RvYy54bWyt&#10;Us1uEzEQviPxDpbvjdOUlHaVTSWowgUBUuEBHK9315LtsTxudvMC8AacuHDnufIcjL1pCvRWsQfv&#10;/Pmb+b7x6mZ0lu10RAO+5uezOWfaK2iM72r+5fPm7IozTNI30oLXNd9r5Dfrly9WQ6j0AnqwjY6M&#10;QDxWQ6h5n1KohEDVaydxBkF7SrYQnUzkxk40UQ6E7qxYzOeXYoDYhAhKI1L0dkrydcFvW63Sx7ZF&#10;nZitOc2WyhnLuc2nWK9k1UUZeqOOY8hnTOGk8dT0BHUrk2T30TyBckZFQGjTTIET0LZG6cKB2JzP&#10;/2Fz18ugCxcSB8NJJvx/sOrD7lNkpqn5gjMvHa3o8P3b4cevw8+vbJHlGQJWVHUXqC6Nb2CkNT/E&#10;kYKZ9dhGl//Eh1GehN6fxNVjYipful5evrpYcqYod/36akk2wYvH2yFieqfBsWzUPNLyiqZy9x7T&#10;VPpQkpshWNNsjLXFid32rY1sJ2nRm/JNd23o5RQty6Z2OJWW1n9hWJ+RPGTMqV2OiCzARDRbadyO&#10;R1W20OxJlPsQTdfTwEWWUk7LKvDHh5Vfw59+AX18/u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VosltoAAAALAQAADwAAAAAAAAABACAAAAAiAAAAZHJzL2Rvd25yZXYueG1sUEsBAhQAFAAAAAgA&#10;h07iQM6M2xexAQAARgMAAA4AAAAAAAAAAQAgAAAAKQEAAGRycy9lMm9Eb2MueG1sUEsFBgAAAAAG&#10;AAYAWQEAAEwFAAAAAA==&#10;">
                      <v:fill on="t" opacity="0f" focussize="0,0"/>
                      <v:stroke on="f"/>
                      <v:imagedata o:title=""/>
                      <o:lock v:ext="edit" aspectratio="f"/>
                      <v:textbox>
                        <w:txbxContent>
                          <w:p>
                            <w:pPr>
                              <w:jc w:val="center"/>
                              <w:rPr>
                                <w:b/>
                                <w:sz w:val="28"/>
                                <w:szCs w:val="28"/>
                              </w:rPr>
                            </w:pPr>
                            <w:r>
                              <w:rPr>
                                <w:b/>
                                <w:sz w:val="28"/>
                                <w:szCs w:val="28"/>
                              </w:rPr>
                              <w:t>图例</w:t>
                            </w:r>
                          </w:p>
                          <w:p>
                            <w:pPr>
                              <w:ind w:firstLine="630" w:firstLineChars="300"/>
                              <w:rPr>
                                <w:szCs w:val="21"/>
                              </w:rPr>
                            </w:pPr>
                            <w:r>
                              <w:rPr>
                                <w:szCs w:val="21"/>
                              </w:rPr>
                              <w:t>基坑底部采样点位</w:t>
                            </w:r>
                          </w:p>
                          <w:p>
                            <w:pPr>
                              <w:ind w:firstLine="630" w:firstLineChars="300"/>
                              <w:rPr>
                                <w:szCs w:val="21"/>
                              </w:rPr>
                            </w:pPr>
                            <w:r>
                              <w:rPr>
                                <w:rFonts w:hint="eastAsia"/>
                                <w:szCs w:val="21"/>
                              </w:rPr>
                              <w:t>基坑侧壁采样点位</w:t>
                            </w:r>
                          </w:p>
                        </w:txbxContent>
                      </v:textbox>
                    </v:shape>
                  </w:pict>
                </mc:Fallback>
              </mc:AlternateContent>
            </w:r>
            <w:r>
              <w:drawing>
                <wp:inline distT="0" distB="0" distL="114300" distR="114300">
                  <wp:extent cx="4054475" cy="3013075"/>
                  <wp:effectExtent l="0" t="0" r="317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054475" cy="3013075"/>
                          </a:xfrm>
                          <a:prstGeom prst="rect">
                            <a:avLst/>
                          </a:prstGeom>
                          <a:noFill/>
                          <a:ln>
                            <a:noFill/>
                          </a:ln>
                        </pic:spPr>
                      </pic:pic>
                    </a:graphicData>
                  </a:graphic>
                </wp:inline>
              </w:drawing>
            </w:r>
            <w:r>
              <w:rPr>
                <w:color w:val="000000" w:themeColor="text1"/>
                <w14:textFill>
                  <w14:solidFill>
                    <w14:schemeClr w14:val="tx1"/>
                  </w14:solidFill>
                </w14:textFill>
              </w:rPr>
              <w:drawing>
                <wp:anchor distT="0" distB="0" distL="114300" distR="114300" simplePos="0" relativeHeight="251639808" behindDoc="0" locked="0" layoutInCell="1" allowOverlap="1">
                  <wp:simplePos x="0" y="0"/>
                  <wp:positionH relativeFrom="column">
                    <wp:posOffset>4351020</wp:posOffset>
                  </wp:positionH>
                  <wp:positionV relativeFrom="paragraph">
                    <wp:posOffset>114935</wp:posOffset>
                  </wp:positionV>
                  <wp:extent cx="885825" cy="885825"/>
                  <wp:effectExtent l="0" t="0" r="9525" b="9525"/>
                  <wp:wrapNone/>
                  <wp:docPr id="909" name="图片 16" descr="https://ss0.bdstatic.com/70cFuHSh_Q1YnxGkpoWK1HF6hhy/it/u=2800038805,149932112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16" descr="https://ss0.bdstatic.com/70cFuHSh_Q1YnxGkpoWK1HF6hhy/it/u=2800038805,1499321125&amp;fm=26&amp;gp=0.jpg"/>
                          <pic:cNvPicPr>
                            <a:picLocks noChangeAspect="1" noChangeArrowheads="1"/>
                          </pic:cNvPicPr>
                        </pic:nvPicPr>
                        <pic:blipFill>
                          <a:blip r:embed="rId5" cstate="print"/>
                          <a:srcRect/>
                          <a:stretch>
                            <a:fillRect/>
                          </a:stretch>
                        </pic:blipFill>
                        <pic:spPr>
                          <a:xfrm>
                            <a:off x="0" y="0"/>
                            <a:ext cx="885825" cy="885825"/>
                          </a:xfrm>
                          <a:prstGeom prst="rect">
                            <a:avLst/>
                          </a:prstGeom>
                          <a:noFill/>
                          <a:ln w="9525">
                            <a:noFill/>
                            <a:miter lim="800000"/>
                            <a:headEnd/>
                            <a:tailEnd/>
                          </a:ln>
                        </pic:spPr>
                      </pic:pic>
                    </a:graphicData>
                  </a:graphic>
                </wp:anchor>
              </w:drawing>
            </w:r>
          </w:p>
          <w:p>
            <w:pPr>
              <w:pStyle w:val="25"/>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07392" behindDoc="0" locked="0" layoutInCell="1" allowOverlap="1">
                      <wp:simplePos x="0" y="0"/>
                      <wp:positionH relativeFrom="column">
                        <wp:posOffset>3642995</wp:posOffset>
                      </wp:positionH>
                      <wp:positionV relativeFrom="paragraph">
                        <wp:posOffset>85090</wp:posOffset>
                      </wp:positionV>
                      <wp:extent cx="201930" cy="191135"/>
                      <wp:effectExtent l="4445" t="4445" r="22225" b="13970"/>
                      <wp:wrapNone/>
                      <wp:docPr id="4" name="流程图: 联系 4"/>
                      <wp:cNvGraphicFramePr/>
                      <a:graphic xmlns:a="http://schemas.openxmlformats.org/drawingml/2006/main">
                        <a:graphicData uri="http://schemas.microsoft.com/office/word/2010/wordprocessingShape">
                          <wps:wsp>
                            <wps:cNvSpPr/>
                            <wps:spPr>
                              <a:xfrm>
                                <a:off x="0" y="0"/>
                                <a:ext cx="201930" cy="191135"/>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20" type="#_x0000_t120" style="position:absolute;left:0pt;margin-left:286.85pt;margin-top:6.7pt;height:15.05pt;width:15.9pt;z-index:251707392;mso-width-relative:page;mso-height-relative:page;" fillcolor="#FFFFFF" filled="t" stroked="t" coordsize="21600,21600" o:gfxdata="UEsDBAoAAAAAAIdO4kAAAAAAAAAAAAAAAAAEAAAAZHJzL1BLAwQUAAAACACHTuJA3KpoR9gAAAAJ&#10;AQAADwAAAGRycy9kb3ducmV2LnhtbE2PwU7DMBBE70j8g7VI3Khd0jRVGqcCBFLFpaIgcXXjJYmw&#10;11HsNu3fs5zguJqnmbfV5uydOOEY+0Aa5jMFAqkJtqdWw8f7y90KREyGrHGBUMMFI2zq66vKlDZM&#10;9IanfWoFl1AsjYYupaGUMjYdehNnYUDi7CuM3iQ+x1ba0Uxc7p28V2opvemJFzoz4FOHzff+6DWk&#10;7cW99pPb+eL54XPKHvMt4aD17c1crUEkPKc/GH71WR1qdjqEI9konIa8yApGOcgWIBhYqjwHcdCw&#10;yHKQdSX/f1D/AFBLAwQUAAAACACHTuJAFXYc+vYBAADeAwAADgAAAGRycy9lMm9Eb2MueG1srVPN&#10;bhMxEL4j8Q6W72SzbYPIKpseEsIFQaXCA0z8s2vJf7LdbHLsmSs3XoA74oTUt4HyGIydkLbAASH2&#10;4J3xzHwz8814dr41mmxEiMrZltajMSXCMseV7Vr69s3qyTNKYgLLQTsrWroTkZ7PHz+aDb4RJ653&#10;motAEMTGZvAt7VPyTVVF1gsDceS8sGiULhhIqIau4gEGRDe6OhmPn1aDC9wHx0SMeLvcG+m84Esp&#10;WHotZRSJ6JZibamcoZzrfFbzGTRdAN8rdigD/qEKA8pi0iPUEhKQq6B+gzKKBRedTCPmTOWkVEyU&#10;HrCbevxLN5c9eFF6QXKiP9IU/x8se7W5CETxlp5RYsHgiL59vr79+O7rh5uGfL9+f/vpCznLNA0+&#10;Nuh96S/CQYso5p63Mpj8x27ItlC7O1IrtokwvMTupqc4AIamelrXp5OMWd0F+xDTC+EMyUJLpXbD&#10;ooeQFs5anKILhV7YvIxpH/gzIGeOTiu+UloXJXTrhQ5kAzjzVfkOuR64aUuGlk4nJxOsCnD1pIaE&#10;ovFIRrRdyfcgIt4HHpfvT8C5sCXEfl9AQchu0PQC+HPLSdp5pNnie6C5BCM4JVrg88lS8Uyg9N94&#10;In/aIo15NvtpZGnt+A6HeuWD6nrksi5VZgsuUSH9sPB5S+/rBenuWc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yqaEfYAAAACQEAAA8AAAAAAAAAAQAgAAAAIgAAAGRycy9kb3ducmV2LnhtbFBL&#10;AQIUABQAAAAIAIdO4kAVdhz69gEAAN4DAAAOAAAAAAAAAAEAIAAAACcBAABkcnMvZTJvRG9jLnht&#10;bFBLBQYAAAAABgAGAFkBAACPBQAAAAA=&#10;">
                      <v:fill on="t" focussize="0,0"/>
                      <v:stroke color="#000000" joinstyle="round"/>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8418" w:type="dxa"/>
            <w:tcBorders>
              <w:bottom w:val="single" w:color="auto" w:sz="4" w:space="0"/>
            </w:tcBorders>
          </w:tcPr>
          <w:p>
            <w:pPr>
              <w:pStyle w:val="25"/>
              <w:jc w:val="center"/>
              <w:rPr>
                <w:b/>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3651250</wp:posOffset>
                      </wp:positionH>
                      <wp:positionV relativeFrom="paragraph">
                        <wp:posOffset>113030</wp:posOffset>
                      </wp:positionV>
                      <wp:extent cx="201930" cy="170180"/>
                      <wp:effectExtent l="8255" t="9525" r="18415" b="10795"/>
                      <wp:wrapNone/>
                      <wp:docPr id="1" name="等腰三角形 1"/>
                      <wp:cNvGraphicFramePr/>
                      <a:graphic xmlns:a="http://schemas.openxmlformats.org/drawingml/2006/main">
                        <a:graphicData uri="http://schemas.microsoft.com/office/word/2010/wordprocessingShape">
                          <wps:wsp>
                            <wps:cNvSpPr/>
                            <wps:spPr>
                              <a:xfrm>
                                <a:off x="0" y="0"/>
                                <a:ext cx="201930" cy="17018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5" type="#_x0000_t5" style="position:absolute;left:0pt;margin-left:287.5pt;margin-top:8.9pt;height:13.4pt;width:15.9pt;z-index:251681792;mso-width-relative:page;mso-height-relative:page;" fillcolor="#FFFFFF" filled="t" stroked="t" coordsize="21600,21600" o:gfxdata="UEsDBAoAAAAAAIdO4kAAAAAAAAAAAAAAAAAEAAAAZHJzL1BLAwQUAAAACACHTuJA/oYR5dgAAAAJ&#10;AQAADwAAAGRycy9kb3ducmV2LnhtbE2PQUvDQBCF74L/YRnBi9jdSptIzKYHQQQvYlOE3qbZMQnJ&#10;zpbspq3/3vGkt3m8x5v3lZuLH9WJptgHtrBcGFDETXA9txZ29cv9I6iYkB2OgcnCN0XYVNdXJRYu&#10;nPmDTtvUKinhWKCFLqVjoXVsOvIYF+FILN5XmDwmkVOr3YRnKfejfjAm0x57lg8dHum5o2bYzt4C&#10;DvvPN+/e9Vy3vXndz3d5PZC1tzdL8wQq0SX9heF3vkyHSjYdwswuqtHCOl8LSxIjFwQJZCaT42Bh&#10;tcpAV6X+T1D9AFBLAwQUAAAACACHTuJA2XPiFQkCAAAIBAAADgAAAGRycy9lMm9Eb2MueG1srVO9&#10;jhMxEO6ReAfLPdnNocDdKpsrCKFBcNLBA0z8s2vkP9m+bPIAFNfyCDRUSJTX8DYg7jEYO0vuAg1C&#10;bOGdsWc+f/ONZ36+NZpsRIjK2ZZOJzUlwjLHle1a+vbN6tEpJTGB5aCdFS3diUjPFw8fzAffiBPX&#10;O81FIAhiYzP4lvYp+aaqIuuFgThxXlg8lC4YSOiGruIBBkQ3ujqp6yfV4AL3wTERI+4u94d0UfCl&#10;FCy9ljKKRHRLkVsqayjrOq/VYg5NF8D3io004B9YGFAWLz1ALSEBuQrqDyijWHDRyTRhzlROSsVE&#10;qQGrmda/VXPZgxelFhQn+oNM8f/Bslebi0AUx95RYsFgi358vr59/+XbzfXtpw/fv34k0yzS4GOD&#10;sZf+IoxeRDNXvJXB5D/WQrZF2N1BWLFNhOEm1nb2GOVneDR9Wk9Pi/DVXbIPMb0QzpBstDQFBbbT&#10;uXZoYPMypqItHxkCf0eJNBo7tQFNZjV+mSQCjsFo/YLMmdFpxVdK6+KEbv1MB4KpLV2Vb0w+CtOW&#10;DC09m53MkDfg05QaEprGo1jRdoXbUUa8D5w5HVgdhWViS4j9nkA5yvdDY1QSWV1oegH8ueUk7Tw2&#10;xOLk0EzGCE6JFjho2SqRCZT+m0gURFtUKPdx37lsrR3fYfuvfFBdj7qXVpcYfG5Fz3E08nu+7xek&#10;uwFe/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hHl2AAAAAkBAAAPAAAAAAAAAAEAIAAAACIA&#10;AABkcnMvZG93bnJldi54bWxQSwECFAAUAAAACACHTuJA2XPiFQkCAAAIBAAADgAAAAAAAAABACAA&#10;AAAnAQAAZHJzL2Uyb0RvYy54bWxQSwUGAAAAAAYABgBZAQAAogUAAAAA&#10;" adj="10800">
                      <v:fill on="t" focussize="0,0"/>
                      <v:stroke color="#000000" joinstyle="miter"/>
                      <v:imagedata o:title=""/>
                      <o:lock v:ext="edit" aspectratio="f"/>
                    </v:shape>
                  </w:pict>
                </mc:Fallback>
              </mc:AlternateContent>
            </w:r>
            <w:r>
              <w:rPr>
                <w:rFonts w:hint="eastAsia"/>
                <w:b/>
                <w:color w:val="000000" w:themeColor="text1"/>
                <w14:textFill>
                  <w14:solidFill>
                    <w14:schemeClr w14:val="tx1"/>
                  </w14:solidFill>
                </w14:textFill>
              </w:rPr>
              <w:drawing>
                <wp:anchor distT="0" distB="0" distL="114300" distR="114300" simplePos="0" relativeHeight="251692032" behindDoc="0" locked="0" layoutInCell="1" allowOverlap="1">
                  <wp:simplePos x="0" y="0"/>
                  <wp:positionH relativeFrom="column">
                    <wp:posOffset>123825</wp:posOffset>
                  </wp:positionH>
                  <wp:positionV relativeFrom="paragraph">
                    <wp:posOffset>2540</wp:posOffset>
                  </wp:positionV>
                  <wp:extent cx="1504950" cy="238125"/>
                  <wp:effectExtent l="0" t="0" r="0" b="9525"/>
                  <wp:wrapNone/>
                  <wp:docPr id="9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4950" cy="238125"/>
                          </a:xfrm>
                          <a:prstGeom prst="rect">
                            <a:avLst/>
                          </a:prstGeom>
                        </pic:spPr>
                      </pic:pic>
                    </a:graphicData>
                  </a:graphic>
                </wp:anchor>
              </w:drawing>
            </w:r>
            <w:r>
              <w:rPr>
                <w:rFonts w:hint="eastAsia"/>
                <w:b/>
                <w:color w:val="000000" w:themeColor="text1"/>
                <w14:textFill>
                  <w14:solidFill>
                    <w14:schemeClr w14:val="tx1"/>
                  </w14:solidFill>
                </w14:textFill>
              </w:rPr>
              <w:t>图1  基坑采样布点图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93" w:hRule="atLeast"/>
        </w:trPr>
        <w:tc>
          <w:tcPr>
            <w:tcW w:w="8418" w:type="dxa"/>
            <w:tcBorders>
              <w:top w:val="single" w:color="auto" w:sz="4" w:space="0"/>
            </w:tcBorders>
          </w:tcPr>
          <w:p>
            <w:pPr>
              <w:pStyle w:val="25"/>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25"/>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31968" behindDoc="0" locked="0" layoutInCell="1" allowOverlap="1">
                      <wp:simplePos x="0" y="0"/>
                      <wp:positionH relativeFrom="column">
                        <wp:posOffset>3806190</wp:posOffset>
                      </wp:positionH>
                      <wp:positionV relativeFrom="paragraph">
                        <wp:posOffset>2877185</wp:posOffset>
                      </wp:positionV>
                      <wp:extent cx="201930" cy="170180"/>
                      <wp:effectExtent l="8255" t="9525" r="18415" b="10795"/>
                      <wp:wrapNone/>
                      <wp:docPr id="10" name="等腰三角形 10"/>
                      <wp:cNvGraphicFramePr/>
                      <a:graphic xmlns:a="http://schemas.openxmlformats.org/drawingml/2006/main">
                        <a:graphicData uri="http://schemas.microsoft.com/office/word/2010/wordprocessingShape">
                          <wps:wsp>
                            <wps:cNvSpPr/>
                            <wps:spPr>
                              <a:xfrm>
                                <a:off x="0" y="0"/>
                                <a:ext cx="201930" cy="17018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5" type="#_x0000_t5" style="position:absolute;left:0pt;margin-left:299.7pt;margin-top:226.55pt;height:13.4pt;width:15.9pt;z-index:251731968;mso-width-relative:page;mso-height-relative:page;" fillcolor="#FFFFFF" filled="t" stroked="t" coordsize="21600,21600" o:gfxdata="UEsDBAoAAAAAAIdO4kAAAAAAAAAAAAAAAAAEAAAAZHJzL1BLAwQUAAAACACHTuJAD+QygdsAAAAL&#10;AQAADwAAAGRycy9kb3ducmV2LnhtbE2PTU/DMAyG70j8h8hIXBBLuk9amu6AhJB2QawIabesMW3V&#10;xqmadBv/Hu8ER9uPXj9vvr24XpxwDK0nDclMgUCqvG2p1vBZvj4+gQjRkDW9J9TwgwG2xe1NbjLr&#10;z/SBp32sBYdQyIyGJsYhkzJUDToTZn5A4tu3H52JPI61tKM5c7jr5VyptXSmJf7QmAFfGqy6/eQ0&#10;mO7wtXP2XU5l3aq3w/SwKTvU+v4uUc8gIl7iHwxXfVaHgp2OfiIbRK9hlaZLRjUsV4sEBBPrRTIH&#10;ceTNJk1BFrn836H4BVBLAwQUAAAACACHTuJAp0i0bQoCAAAKBAAADgAAAGRycy9lMm9Eb2MueG1s&#10;rVO9jhMxEO6ReAfLPdnNocDdKpsrCKFBcNLBA0z8s2vkP9m+bPIAFNfyCDRUSJTX8DYg7jEYO0vu&#10;Ag1CbOEde2Y+f/PNeH6+NZpsRIjK2ZZOJzUlwjLHle1a+vbN6tEpJTGB5aCdFS3diUjPFw8fzAff&#10;iBPXO81FIAhiYzP4lvYp+aaqIuuFgThxXlh0ShcMJNyGruIBBkQ3ujqp6yfV4AL3wTERI54u9066&#10;KPhSCpZeSxlFIrqlyC2VNZR1nddqMYemC+B7xUYa8A8sDCiLlx6glpCAXAX1B5RRLLjoZJowZyon&#10;pWKi1IDVTOvfqrnswYtSC4oT/UGm+P9g2avNRSCKY+9QHgsGe/Tj8/Xt+y/fbq5vP334/vUjQQ/K&#10;NPjYYPSlvwjjLqKZa97KYPIfqyHbIu3uIK3YJsLwEKs7e4w3MHRNn9bT04JZ3SX7ENML4QzJRktT&#10;UGA7nauHBjYvYyrq8pEi8HeUSKOxVxvQZFbjl0ki4BiM1i/InBmdVnyltC6b0K2f6UAwtaWr8o3J&#10;R2HakqGlZ7OTGfIGHE6pIaFpPMoVbVe4HWXE+8CZ04HVUVgmtoTY7wkUV74fGqOSyOpC0wvgzy0n&#10;aeexIxbfDs1kjOCUaIFPLVslMoHSfxOJgmiLCuU+7juXrbXjOxyAKx9U16Pu0yJE9uDAFT3Hx5En&#10;+v6+IN094c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QygdsAAAALAQAADwAAAAAAAAABACAA&#10;AAAiAAAAZHJzL2Rvd25yZXYueG1sUEsBAhQAFAAAAAgAh07iQKdItG0KAgAACgQAAA4AAAAAAAAA&#10;AQAgAAAAKgEAAGRycy9lMm9Eb2MueG1sUEsFBgAAAAAGAAYAWQEAAKYFAAAAAA==&#10;" adj="10800">
                      <v:fill on="t" focussize="0,0"/>
                      <v:stroke color="#000000" joinstyle="miter"/>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30944" behindDoc="0" locked="0" layoutInCell="1" allowOverlap="1">
                      <wp:simplePos x="0" y="0"/>
                      <wp:positionH relativeFrom="column">
                        <wp:posOffset>3733165</wp:posOffset>
                      </wp:positionH>
                      <wp:positionV relativeFrom="paragraph">
                        <wp:posOffset>2436495</wp:posOffset>
                      </wp:positionV>
                      <wp:extent cx="1956435" cy="9785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956435" cy="978535"/>
                              </a:xfrm>
                              <a:prstGeom prst="rect">
                                <a:avLst/>
                              </a:prstGeom>
                              <a:solidFill>
                                <a:srgbClr val="FFFFFF">
                                  <a:alpha val="0"/>
                                </a:srgbClr>
                              </a:solidFill>
                              <a:ln>
                                <a:noFill/>
                              </a:ln>
                            </wps:spPr>
                            <wps:txbx>
                              <w:txbxContent>
                                <w:p>
                                  <w:pPr>
                                    <w:jc w:val="center"/>
                                    <w:rPr>
                                      <w:b/>
                                      <w:sz w:val="28"/>
                                      <w:szCs w:val="28"/>
                                    </w:rPr>
                                  </w:pPr>
                                  <w:r>
                                    <w:rPr>
                                      <w:b/>
                                      <w:sz w:val="28"/>
                                      <w:szCs w:val="28"/>
                                    </w:rPr>
                                    <w:t>图例</w:t>
                                  </w:r>
                                </w:p>
                                <w:p>
                                  <w:pPr>
                                    <w:ind w:firstLine="630" w:firstLineChars="300"/>
                                    <w:rPr>
                                      <w:szCs w:val="21"/>
                                    </w:rPr>
                                  </w:pPr>
                                  <w:r>
                                    <w:rPr>
                                      <w:szCs w:val="21"/>
                                    </w:rPr>
                                    <w:t>基</w:t>
                                  </w:r>
                                  <w:r>
                                    <w:rPr>
                                      <w:rFonts w:hint="eastAsia"/>
                                      <w:szCs w:val="21"/>
                                    </w:rPr>
                                    <w:t>堆土</w:t>
                                  </w:r>
                                  <w:r>
                                    <w:rPr>
                                      <w:szCs w:val="21"/>
                                    </w:rPr>
                                    <w:t>采样点位</w:t>
                                  </w:r>
                                </w:p>
                                <w:p>
                                  <w:pPr>
                                    <w:ind w:firstLine="630" w:firstLineChars="300"/>
                                    <w:rPr>
                                      <w:szCs w:val="21"/>
                                    </w:rPr>
                                  </w:pPr>
                                </w:p>
                              </w:txbxContent>
                            </wps:txbx>
                            <wps:bodyPr upright="1"/>
                          </wps:wsp>
                        </a:graphicData>
                      </a:graphic>
                    </wp:anchor>
                  </w:drawing>
                </mc:Choice>
                <mc:Fallback>
                  <w:pict>
                    <v:shape id="_x0000_s1026" o:spid="_x0000_s1026" o:spt="202" type="#_x0000_t202" style="position:absolute;left:0pt;margin-left:293.95pt;margin-top:191.85pt;height:77.05pt;width:154.05pt;z-index:251730944;mso-width-relative:page;mso-height-relative:page;" fillcolor="#FFFFFF" filled="t" stroked="f" coordsize="21600,21600" o:gfxdata="UEsDBAoAAAAAAIdO4kAAAAAAAAAAAAAAAAAEAAAAZHJzL1BLAwQUAAAACACHTuJA/yeKp9kAAAAL&#10;AQAADwAAAGRycy9kb3ducmV2LnhtbE2PwU7DMBBE70j8g7VIXBB12ojGDXF6qOCABJUIcHfiJUmJ&#10;11HstuHvWU5wHM1o5k2xnd0gTjiF3pOG5SIBgdR421Or4f3t8VaBCNGQNYMn1PCNAbbl5UVhcuvP&#10;9IqnKraCSyjkRkMX45hLGZoOnQkLPyKx9+knZyLLqZV2Mmcud4NcJclaOtMTL3RmxF2HzVd1dLz7&#10;MKvxo37eHZ6qm/qw2lP/okjr66tlcg8i4hz/wvCLz+hQMlPtj2SDGDTcqWzDUQ2pSjMQnFCbNb+r&#10;2UozBbIs5P8P5Q9QSwMEFAAAAAgAh07iQJNuEgGxAQAARgMAAA4AAABkcnMvZTJvRG9jLnhtbK1S&#10;zW4TMRC+I/EOlu+N05aUZpVNJajCBQFS4QEcr3fXku2xPG528wLwBpy4cOe58hyMvWkK9FaxB+/8&#10;+Zv5vvHqZnSW7XREA77m57M5Z9oraIzvav7l8+bsmjNM0jfSgtc132vkN+uXL1ZDqPQF9GAbHRmB&#10;eKyGUPM+pVAJgarXTuIMgvaUbCE6mciNnWiiHAjdWXExn1+JAWITIiiNSNHbKcnXBb9ttUof2xZ1&#10;YrbmNFsqZyznNp9ivZJVF2XojTqOIZ8xhZPGU9MT1K1Mkt1H8wTKGRUBoU0zBU5A2xqlCwdicz7/&#10;h81dL4MuXEgcDCeZ8P/Bqg+7T5GZpuZLzrx0tKLD92+HH78OP7+yZZZnCFhR1V2gujS+gZHW/BBH&#10;CmbWYxtd/hMfRnkSen8SV4+JqXxpubh6dbngTFFu+fp6QTbBi8fbIWJ6p8GxbNQ80vKKpnL3HtNU&#10;+lCSmyFY02yMtcWJ3fatjWwnadGb8k13bejlFC3LpnY4lZbWf2FYn5E8ZMypXY6ILMBENFtp3I5H&#10;VbbQ7EmU+xBN19PARZZSTssq8MeHlV/Dn34BfXz+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0;J4qn2QAAAAsBAAAPAAAAAAAAAAEAIAAAACIAAABkcnMvZG93bnJldi54bWxQSwECFAAUAAAACACH&#10;TuJAk24SAbEBAABGAwAADgAAAAAAAAABACAAAAAoAQAAZHJzL2Uyb0RvYy54bWxQSwUGAAAAAAYA&#10;BgBZAQAASwUAAAAA&#10;">
                      <v:fill on="t" opacity="0f" focussize="0,0"/>
                      <v:stroke on="f"/>
                      <v:imagedata o:title=""/>
                      <o:lock v:ext="edit" aspectratio="f"/>
                      <v:textbox>
                        <w:txbxContent>
                          <w:p>
                            <w:pPr>
                              <w:jc w:val="center"/>
                              <w:rPr>
                                <w:b/>
                                <w:sz w:val="28"/>
                                <w:szCs w:val="28"/>
                              </w:rPr>
                            </w:pPr>
                            <w:r>
                              <w:rPr>
                                <w:b/>
                                <w:sz w:val="28"/>
                                <w:szCs w:val="28"/>
                              </w:rPr>
                              <w:t>图例</w:t>
                            </w:r>
                          </w:p>
                          <w:p>
                            <w:pPr>
                              <w:ind w:firstLine="630" w:firstLineChars="300"/>
                              <w:rPr>
                                <w:szCs w:val="21"/>
                              </w:rPr>
                            </w:pPr>
                            <w:r>
                              <w:rPr>
                                <w:szCs w:val="21"/>
                              </w:rPr>
                              <w:t>基</w:t>
                            </w:r>
                            <w:r>
                              <w:rPr>
                                <w:rFonts w:hint="eastAsia"/>
                                <w:szCs w:val="21"/>
                              </w:rPr>
                              <w:t>堆土</w:t>
                            </w:r>
                            <w:r>
                              <w:rPr>
                                <w:szCs w:val="21"/>
                              </w:rPr>
                              <w:t>采样点位</w:t>
                            </w:r>
                          </w:p>
                          <w:p>
                            <w:pPr>
                              <w:ind w:firstLine="630" w:firstLineChars="300"/>
                              <w:rPr>
                                <w:szCs w:val="21"/>
                              </w:rPr>
                            </w:pPr>
                          </w:p>
                        </w:txbxContent>
                      </v:textbox>
                    </v:shape>
                  </w:pict>
                </mc:Fallback>
              </mc:AlternateContent>
            </w:r>
            <w:r>
              <w:drawing>
                <wp:inline distT="0" distB="0" distL="114300" distR="114300">
                  <wp:extent cx="2886710" cy="2882265"/>
                  <wp:effectExtent l="0" t="0" r="8890"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886710" cy="2882265"/>
                          </a:xfrm>
                          <a:prstGeom prst="rect">
                            <a:avLst/>
                          </a:prstGeom>
                          <a:noFill/>
                          <a:ln>
                            <a:noFill/>
                          </a:ln>
                        </pic:spPr>
                      </pic:pic>
                    </a:graphicData>
                  </a:graphic>
                </wp:inline>
              </w:drawing>
            </w:r>
            <w:r>
              <w:rPr>
                <w:color w:val="000000" w:themeColor="text1"/>
                <w14:textFill>
                  <w14:solidFill>
                    <w14:schemeClr w14:val="tx1"/>
                  </w14:solidFill>
                </w14:textFill>
              </w:rPr>
              <w:drawing>
                <wp:anchor distT="0" distB="0" distL="114300" distR="114300" simplePos="0" relativeHeight="251689984" behindDoc="0" locked="0" layoutInCell="1" allowOverlap="1">
                  <wp:simplePos x="0" y="0"/>
                  <wp:positionH relativeFrom="column">
                    <wp:posOffset>4351020</wp:posOffset>
                  </wp:positionH>
                  <wp:positionV relativeFrom="paragraph">
                    <wp:posOffset>114935</wp:posOffset>
                  </wp:positionV>
                  <wp:extent cx="885825" cy="885825"/>
                  <wp:effectExtent l="0" t="0" r="9525" b="9525"/>
                  <wp:wrapNone/>
                  <wp:docPr id="8" name="图片 16" descr="https://ss0.bdstatic.com/70cFuHSh_Q1YnxGkpoWK1HF6hhy/it/u=2800038805,149932112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https://ss0.bdstatic.com/70cFuHSh_Q1YnxGkpoWK1HF6hhy/it/u=2800038805,1499321125&amp;fm=26&amp;gp=0.jpg"/>
                          <pic:cNvPicPr>
                            <a:picLocks noChangeAspect="1" noChangeArrowheads="1"/>
                          </pic:cNvPicPr>
                        </pic:nvPicPr>
                        <pic:blipFill>
                          <a:blip r:embed="rId5" cstate="print"/>
                          <a:srcRect/>
                          <a:stretch>
                            <a:fillRect/>
                          </a:stretch>
                        </pic:blipFill>
                        <pic:spPr>
                          <a:xfrm>
                            <a:off x="0" y="0"/>
                            <a:ext cx="885825" cy="885825"/>
                          </a:xfrm>
                          <a:prstGeom prst="rect">
                            <a:avLst/>
                          </a:prstGeom>
                          <a:noFill/>
                          <a:ln w="9525">
                            <a:noFill/>
                            <a:miter lim="800000"/>
                            <a:headEnd/>
                            <a:tailEnd/>
                          </a:ln>
                        </pic:spPr>
                      </pic:pic>
                    </a:graphicData>
                  </a:graphic>
                </wp:anchor>
              </w:drawing>
            </w:r>
          </w:p>
          <w:p>
            <w:pPr>
              <w:pStyle w:val="25"/>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8418" w:type="dxa"/>
          </w:tcPr>
          <w:p>
            <w:pPr>
              <w:pStyle w:val="25"/>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drawing>
                <wp:anchor distT="0" distB="0" distL="114300" distR="114300" simplePos="0" relativeHeight="251742208" behindDoc="0" locked="0" layoutInCell="1" allowOverlap="1">
                  <wp:simplePos x="0" y="0"/>
                  <wp:positionH relativeFrom="column">
                    <wp:posOffset>123825</wp:posOffset>
                  </wp:positionH>
                  <wp:positionV relativeFrom="paragraph">
                    <wp:posOffset>2540</wp:posOffset>
                  </wp:positionV>
                  <wp:extent cx="1504950" cy="238125"/>
                  <wp:effectExtent l="0" t="0" r="0" b="9525"/>
                  <wp:wrapNone/>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4950" cy="238125"/>
                          </a:xfrm>
                          <a:prstGeom prst="rect">
                            <a:avLst/>
                          </a:prstGeom>
                        </pic:spPr>
                      </pic:pic>
                    </a:graphicData>
                  </a:graphic>
                </wp:anchor>
              </w:drawing>
            </w:r>
            <w:r>
              <w:rPr>
                <w:rFonts w:hint="eastAsia"/>
                <w:b/>
                <w:color w:val="000000" w:themeColor="text1"/>
                <w14:textFill>
                  <w14:solidFill>
                    <w14:schemeClr w14:val="tx1"/>
                  </w14:solidFill>
                </w14:textFill>
              </w:rPr>
              <w:t>图2  堆土采样布点图</w:t>
            </w:r>
          </w:p>
        </w:tc>
      </w:tr>
    </w:tbl>
    <w:p>
      <w:pPr>
        <w:spacing w:line="360" w:lineRule="auto"/>
        <w:rPr>
          <w:rFonts w:ascii="黑体" w:hAnsi="黑体" w:eastAsia="黑体"/>
          <w:sz w:val="28"/>
          <w:szCs w:val="28"/>
        </w:rPr>
      </w:pPr>
      <w:r>
        <w:rPr>
          <w:rFonts w:hint="eastAsia" w:ascii="黑体" w:hAnsi="黑体" w:eastAsia="黑体"/>
          <w:sz w:val="28"/>
          <w:szCs w:val="28"/>
        </w:rPr>
        <w:t>3.3检测指标与评估标准值</w:t>
      </w:r>
    </w:p>
    <w:p>
      <w:pPr>
        <w:spacing w:line="360" w:lineRule="auto"/>
        <w:ind w:firstLine="560"/>
        <w:rPr>
          <w:rFonts w:ascii="Times New Roman" w:hAnsi="Times New Roman"/>
          <w:sz w:val="28"/>
          <w:szCs w:val="28"/>
        </w:rPr>
      </w:pPr>
      <w:r>
        <w:rPr>
          <w:rFonts w:hint="eastAsia" w:ascii="Times New Roman" w:hAnsi="Times New Roman"/>
          <w:sz w:val="28"/>
          <w:szCs w:val="28"/>
        </w:rPr>
        <w:t>本项目基坑验收指标为铅、砷，修复后土壤验收检测指标为pH、浸出液铅、浸出液砷，潜在二次污染区域指标为铅、砷，评估标准值同修复目标值。</w:t>
      </w:r>
    </w:p>
    <w:p>
      <w:pPr>
        <w:spacing w:line="360" w:lineRule="auto"/>
        <w:rPr>
          <w:rFonts w:ascii="黑体" w:hAnsi="黑体" w:eastAsia="黑体"/>
          <w:sz w:val="28"/>
          <w:szCs w:val="28"/>
        </w:rPr>
      </w:pPr>
      <w:r>
        <w:rPr>
          <w:rFonts w:hint="eastAsia" w:ascii="黑体" w:hAnsi="黑体" w:eastAsia="黑体"/>
          <w:sz w:val="28"/>
          <w:szCs w:val="28"/>
        </w:rPr>
        <w:t>4质量控制与实验室检测</w:t>
      </w:r>
    </w:p>
    <w:p>
      <w:pPr>
        <w:spacing w:line="360" w:lineRule="auto"/>
        <w:rPr>
          <w:rFonts w:ascii="黑体" w:hAnsi="黑体" w:eastAsia="黑体"/>
          <w:sz w:val="28"/>
          <w:szCs w:val="28"/>
        </w:rPr>
      </w:pPr>
      <w:r>
        <w:rPr>
          <w:rFonts w:hint="eastAsia" w:ascii="黑体" w:hAnsi="黑体" w:eastAsia="黑体"/>
          <w:sz w:val="28"/>
          <w:szCs w:val="28"/>
        </w:rPr>
        <w:t>4.1质量控制</w:t>
      </w:r>
    </w:p>
    <w:p>
      <w:pPr>
        <w:spacing w:line="360" w:lineRule="auto"/>
        <w:ind w:firstLine="560"/>
        <w:rPr>
          <w:rFonts w:ascii="Times New Roman" w:hAnsi="Times New Roman"/>
          <w:sz w:val="28"/>
          <w:szCs w:val="28"/>
        </w:rPr>
      </w:pPr>
      <w:r>
        <w:rPr>
          <w:rFonts w:hint="eastAsia" w:ascii="Times New Roman" w:hAnsi="Times New Roman"/>
          <w:sz w:val="28"/>
          <w:szCs w:val="28"/>
        </w:rPr>
        <w:t>本项目现场</w:t>
      </w:r>
      <w:r>
        <w:rPr>
          <w:rFonts w:hint="eastAsia" w:ascii="Times New Roman" w:hAnsi="Times New Roman"/>
          <w:sz w:val="28"/>
          <w:szCs w:val="28"/>
          <w:lang w:eastAsia="zh-CN"/>
        </w:rPr>
        <w:t>采取完善的质量措施确保</w:t>
      </w:r>
      <w:r>
        <w:rPr>
          <w:rFonts w:hint="eastAsia" w:ascii="Times New Roman" w:hAnsi="Times New Roman"/>
          <w:sz w:val="28"/>
          <w:szCs w:val="28"/>
        </w:rPr>
        <w:t>样品的采集、</w:t>
      </w:r>
      <w:r>
        <w:rPr>
          <w:rFonts w:hint="eastAsia" w:ascii="Times New Roman" w:hAnsi="Times New Roman"/>
          <w:sz w:val="28"/>
          <w:szCs w:val="28"/>
          <w:lang w:eastAsia="zh-CN"/>
        </w:rPr>
        <w:t>存放</w:t>
      </w:r>
      <w:r>
        <w:rPr>
          <w:rFonts w:hint="eastAsia" w:ascii="Times New Roman" w:hAnsi="Times New Roman"/>
          <w:sz w:val="28"/>
          <w:szCs w:val="28"/>
        </w:rPr>
        <w:t>、</w:t>
      </w:r>
      <w:r>
        <w:rPr>
          <w:rFonts w:hint="eastAsia" w:ascii="Times New Roman" w:hAnsi="Times New Roman"/>
          <w:sz w:val="28"/>
          <w:szCs w:val="28"/>
          <w:lang w:eastAsia="zh-CN"/>
        </w:rPr>
        <w:t>转运</w:t>
      </w:r>
      <w:r>
        <w:rPr>
          <w:rFonts w:hint="eastAsia" w:ascii="Times New Roman" w:hAnsi="Times New Roman"/>
          <w:sz w:val="28"/>
          <w:szCs w:val="28"/>
        </w:rPr>
        <w:t>、交</w:t>
      </w:r>
      <w:r>
        <w:rPr>
          <w:rFonts w:hint="eastAsia" w:ascii="Times New Roman" w:hAnsi="Times New Roman"/>
          <w:sz w:val="28"/>
          <w:szCs w:val="28"/>
          <w:lang w:eastAsia="zh-CN"/>
        </w:rPr>
        <w:t>样</w:t>
      </w:r>
      <w:r>
        <w:rPr>
          <w:rFonts w:hint="eastAsia" w:ascii="Times New Roman" w:hAnsi="Times New Roman"/>
          <w:sz w:val="28"/>
          <w:szCs w:val="28"/>
        </w:rPr>
        <w:t>等过程建立完整的管理程序，防止采样交叉感染，采样过程中按10%的比例采集平行样。实验室质控与质保程序覆盖样品分析的整个过程，包括确认供应商提供的试验材料、实验仪器的检定、样品的保存和管理、分析方法、实验环境条件的控制等。实验室分析每批土壤样品分析时按10%的比例测定实验室平行样，加标回收样比例为样品总数的10%~20%。</w:t>
      </w:r>
    </w:p>
    <w:p>
      <w:pPr>
        <w:spacing w:line="360" w:lineRule="auto"/>
        <w:rPr>
          <w:rFonts w:ascii="黑体" w:hAnsi="黑体" w:eastAsia="黑体"/>
          <w:sz w:val="28"/>
          <w:szCs w:val="28"/>
        </w:rPr>
      </w:pPr>
      <w:r>
        <w:rPr>
          <w:rFonts w:hint="eastAsia" w:ascii="黑体" w:hAnsi="黑体" w:eastAsia="黑体"/>
          <w:sz w:val="28"/>
          <w:szCs w:val="28"/>
        </w:rPr>
        <w:t>4.2实验室检测方法</w:t>
      </w:r>
    </w:p>
    <w:p>
      <w:pPr>
        <w:spacing w:line="360" w:lineRule="auto"/>
        <w:ind w:firstLine="560"/>
        <w:rPr>
          <w:rFonts w:ascii="Times New Roman" w:hAnsi="Times New Roman"/>
          <w:sz w:val="28"/>
          <w:szCs w:val="28"/>
        </w:rPr>
      </w:pPr>
      <w:r>
        <w:rPr>
          <w:rFonts w:hint="eastAsia" w:ascii="Times New Roman" w:hAnsi="Times New Roman"/>
          <w:sz w:val="28"/>
          <w:szCs w:val="28"/>
        </w:rPr>
        <w:t>土壤及浸出液的分析方法按照GB36600-2018里规定，见表3、表4。</w:t>
      </w:r>
    </w:p>
    <w:p>
      <w:pPr>
        <w:jc w:val="center"/>
        <w:rPr>
          <w:rFonts w:hint="eastAsia" w:eastAsia="宋体"/>
          <w:b/>
          <w:color w:val="000000" w:themeColor="text1"/>
          <w:sz w:val="28"/>
          <w:szCs w:val="28"/>
          <w:lang w:eastAsia="zh-CN"/>
          <w14:textFill>
            <w14:solidFill>
              <w14:schemeClr w14:val="tx1"/>
            </w14:solidFill>
          </w14:textFill>
        </w:rPr>
      </w:pPr>
      <w:r>
        <w:rPr>
          <w:b/>
          <w:color w:val="000000" w:themeColor="text1"/>
          <w:sz w:val="28"/>
          <w:szCs w:val="28"/>
          <w14:textFill>
            <w14:solidFill>
              <w14:schemeClr w14:val="tx1"/>
            </w14:solidFill>
          </w14:textFill>
        </w:rPr>
        <w:t>表</w:t>
      </w:r>
      <w:r>
        <w:rPr>
          <w:rFonts w:hint="eastAsia"/>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3</w:t>
      </w:r>
      <w:r>
        <w:rPr>
          <w:rFonts w:hint="eastAsia"/>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土壤</w:t>
      </w:r>
      <w:r>
        <w:rPr>
          <w:rFonts w:hint="eastAsia"/>
          <w:b/>
          <w:color w:val="000000" w:themeColor="text1"/>
          <w:sz w:val="28"/>
          <w:szCs w:val="28"/>
          <w:lang w:eastAsia="zh-CN"/>
          <w14:textFill>
            <w14:solidFill>
              <w14:schemeClr w14:val="tx1"/>
            </w14:solidFill>
          </w14:textFill>
        </w:rPr>
        <w:t>测试方法</w:t>
      </w:r>
    </w:p>
    <w:tbl>
      <w:tblPr>
        <w:tblStyle w:val="8"/>
        <w:tblW w:w="5000"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45"/>
        <w:gridCol w:w="820"/>
        <w:gridCol w:w="4400"/>
        <w:gridCol w:w="1303"/>
        <w:gridCol w:w="135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atLeast"/>
          <w:tblHeader/>
          <w:jc w:val="center"/>
        </w:trPr>
        <w:tc>
          <w:tcPr>
            <w:tcW w:w="394" w:type="pct"/>
            <w:tcBorders>
              <w:bottom w:val="single" w:color="auto" w:sz="4" w:space="0"/>
              <w:right w:val="nil"/>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序号</w:t>
            </w:r>
          </w:p>
        </w:tc>
        <w:tc>
          <w:tcPr>
            <w:tcW w:w="496" w:type="pct"/>
            <w:tcBorders>
              <w:left w:val="nil"/>
              <w:bottom w:val="single" w:color="auto" w:sz="4" w:space="0"/>
              <w:right w:val="nil"/>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项目</w:t>
            </w:r>
          </w:p>
        </w:tc>
        <w:tc>
          <w:tcPr>
            <w:tcW w:w="2595" w:type="pct"/>
            <w:tcBorders>
              <w:left w:val="nil"/>
              <w:bottom w:val="single" w:color="auto" w:sz="4" w:space="0"/>
              <w:right w:val="nil"/>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分析方法</w:t>
            </w:r>
          </w:p>
        </w:tc>
        <w:tc>
          <w:tcPr>
            <w:tcW w:w="703" w:type="pct"/>
            <w:tcBorders>
              <w:left w:val="nil"/>
              <w:bottom w:val="single" w:color="auto" w:sz="4" w:space="0"/>
              <w:right w:val="nil"/>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检出限</w:t>
            </w:r>
          </w:p>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（mg/kg）</w:t>
            </w:r>
          </w:p>
        </w:tc>
        <w:tc>
          <w:tcPr>
            <w:tcW w:w="809" w:type="pct"/>
            <w:tcBorders>
              <w:left w:val="nil"/>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评估标准值</w:t>
            </w:r>
          </w:p>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（mg/kg）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 w:type="pct"/>
            <w:tcBorders>
              <w:top w:val="single" w:color="auto" w:sz="4" w:space="0"/>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1</w:t>
            </w:r>
          </w:p>
        </w:tc>
        <w:tc>
          <w:tcPr>
            <w:tcW w:w="496" w:type="pct"/>
            <w:tcBorders>
              <w:top w:val="single" w:color="auto" w:sz="4" w:space="0"/>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pH值</w:t>
            </w:r>
          </w:p>
        </w:tc>
        <w:tc>
          <w:tcPr>
            <w:tcW w:w="2595" w:type="pct"/>
            <w:tcBorders>
              <w:top w:val="single" w:color="auto" w:sz="4" w:space="0"/>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玻璃电极法NY/T 1377-2007</w:t>
            </w:r>
          </w:p>
        </w:tc>
        <w:tc>
          <w:tcPr>
            <w:tcW w:w="703" w:type="pct"/>
            <w:tcBorders>
              <w:top w:val="single" w:color="auto" w:sz="4" w:space="0"/>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w:t>
            </w:r>
          </w:p>
        </w:tc>
        <w:tc>
          <w:tcPr>
            <w:tcW w:w="809" w:type="pct"/>
            <w:tcBorders>
              <w:top w:val="single" w:color="auto" w:sz="4" w:space="0"/>
              <w:left w:val="nil"/>
              <w:bottom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 w:type="pct"/>
            <w:tcBorders>
              <w:top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2</w:t>
            </w:r>
          </w:p>
        </w:tc>
        <w:tc>
          <w:tcPr>
            <w:tcW w:w="496" w:type="pct"/>
            <w:tcBorders>
              <w:top w:val="nil"/>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铅</w:t>
            </w:r>
          </w:p>
        </w:tc>
        <w:tc>
          <w:tcPr>
            <w:tcW w:w="2595" w:type="pct"/>
            <w:tcBorders>
              <w:top w:val="nil"/>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石墨炉原子吸收分光光度法</w:t>
            </w:r>
            <w:r>
              <w:rPr>
                <w:rFonts w:hint="eastAsia" w:ascii="仿宋" w:hAnsi="仿宋" w:eastAsia="仿宋" w:cs="仿宋"/>
                <w:color w:val="000000" w:themeColor="text1"/>
                <w:kern w:val="0"/>
                <w:sz w:val="24"/>
                <w:lang w:val="en-US" w:eastAsia="zh-CN"/>
                <w14:textFill>
                  <w14:solidFill>
                    <w14:schemeClr w14:val="tx1"/>
                  </w14:solidFill>
                </w14:textFill>
              </w:rPr>
              <w:t xml:space="preserve">        </w:t>
            </w:r>
            <w:r>
              <w:rPr>
                <w:rFonts w:hint="eastAsia" w:ascii="仿宋" w:hAnsi="仿宋" w:eastAsia="仿宋" w:cs="仿宋"/>
                <w:color w:val="000000" w:themeColor="text1"/>
                <w:kern w:val="0"/>
                <w:sz w:val="24"/>
                <w14:textFill>
                  <w14:solidFill>
                    <w14:schemeClr w14:val="tx1"/>
                  </w14:solidFill>
                </w14:textFill>
              </w:rPr>
              <w:t>GB/T 17141-1997</w:t>
            </w:r>
          </w:p>
        </w:tc>
        <w:tc>
          <w:tcPr>
            <w:tcW w:w="703" w:type="pct"/>
            <w:tcBorders>
              <w:top w:val="nil"/>
              <w:left w:val="nil"/>
              <w:bottom w:val="nil"/>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0.1</w:t>
            </w:r>
          </w:p>
        </w:tc>
        <w:tc>
          <w:tcPr>
            <w:tcW w:w="809" w:type="pct"/>
            <w:tcBorders>
              <w:top w:val="nil"/>
              <w:left w:val="nil"/>
              <w:bottom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400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 w:type="pct"/>
            <w:tcBorders>
              <w:top w:val="nil"/>
              <w:bottom w:val="single" w:color="auto" w:sz="4" w:space="0"/>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3</w:t>
            </w:r>
          </w:p>
        </w:tc>
        <w:tc>
          <w:tcPr>
            <w:tcW w:w="496" w:type="pct"/>
            <w:tcBorders>
              <w:top w:val="nil"/>
              <w:left w:val="nil"/>
              <w:bottom w:val="single" w:color="auto" w:sz="4" w:space="0"/>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砷</w:t>
            </w:r>
          </w:p>
        </w:tc>
        <w:tc>
          <w:tcPr>
            <w:tcW w:w="2595" w:type="pct"/>
            <w:tcBorders>
              <w:top w:val="nil"/>
              <w:left w:val="nil"/>
              <w:bottom w:val="single" w:color="auto" w:sz="4" w:space="0"/>
              <w:right w:val="nil"/>
            </w:tcBorders>
            <w:vAlign w:val="center"/>
          </w:tcPr>
          <w:p>
            <w:pPr>
              <w:ind w:right="84" w:rightChars="40"/>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原子荧光法HJ 680-2013</w:t>
            </w:r>
          </w:p>
        </w:tc>
        <w:tc>
          <w:tcPr>
            <w:tcW w:w="703" w:type="pct"/>
            <w:tcBorders>
              <w:top w:val="nil"/>
              <w:left w:val="nil"/>
              <w:bottom w:val="single" w:color="auto" w:sz="4" w:space="0"/>
              <w:right w:val="nil"/>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0.01</w:t>
            </w:r>
          </w:p>
        </w:tc>
        <w:tc>
          <w:tcPr>
            <w:tcW w:w="809" w:type="pct"/>
            <w:tcBorders>
              <w:top w:val="nil"/>
              <w:left w:val="nil"/>
              <w:bottom w:val="single" w:color="auto" w:sz="4" w:space="0"/>
            </w:tcBorders>
            <w:vAlign w:val="center"/>
          </w:tcPr>
          <w:p>
            <w:pPr>
              <w:widowControl/>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20</w:t>
            </w:r>
          </w:p>
        </w:tc>
      </w:tr>
    </w:tbl>
    <w:p>
      <w:pPr>
        <w:jc w:val="center"/>
        <w:rPr>
          <w:b/>
          <w:color w:val="000000" w:themeColor="text1"/>
          <w14:textFill>
            <w14:solidFill>
              <w14:schemeClr w14:val="tx1"/>
            </w14:solidFill>
          </w14:textFill>
        </w:rPr>
      </w:pPr>
    </w:p>
    <w:p>
      <w:pPr>
        <w:jc w:val="center"/>
        <w:rPr>
          <w:rFonts w:hint="eastAsia" w:eastAsia="宋体"/>
          <w:b/>
          <w:color w:val="000000" w:themeColor="text1"/>
          <w:sz w:val="28"/>
          <w:szCs w:val="28"/>
          <w:lang w:eastAsia="zh-CN"/>
          <w14:textFill>
            <w14:solidFill>
              <w14:schemeClr w14:val="tx1"/>
            </w14:solidFill>
          </w14:textFill>
        </w:rPr>
      </w:pPr>
      <w:r>
        <w:rPr>
          <w:b/>
          <w:color w:val="000000" w:themeColor="text1"/>
          <w:sz w:val="28"/>
          <w:szCs w:val="28"/>
          <w14:textFill>
            <w14:solidFill>
              <w14:schemeClr w14:val="tx1"/>
            </w14:solidFill>
          </w14:textFill>
        </w:rPr>
        <w:t>表</w:t>
      </w:r>
      <w:r>
        <w:rPr>
          <w:rFonts w:hint="eastAsia"/>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4</w:t>
      </w:r>
      <w:r>
        <w:rPr>
          <w:rFonts w:hint="eastAsia"/>
          <w:b/>
          <w:color w:val="000000" w:themeColor="text1"/>
          <w:sz w:val="28"/>
          <w:szCs w:val="28"/>
          <w14:textFill>
            <w14:solidFill>
              <w14:schemeClr w14:val="tx1"/>
            </w14:solidFill>
          </w14:textFill>
        </w:rPr>
        <w:t xml:space="preserve">  土壤浸出</w:t>
      </w:r>
      <w:r>
        <w:rPr>
          <w:b/>
          <w:color w:val="000000" w:themeColor="text1"/>
          <w:sz w:val="28"/>
          <w:szCs w:val="28"/>
          <w14:textFill>
            <w14:solidFill>
              <w14:schemeClr w14:val="tx1"/>
            </w14:solidFill>
          </w14:textFill>
        </w:rPr>
        <w:t>分</w:t>
      </w:r>
      <w:r>
        <w:rPr>
          <w:rFonts w:hint="eastAsia"/>
          <w:b/>
          <w:color w:val="000000" w:themeColor="text1"/>
          <w:sz w:val="28"/>
          <w:szCs w:val="28"/>
          <w:lang w:eastAsia="zh-CN"/>
          <w14:textFill>
            <w14:solidFill>
              <w14:schemeClr w14:val="tx1"/>
            </w14:solidFill>
          </w14:textFill>
        </w:rPr>
        <w:t>测试方法</w:t>
      </w:r>
    </w:p>
    <w:tbl>
      <w:tblPr>
        <w:tblStyle w:val="8"/>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6"/>
        <w:gridCol w:w="1028"/>
        <w:gridCol w:w="4162"/>
        <w:gridCol w:w="130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blHeader/>
          <w:jc w:val="center"/>
        </w:trPr>
        <w:tc>
          <w:tcPr>
            <w:tcW w:w="394" w:type="pct"/>
            <w:tcBorders>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序号</w:t>
            </w:r>
          </w:p>
        </w:tc>
        <w:tc>
          <w:tcPr>
            <w:tcW w:w="618" w:type="pct"/>
            <w:tcBorders>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项目</w:t>
            </w:r>
          </w:p>
        </w:tc>
        <w:tc>
          <w:tcPr>
            <w:tcW w:w="2456" w:type="pct"/>
            <w:tcBorders>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分析方法</w:t>
            </w:r>
          </w:p>
        </w:tc>
        <w:tc>
          <w:tcPr>
            <w:tcW w:w="703" w:type="pct"/>
            <w:tcBorders>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检出限</w:t>
            </w:r>
          </w:p>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（mg/kg）</w:t>
            </w:r>
          </w:p>
        </w:tc>
        <w:tc>
          <w:tcPr>
            <w:tcW w:w="826" w:type="pct"/>
            <w:tcBorders>
              <w:bottom w:val="single" w:color="auto" w:sz="4" w:space="0"/>
            </w:tcBorders>
            <w:vAlign w:val="center"/>
          </w:tcPr>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评估标准值</w:t>
            </w:r>
          </w:p>
          <w:p>
            <w:pPr>
              <w:jc w:val="center"/>
              <w:rPr>
                <w:rFonts w:ascii="仿宋" w:hAnsi="仿宋" w:eastAsia="仿宋" w:cs="仿宋"/>
                <w:b/>
                <w:color w:val="000000" w:themeColor="text1"/>
                <w:kern w:val="0"/>
                <w:sz w:val="24"/>
                <w14:textFill>
                  <w14:solidFill>
                    <w14:schemeClr w14:val="tx1"/>
                  </w14:solidFill>
                </w14:textFill>
              </w:rPr>
            </w:pPr>
            <w:r>
              <w:rPr>
                <w:rFonts w:hint="eastAsia" w:ascii="仿宋" w:hAnsi="仿宋" w:eastAsia="仿宋" w:cs="仿宋"/>
                <w:b/>
                <w:color w:val="000000" w:themeColor="text1"/>
                <w:kern w:val="0"/>
                <w:sz w:val="24"/>
                <w14:textFill>
                  <w14:solidFill>
                    <w14:schemeClr w14:val="tx1"/>
                  </w14:solidFill>
                </w14:textFill>
              </w:rPr>
              <w:t>（mg/kg）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94" w:type="pct"/>
            <w:tcBorders>
              <w:top w:val="single" w:color="auto" w:sz="4" w:space="0"/>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1</w:t>
            </w:r>
          </w:p>
        </w:tc>
        <w:tc>
          <w:tcPr>
            <w:tcW w:w="618" w:type="pct"/>
            <w:tcBorders>
              <w:top w:val="single" w:color="auto" w:sz="4" w:space="0"/>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铅</w:t>
            </w:r>
          </w:p>
        </w:tc>
        <w:tc>
          <w:tcPr>
            <w:tcW w:w="2456" w:type="pct"/>
            <w:tcBorders>
              <w:top w:val="single" w:color="auto" w:sz="4" w:space="0"/>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HJ/T 299-2007/</w:t>
            </w:r>
            <w:r>
              <w:rPr>
                <w:rFonts w:hint="eastAsia" w:ascii="仿宋" w:hAnsi="仿宋" w:eastAsia="仿宋" w:cs="仿宋"/>
                <w:color w:val="000000" w:themeColor="text1"/>
                <w:kern w:val="0"/>
                <w:sz w:val="24"/>
                <w14:textFill>
                  <w14:solidFill>
                    <w14:schemeClr w14:val="tx1"/>
                  </w14:solidFill>
                </w14:textFill>
              </w:rPr>
              <w:t>HJ 781-2016</w:t>
            </w:r>
          </w:p>
        </w:tc>
        <w:tc>
          <w:tcPr>
            <w:tcW w:w="703" w:type="pct"/>
            <w:tcBorders>
              <w:top w:val="single" w:color="auto" w:sz="4" w:space="0"/>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0.01</w:t>
            </w:r>
          </w:p>
        </w:tc>
        <w:tc>
          <w:tcPr>
            <w:tcW w:w="826" w:type="pct"/>
            <w:tcBorders>
              <w:top w:val="single" w:color="auto" w:sz="4" w:space="0"/>
            </w:tcBorders>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94" w:type="pct"/>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2</w:t>
            </w:r>
          </w:p>
        </w:tc>
        <w:tc>
          <w:tcPr>
            <w:tcW w:w="618" w:type="pct"/>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砷</w:t>
            </w:r>
          </w:p>
        </w:tc>
        <w:tc>
          <w:tcPr>
            <w:tcW w:w="2456" w:type="pct"/>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HJ/T 299-2007/HJ 702-2014</w:t>
            </w:r>
          </w:p>
        </w:tc>
        <w:tc>
          <w:tcPr>
            <w:tcW w:w="703" w:type="pct"/>
            <w:vAlign w:val="center"/>
          </w:tcPr>
          <w:p>
            <w:pPr>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1×10</w:t>
            </w:r>
            <w:r>
              <w:rPr>
                <w:rFonts w:hint="eastAsia" w:ascii="仿宋" w:hAnsi="仿宋" w:eastAsia="仿宋" w:cs="仿宋"/>
                <w:color w:val="000000" w:themeColor="text1"/>
                <w:sz w:val="24"/>
                <w:vertAlign w:val="superscript"/>
                <w14:textFill>
                  <w14:solidFill>
                    <w14:schemeClr w14:val="tx1"/>
                  </w14:solidFill>
                </w14:textFill>
              </w:rPr>
              <w:t>-4</w:t>
            </w:r>
          </w:p>
        </w:tc>
        <w:tc>
          <w:tcPr>
            <w:tcW w:w="826" w:type="pct"/>
            <w:vAlign w:val="center"/>
          </w:tcPr>
          <w:p>
            <w:pPr>
              <w:widowControl/>
              <w:jc w:val="center"/>
              <w:rPr>
                <w:rFonts w:ascii="仿宋" w:hAnsi="仿宋" w:eastAsia="仿宋" w:cs="仿宋"/>
                <w:color w:val="000000" w:themeColor="text1"/>
                <w:kern w:val="0"/>
                <w:sz w:val="24"/>
                <w14:textFill>
                  <w14:solidFill>
                    <w14:schemeClr w14:val="tx1"/>
                  </w14:solidFill>
                </w14:textFill>
              </w:rPr>
            </w:pPr>
            <w:r>
              <w:rPr>
                <w:rFonts w:hint="eastAsia" w:ascii="仿宋" w:hAnsi="仿宋" w:eastAsia="仿宋" w:cs="仿宋"/>
                <w:color w:val="000000" w:themeColor="text1"/>
                <w:kern w:val="0"/>
                <w:sz w:val="24"/>
                <w14:textFill>
                  <w14:solidFill>
                    <w14:schemeClr w14:val="tx1"/>
                  </w14:solidFill>
                </w14:textFill>
              </w:rPr>
              <w:t>0.05</w:t>
            </w:r>
          </w:p>
        </w:tc>
      </w:tr>
    </w:tbl>
    <w:p>
      <w:pPr>
        <w:spacing w:line="360" w:lineRule="auto"/>
        <w:rPr>
          <w:rFonts w:ascii="黑体" w:hAnsi="黑体" w:eastAsia="黑体"/>
          <w:sz w:val="28"/>
          <w:szCs w:val="28"/>
        </w:rPr>
      </w:pPr>
      <w:r>
        <w:rPr>
          <w:rFonts w:hint="eastAsia" w:ascii="黑体" w:hAnsi="黑体" w:eastAsia="黑体"/>
          <w:sz w:val="28"/>
          <w:szCs w:val="28"/>
        </w:rPr>
        <w:t>5检测结果</w:t>
      </w:r>
    </w:p>
    <w:p>
      <w:pPr>
        <w:spacing w:line="360" w:lineRule="auto"/>
        <w:ind w:firstLine="560"/>
        <w:rPr>
          <w:rFonts w:ascii="Times New Roman" w:hAnsi="Times New Roman"/>
          <w:sz w:val="28"/>
          <w:szCs w:val="28"/>
        </w:rPr>
      </w:pPr>
      <w:r>
        <w:rPr>
          <w:rFonts w:hint="eastAsia" w:ascii="Times New Roman" w:hAnsi="Times New Roman"/>
          <w:sz w:val="28"/>
          <w:szCs w:val="28"/>
        </w:rPr>
        <w:t>本次验收效果评估采用逐一对比的方法进行土壤修复效果评估</w:t>
      </w:r>
      <w:r>
        <w:rPr>
          <w:rFonts w:hint="eastAsia" w:ascii="Times New Roman" w:hAnsi="Times New Roman"/>
          <w:sz w:val="28"/>
          <w:szCs w:val="28"/>
          <w:lang w:eastAsia="zh-CN"/>
        </w:rPr>
        <w:t>：</w:t>
      </w:r>
      <w:r>
        <w:rPr>
          <w:rFonts w:hint="eastAsia" w:ascii="Times New Roman" w:hAnsi="Times New Roman"/>
          <w:sz w:val="28"/>
          <w:szCs w:val="28"/>
        </w:rPr>
        <w:t>a）若检测值低于或等于修标准值，达到修复效果；b）检测值高于评估标准值，未达到修复效果。</w:t>
      </w:r>
    </w:p>
    <w:p>
      <w:pPr>
        <w:spacing w:line="360" w:lineRule="auto"/>
        <w:ind w:firstLine="560"/>
        <w:rPr>
          <w:rFonts w:ascii="Times New Roman" w:hAnsi="Times New Roman"/>
          <w:sz w:val="28"/>
          <w:szCs w:val="28"/>
        </w:rPr>
      </w:pPr>
      <w:r>
        <w:rPr>
          <w:rFonts w:hint="eastAsia" w:ascii="Times New Roman" w:hAnsi="Times New Roman"/>
          <w:sz w:val="28"/>
          <w:szCs w:val="28"/>
        </w:rPr>
        <w:t>本项目共采集坑底</w:t>
      </w:r>
      <w:r>
        <w:rPr>
          <w:rFonts w:hint="eastAsia" w:ascii="Times New Roman" w:hAnsi="Times New Roman"/>
          <w:sz w:val="28"/>
          <w:szCs w:val="28"/>
          <w:lang w:eastAsia="zh-CN"/>
        </w:rPr>
        <w:t>、</w:t>
      </w:r>
      <w:r>
        <w:rPr>
          <w:rFonts w:hint="eastAsia" w:ascii="Times New Roman" w:hAnsi="Times New Roman"/>
          <w:sz w:val="28"/>
          <w:szCs w:val="28"/>
        </w:rPr>
        <w:t>侧壁</w:t>
      </w:r>
      <w:r>
        <w:rPr>
          <w:rFonts w:hint="eastAsia" w:ascii="Times New Roman" w:hAnsi="Times New Roman"/>
          <w:sz w:val="28"/>
          <w:szCs w:val="28"/>
          <w:lang w:eastAsia="zh-CN"/>
        </w:rPr>
        <w:t>、</w:t>
      </w:r>
      <w:r>
        <w:rPr>
          <w:rFonts w:hint="eastAsia" w:ascii="Times New Roman" w:hAnsi="Times New Roman"/>
          <w:sz w:val="28"/>
          <w:szCs w:val="28"/>
        </w:rPr>
        <w:t>堆土样品</w:t>
      </w:r>
      <w:r>
        <w:rPr>
          <w:rFonts w:hint="eastAsia" w:ascii="Times New Roman" w:hAnsi="Times New Roman"/>
          <w:sz w:val="28"/>
          <w:szCs w:val="28"/>
          <w:lang w:eastAsia="zh-CN"/>
        </w:rPr>
        <w:t>分别为</w:t>
      </w:r>
      <w:r>
        <w:rPr>
          <w:rFonts w:hint="eastAsia" w:ascii="Times New Roman" w:hAnsi="Times New Roman"/>
          <w:sz w:val="28"/>
          <w:szCs w:val="28"/>
          <w:lang w:val="en-US" w:eastAsia="zh-CN"/>
        </w:rPr>
        <w:t>9、12、12个</w:t>
      </w:r>
      <w:r>
        <w:rPr>
          <w:rFonts w:hint="eastAsia" w:ascii="Times New Roman" w:hAnsi="Times New Roman"/>
          <w:sz w:val="28"/>
          <w:szCs w:val="28"/>
        </w:rPr>
        <w:t>。基坑清挖后坑底监测结果见图3、图4，坑底土壤铅、砷均达到验收标准。基坑清挖后侧壁验收结果见图5、图6，侧壁土壤铅、砷除两个单元外，其余达到验收标准，对铅超标单元进行二次扩挖内扩0</w:t>
      </w:r>
      <w:r>
        <w:rPr>
          <w:rFonts w:ascii="Times New Roman" w:hAnsi="Times New Roman"/>
          <w:sz w:val="28"/>
          <w:szCs w:val="28"/>
        </w:rPr>
        <w:t>.5m</w:t>
      </w:r>
      <w:r>
        <w:rPr>
          <w:rFonts w:hint="eastAsia" w:ascii="Times New Roman" w:hAnsi="Times New Roman"/>
          <w:sz w:val="28"/>
          <w:szCs w:val="28"/>
        </w:rPr>
        <w:t>共3</w:t>
      </w:r>
      <w:r>
        <w:rPr>
          <w:rFonts w:ascii="Times New Roman" w:hAnsi="Times New Roman"/>
          <w:sz w:val="28"/>
          <w:szCs w:val="28"/>
        </w:rPr>
        <w:t>0 m</w:t>
      </w:r>
      <w:r>
        <w:rPr>
          <w:rFonts w:ascii="Times New Roman" w:hAnsi="Times New Roman"/>
          <w:sz w:val="28"/>
          <w:szCs w:val="28"/>
          <w:vertAlign w:val="superscript"/>
        </w:rPr>
        <w:t>3</w:t>
      </w:r>
      <w:r>
        <w:rPr>
          <w:rFonts w:ascii="Times New Roman" w:hAnsi="Times New Roman"/>
          <w:sz w:val="28"/>
          <w:szCs w:val="28"/>
        </w:rPr>
        <w:t>土壤</w:t>
      </w:r>
      <w:r>
        <w:rPr>
          <w:rFonts w:hint="eastAsia" w:ascii="Times New Roman" w:hAnsi="Times New Roman"/>
          <w:sz w:val="28"/>
          <w:szCs w:val="28"/>
        </w:rPr>
        <w:t>，扩挖后二次验收合格。修复后堆土砷铅浸出液监测结果汇总见表5，结果均低于验收标准值。</w:t>
      </w:r>
    </w:p>
    <w:p>
      <w:pPr>
        <w:spacing w:line="360" w:lineRule="auto"/>
        <w:ind w:firstLine="560"/>
        <w:rPr>
          <w:rFonts w:ascii="Times New Roman" w:hAnsi="Times New Roman"/>
          <w:sz w:val="28"/>
          <w:szCs w:val="28"/>
        </w:rPr>
      </w:pPr>
      <w:r>
        <w:drawing>
          <wp:inline distT="0" distB="0" distL="0" distR="0">
            <wp:extent cx="4705350" cy="3228975"/>
            <wp:effectExtent l="0" t="0" r="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ind w:firstLine="560"/>
        <w:rPr>
          <w:rFonts w:ascii="Times New Roman" w:hAnsi="Times New Roman"/>
          <w:sz w:val="28"/>
          <w:szCs w:val="28"/>
        </w:rPr>
      </w:pPr>
      <w:r>
        <w:rPr>
          <w:sz w:val="21"/>
        </w:rPr>
        <mc:AlternateContent>
          <mc:Choice Requires="wps">
            <w:drawing>
              <wp:anchor distT="0" distB="0" distL="114300" distR="114300" simplePos="0" relativeHeight="251744256" behindDoc="0" locked="0" layoutInCell="1" allowOverlap="1">
                <wp:simplePos x="0" y="0"/>
                <wp:positionH relativeFrom="column">
                  <wp:posOffset>4229735</wp:posOffset>
                </wp:positionH>
                <wp:positionV relativeFrom="paragraph">
                  <wp:posOffset>161290</wp:posOffset>
                </wp:positionV>
                <wp:extent cx="635000" cy="274955"/>
                <wp:effectExtent l="0" t="0" r="12700" b="10795"/>
                <wp:wrapNone/>
                <wp:docPr id="13" name="文本框 13"/>
                <wp:cNvGraphicFramePr/>
                <a:graphic xmlns:a="http://schemas.openxmlformats.org/drawingml/2006/main">
                  <a:graphicData uri="http://schemas.microsoft.com/office/word/2010/wordprocessingShape">
                    <wps:wsp>
                      <wps:cNvSpPr txBox="1"/>
                      <wps:spPr>
                        <a:xfrm>
                          <a:off x="5372735" y="1075690"/>
                          <a:ext cx="63500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标准值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05pt;margin-top:12.7pt;height:21.65pt;width:50pt;z-index:251744256;mso-width-relative:page;mso-height-relative:page;" fillcolor="#CCE8CF [3201]" filled="t" stroked="f" coordsize="21600,21600" o:gfxdata="UEsDBAoAAAAAAIdO4kAAAAAAAAAAAAAAAAAEAAAAZHJzL1BLAwQUAAAACACHTuJAx7+A3tcAAAAJ&#10;AQAADwAAAGRycy9kb3ducmV2LnhtbE2Py07DMBBF90j9B2sqsaN2KpqmIU4XSCCBxIKC1K0bOw/V&#10;HgfbbcrfM7Apy5l7dOdMtb04y84mxMGjhGwhgBlsvB6wk/D58XRXAItJoVbWo5HwbSJs69lNpUrt&#10;J3w3513qGJVgLJWEPqWx5Dw2vXEqLvxokLLWB6cSjaHjOqiJyp3lSyFy7tSAdKFXo3nsTXPcnZwE&#10;sSrs6/HtC9uwf7HP7X6zmXyS8naeiQdgyVzSFYZffVKHmpwO/oQ6Mishz/OMUAnL1T0wAtZ/iwMl&#10;xRp4XfH/H9Q/UEsDBBQAAAAIAIdO4kB/lDlbQAIAAE4EAAAOAAAAZHJzL2Uyb0RvYy54bWytVM2O&#10;0zAQviPxDpbvNOlP2m3VdFW6FCFV7EoFcXYdp4nkeIztNikPAG/AiQt3nqvPwdhJd8vPCXFxZzxf&#10;P898M5P5bVNJchTGlqBS2u/FlAjFISvVPqXv361f3FBiHVMZk6BESk/C0tvF82fzWs/EAAqQmTAE&#10;SZSd1TqlhXN6FkWWF6JitgdaKAzmYCrm0DX7KDOsRvZKRoM4Hkc1mEwb4MJavL1rg3QR+PNccHef&#10;51Y4IlOKublwmnDu/Bkt5my2N0wXJe/SYP+QRcVKhY8+Ut0xx8jBlH9QVSU3YCF3PQ5VBHlechFq&#10;wGr68W/VbAumRagFxbH6USb7/2j52+ODIWWGvRtSoliFPTp//XL+9uP8/TPBOxSo1naGuK1GpGte&#10;QoPgy73FS193k5vK/2JFBOPJcDKYDBNKToiNJ8l42kktGkc4AsbDJI6xIRwBg8lomiSeMXoi0sa6&#10;1wIq4o2UGuxkEJgdN9a10AvEv2tBltm6lDI4Zr9bSUOODLu+Wr26Wa079l9gUpG6zSQwK/D/b6ml&#10;wmR83W193nLNrunE2EF2Qi0MtONkNV+XmOWGWffADM4PFoY74e7xyCXgI9BZlBRgPv3t3uOxrRil&#10;pMZ5TKn9eGBGUCLfKGz4tD8a+QEOziiZDNAx15HddUQdqhVg8X3cPs2D6fFOXszcQPUBV2fpX8UQ&#10;UxzfTqm7mCvXbgmuHhfLZQDhyGrmNmqruaf2UitYHhzkZWiJl6nVplMPhzY0tVswvxXXfkA9fQY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Hv4De1wAAAAkBAAAPAAAAAAAAAAEAIAAAACIAAABk&#10;cnMvZG93bnJldi54bWxQSwECFAAUAAAACACHTuJAf5Q5W0ACAABOBAAADgAAAAAAAAABACAAAAAm&#10;AQAAZHJzL2Uyb0RvYy54bWxQSwUGAAAAAAYABgBZAQAA2AUAAAAA&#10;">
                <v:fill on="t" focussize="0,0"/>
                <v:stroke on="f" weight="0.5pt"/>
                <v:imagedata o:title=""/>
                <o:lock v:ext="edit" aspectratio="f"/>
                <v:textbox>
                  <w:txbxContent>
                    <w:p>
                      <w:pPr>
                        <w:rPr>
                          <w:rFonts w:hint="eastAsia" w:eastAsia="宋体"/>
                          <w:lang w:val="en-US" w:eastAsia="zh-CN"/>
                        </w:rPr>
                      </w:pPr>
                      <w:r>
                        <w:rPr>
                          <w:rFonts w:hint="eastAsia"/>
                          <w:lang w:val="en-US" w:eastAsia="zh-CN"/>
                        </w:rPr>
                        <w:t>标准值</w:t>
                      </w:r>
                    </w:p>
                  </w:txbxContent>
                </v:textbox>
              </v:shape>
            </w:pict>
          </mc:Fallback>
        </mc:AlternateContent>
      </w:r>
      <w:r>
        <w:drawing>
          <wp:inline distT="0" distB="0" distL="114300" distR="114300">
            <wp:extent cx="4610100" cy="3771900"/>
            <wp:effectExtent l="5080" t="4445" r="13970" b="14605"/>
            <wp:docPr id="107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ind w:firstLine="560"/>
        <w:rPr>
          <w:rFonts w:ascii="Times New Roman" w:hAnsi="Times New Roman"/>
          <w:sz w:val="28"/>
          <w:szCs w:val="28"/>
        </w:rPr>
      </w:pPr>
    </w:p>
    <w:p>
      <w:pPr>
        <w:spacing w:line="360" w:lineRule="auto"/>
        <w:ind w:firstLine="560"/>
        <w:jc w:val="center"/>
        <w:rPr>
          <w:rFonts w:ascii="Times New Roman" w:hAnsi="Times New Roman"/>
          <w:sz w:val="28"/>
          <w:szCs w:val="28"/>
        </w:rPr>
      </w:pPr>
      <w:r>
        <w:drawing>
          <wp:inline distT="0" distB="0" distL="0" distR="0">
            <wp:extent cx="5086350" cy="32194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ind w:firstLine="560"/>
        <w:jc w:val="center"/>
        <w:rPr>
          <w:rFonts w:ascii="Times New Roman" w:hAnsi="Times New Roman"/>
          <w:sz w:val="28"/>
          <w:szCs w:val="28"/>
        </w:rPr>
      </w:pPr>
    </w:p>
    <w:p>
      <w:pPr>
        <w:jc w:val="center"/>
        <w:rPr>
          <w:rFonts w:ascii="Times New Roman" w:hAnsi="Times New Roman"/>
          <w:b/>
          <w:color w:val="000000" w:themeColor="text1"/>
          <w:sz w:val="28"/>
          <w:szCs w:val="28"/>
          <w14:textFill>
            <w14:solidFill>
              <w14:schemeClr w14:val="tx1"/>
            </w14:solidFill>
          </w14:textFill>
        </w:rPr>
      </w:pPr>
      <w:r>
        <mc:AlternateContent>
          <mc:Choice Requires="wps">
            <w:drawing>
              <wp:anchor distT="0" distB="0" distL="114300" distR="114300" simplePos="0" relativeHeight="251743232" behindDoc="0" locked="0" layoutInCell="1" allowOverlap="1">
                <wp:simplePos x="0" y="0"/>
                <wp:positionH relativeFrom="column">
                  <wp:posOffset>4498975</wp:posOffset>
                </wp:positionH>
                <wp:positionV relativeFrom="paragraph">
                  <wp:posOffset>147955</wp:posOffset>
                </wp:positionV>
                <wp:extent cx="628650" cy="442595"/>
                <wp:effectExtent l="0" t="0" r="0" b="14605"/>
                <wp:wrapNone/>
                <wp:docPr id="14" name="文本框 14"/>
                <wp:cNvGraphicFramePr/>
                <a:graphic xmlns:a="http://schemas.openxmlformats.org/drawingml/2006/main">
                  <a:graphicData uri="http://schemas.microsoft.com/office/word/2010/wordprocessingShape">
                    <wps:wsp>
                      <wps:cNvSpPr txBox="1"/>
                      <wps:spPr>
                        <a:xfrm>
                          <a:off x="0" y="0"/>
                          <a:ext cx="628650" cy="442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inorEastAsia" w:hAnsiTheme="minorEastAsia" w:eastAsiaTheme="minorEastAsia"/>
                              </w:rPr>
                            </w:pPr>
                            <w:r>
                              <w:rPr>
                                <w:rFonts w:hint="eastAsia" w:asciiTheme="minorEastAsia" w:hAnsiTheme="minorEastAsia" w:eastAsiaTheme="minorEastAsia"/>
                              </w:rPr>
                              <w:t>标准</w:t>
                            </w:r>
                            <w:r>
                              <w:rPr>
                                <w:rFonts w:asciiTheme="minorEastAsia" w:hAnsiTheme="minorEastAsia" w:eastAsiaTheme="minorEastAsia"/>
                              </w:rPr>
                              <w:t>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25pt;margin-top:11.65pt;height:34.85pt;width:49.5pt;z-index:251743232;mso-width-relative:page;mso-height-relative:page;" fillcolor="#CCE8CF [3201]" filled="t" stroked="f" coordsize="21600,21600" o:gfxdata="UEsDBAoAAAAAAIdO4kAAAAAAAAAAAAAAAAAEAAAAZHJzL1BLAwQUAAAACACHTuJAwJUHB9gAAAAJ&#10;AQAADwAAAGRycy9kb3ducmV2LnhtbE2PTU/DMAyG70j8h8hI3FiyVWNtqbsDEkggcWAg7Zo16YeW&#10;OKXJ1vHvMSc42n70+nmr7cU7cbZTHAIhLBcKhKUmmIE6hM+Pp7scREyajHaBLMK3jbCtr68qXZow&#10;07s971InOIRiqRH6lMZSytj01uu4CKMlvrVh8jrxOHXSTHrmcO/kSql76fVA/KHXo33sbXPcnTyC&#10;Wufu9fj2Re20f3HP7b4o5pAQb2+W6gFEspf0B8OvPqtDzU6HcCIThUPYqHzNKMIqy0AwkKsNLw4I&#10;RaZA1pX836D+AVBLAwQUAAAACACHTuJAHDncLzoCAABQBAAADgAAAGRycy9lMm9Eb2MueG1srVTN&#10;jtowEL5X6jtYvpcADZRFhBVlS1UJdVeiVc/GsUkkx+PahoQ+QPsGPfXSe5+L5+jYCSz9OVW9mPnL&#10;NzPfzDC7bSpFDsK6EnRGB70+JUJzyEu9y+j7d6tnE0qcZzpnCrTI6FE4ejt/+mRWm6kYQgEqF5Yg&#10;iHbT2mS08N5Mk8TxQlTM9cAIjU4JtmIeVbtLcstqRK9UMuz3x0kNNjcWuHAOrXetk84jvpSC+3sp&#10;nfBEZRRr8/G18d2GN5nP2HRnmSlK3pXB/qGKipUak16g7phnZG/LP6CqkltwIH2PQ5WAlCUXsQfs&#10;ZtD/rZtNwYyIvSA5zlxocv8Plr89PFhS5ji7lBLNKpzR6euX07cfp++fCdqQoNq4KcZtDEb65iU0&#10;GHy2OzSGvhtpq/CLHRH0I9XHC72i8YSjcTycjEfo4ehK0+HoZhRQksePjXX+tYCKBCGjFqcXSWWH&#10;tfNt6Dkk5HKgynxVKhUVu9sulSUHhpNeLl9NlqsO/ZcwpUmNlTzHOsJXGsL3LbTSwSLi0nT5Qudt&#10;h0Hyzbbp6NhCfkQ2LLQL5QxflVjzmjn/wCxuELaJV+Hv8ZEKMCV0EiUF2E9/s4d4HCx6KalxIzPq&#10;Pu6ZFZSoNxpHfjNI07DCUUlHL4ao2GvP9tqj99USkIoB3p/hUQzxXp1FaaH6gMezCFnRxTTH3Bn1&#10;Z3Hp2zvB4+NisYhBuLSG+bXeGB6gWwoXew+yjAMKNLXc4GCDgmsbR9ydWLiLaz1GPf4Rz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JUHB9gAAAAJAQAADwAAAAAAAAABACAAAAAiAAAAZHJzL2Rv&#10;d25yZXYueG1sUEsBAhQAFAAAAAgAh07iQBw53C86AgAAUAQAAA4AAAAAAAAAAQAgAAAAJwEAAGRy&#10;cy9lMm9Eb2MueG1sUEsFBgAAAAAGAAYAWQEAANMFAAAAAA==&#10;">
                <v:fill on="t" focussize="0,0"/>
                <v:stroke on="f" weight="0.5pt"/>
                <v:imagedata o:title=""/>
                <o:lock v:ext="edit" aspectratio="f"/>
                <v:textbox>
                  <w:txbxContent>
                    <w:p>
                      <w:pPr>
                        <w:rPr>
                          <w:rFonts w:asciiTheme="minorEastAsia" w:hAnsiTheme="minorEastAsia" w:eastAsiaTheme="minorEastAsia"/>
                        </w:rPr>
                      </w:pPr>
                      <w:r>
                        <w:rPr>
                          <w:rFonts w:hint="eastAsia" w:asciiTheme="minorEastAsia" w:hAnsiTheme="minorEastAsia" w:eastAsiaTheme="minorEastAsia"/>
                        </w:rPr>
                        <w:t>标准</w:t>
                      </w:r>
                      <w:r>
                        <w:rPr>
                          <w:rFonts w:asciiTheme="minorEastAsia" w:hAnsiTheme="minorEastAsia" w:eastAsiaTheme="minorEastAsia"/>
                        </w:rPr>
                        <w:t>值</w:t>
                      </w:r>
                    </w:p>
                  </w:txbxContent>
                </v:textbox>
              </v:shape>
            </w:pict>
          </mc:Fallback>
        </mc:AlternateContent>
      </w:r>
      <w:r>
        <w:drawing>
          <wp:inline distT="0" distB="0" distL="114300" distR="114300">
            <wp:extent cx="5224145" cy="3401695"/>
            <wp:effectExtent l="4445" t="4445" r="10160" b="22860"/>
            <wp:docPr id="107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ascii="Times New Roman" w:hAnsi="Times New Roman"/>
          <w:b/>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表 5 修复后堆土砷铅浸出监测结果汇总</w:t>
      </w:r>
    </w:p>
    <w:tbl>
      <w:tblPr>
        <w:tblStyle w:val="8"/>
        <w:tblW w:w="4997"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5"/>
        <w:gridCol w:w="1456"/>
        <w:gridCol w:w="1640"/>
        <w:gridCol w:w="1458"/>
        <w:gridCol w:w="910"/>
        <w:gridCol w:w="1458"/>
        <w:gridCol w:w="9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402"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序号</w:t>
            </w:r>
          </w:p>
        </w:tc>
        <w:tc>
          <w:tcPr>
            <w:tcW w:w="855" w:type="pct"/>
            <w:tcBorders>
              <w:top w:val="single" w:color="auto" w:sz="4" w:space="0"/>
              <w:bottom w:val="single" w:color="auto" w:sz="4" w:space="0"/>
            </w:tcBorders>
            <w:shd w:val="clear" w:color="auto" w:fill="auto"/>
            <w:noWrap/>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样品数量</w:t>
            </w:r>
          </w:p>
        </w:tc>
        <w:tc>
          <w:tcPr>
            <w:tcW w:w="963"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监测指标</w:t>
            </w:r>
          </w:p>
        </w:tc>
        <w:tc>
          <w:tcPr>
            <w:tcW w:w="856"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监测结果</w:t>
            </w:r>
          </w:p>
        </w:tc>
        <w:tc>
          <w:tcPr>
            <w:tcW w:w="534"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标准值</w:t>
            </w:r>
          </w:p>
        </w:tc>
        <w:tc>
          <w:tcPr>
            <w:tcW w:w="856"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单位</w:t>
            </w:r>
          </w:p>
        </w:tc>
        <w:tc>
          <w:tcPr>
            <w:tcW w:w="534" w:type="pct"/>
            <w:tcBorders>
              <w:top w:val="single" w:color="auto" w:sz="4" w:space="0"/>
              <w:bottom w:val="single" w:color="auto" w:sz="4" w:space="0"/>
            </w:tcBorders>
            <w:shd w:val="clear" w:color="auto" w:fill="auto"/>
            <w:vAlign w:val="center"/>
          </w:tcPr>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结果</w:t>
            </w:r>
          </w:p>
          <w:p>
            <w:pPr>
              <w:widowControl/>
              <w:jc w:val="center"/>
              <w:rPr>
                <w:rFonts w:ascii="Times New Roman" w:hAnsi="Times New Roman" w:eastAsia="仿宋"/>
                <w:b/>
                <w:color w:val="000000" w:themeColor="text1"/>
                <w:kern w:val="0"/>
                <w:szCs w:val="21"/>
                <w14:textFill>
                  <w14:solidFill>
                    <w14:schemeClr w14:val="tx1"/>
                  </w14:solidFill>
                </w14:textFill>
              </w:rPr>
            </w:pPr>
            <w:r>
              <w:rPr>
                <w:rFonts w:ascii="Times New Roman" w:hAnsi="Times New Roman" w:eastAsia="仿宋"/>
                <w:b/>
                <w:color w:val="000000" w:themeColor="text1"/>
                <w:kern w:val="0"/>
                <w:szCs w:val="21"/>
                <w14:textFill>
                  <w14:solidFill>
                    <w14:schemeClr w14:val="tx1"/>
                  </w14:solidFill>
                </w14:textFill>
              </w:rPr>
              <w:t>评定</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402" w:type="pct"/>
            <w:vMerge w:val="restar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1</w:t>
            </w:r>
          </w:p>
        </w:tc>
        <w:tc>
          <w:tcPr>
            <w:tcW w:w="855" w:type="pct"/>
            <w:vMerge w:val="restart"/>
            <w:tcBorders>
              <w:top w:val="single" w:color="auto" w:sz="4" w:space="0"/>
            </w:tcBorders>
            <w:shd w:val="clear" w:color="auto" w:fill="auto"/>
            <w:noWrap/>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12</w:t>
            </w:r>
          </w:p>
        </w:tc>
        <w:tc>
          <w:tcPr>
            <w:tcW w:w="963" w:type="pc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pH</w:t>
            </w:r>
          </w:p>
        </w:tc>
        <w:tc>
          <w:tcPr>
            <w:tcW w:w="856" w:type="pc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8.59 - 9.20</w:t>
            </w:r>
          </w:p>
        </w:tc>
        <w:tc>
          <w:tcPr>
            <w:tcW w:w="534" w:type="pc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w:t>
            </w:r>
          </w:p>
        </w:tc>
        <w:tc>
          <w:tcPr>
            <w:tcW w:w="856" w:type="pc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无量纲</w:t>
            </w:r>
          </w:p>
        </w:tc>
        <w:tc>
          <w:tcPr>
            <w:tcW w:w="534" w:type="pct"/>
            <w:tcBorders>
              <w:top w:val="single" w:color="auto" w:sz="4" w:space="0"/>
            </w:tcBorders>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402" w:type="pct"/>
            <w:vMerge w:val="continue"/>
            <w:shd w:val="clear" w:color="auto" w:fill="auto"/>
            <w:vAlign w:val="center"/>
          </w:tcPr>
          <w:p>
            <w:pPr>
              <w:widowControl/>
              <w:jc w:val="left"/>
              <w:rPr>
                <w:rFonts w:ascii="Times New Roman" w:hAnsi="Times New Roman" w:eastAsia="仿宋"/>
                <w:color w:val="000000" w:themeColor="text1"/>
                <w:kern w:val="0"/>
                <w:szCs w:val="21"/>
                <w14:textFill>
                  <w14:solidFill>
                    <w14:schemeClr w14:val="tx1"/>
                  </w14:solidFill>
                </w14:textFill>
              </w:rPr>
            </w:pPr>
          </w:p>
        </w:tc>
        <w:tc>
          <w:tcPr>
            <w:tcW w:w="855" w:type="pct"/>
            <w:vMerge w:val="continue"/>
            <w:vAlign w:val="center"/>
          </w:tcPr>
          <w:p>
            <w:pPr>
              <w:widowControl/>
              <w:jc w:val="left"/>
              <w:rPr>
                <w:rFonts w:ascii="Times New Roman" w:hAnsi="Times New Roman" w:eastAsia="仿宋"/>
                <w:color w:val="000000" w:themeColor="text1"/>
                <w:kern w:val="0"/>
                <w:szCs w:val="21"/>
                <w14:textFill>
                  <w14:solidFill>
                    <w14:schemeClr w14:val="tx1"/>
                  </w14:solidFill>
                </w14:textFill>
              </w:rPr>
            </w:pPr>
          </w:p>
        </w:tc>
        <w:tc>
          <w:tcPr>
            <w:tcW w:w="963"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铅（浸出）</w:t>
            </w:r>
          </w:p>
        </w:tc>
        <w:tc>
          <w:tcPr>
            <w:tcW w:w="856"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ND - 0.06</w:t>
            </w:r>
          </w:p>
        </w:tc>
        <w:tc>
          <w:tcPr>
            <w:tcW w:w="534"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0.1</w:t>
            </w:r>
          </w:p>
        </w:tc>
        <w:tc>
          <w:tcPr>
            <w:tcW w:w="856"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mg/L</w:t>
            </w:r>
          </w:p>
        </w:tc>
        <w:tc>
          <w:tcPr>
            <w:tcW w:w="534"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 w:val="24"/>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402" w:type="pct"/>
            <w:vMerge w:val="continue"/>
            <w:shd w:val="clear" w:color="auto" w:fill="auto"/>
            <w:vAlign w:val="center"/>
          </w:tcPr>
          <w:p>
            <w:pPr>
              <w:widowControl/>
              <w:jc w:val="left"/>
              <w:rPr>
                <w:rFonts w:ascii="Times New Roman" w:hAnsi="Times New Roman" w:eastAsia="仿宋"/>
                <w:color w:val="000000" w:themeColor="text1"/>
                <w:kern w:val="0"/>
                <w:szCs w:val="21"/>
                <w14:textFill>
                  <w14:solidFill>
                    <w14:schemeClr w14:val="tx1"/>
                  </w14:solidFill>
                </w14:textFill>
              </w:rPr>
            </w:pPr>
          </w:p>
        </w:tc>
        <w:tc>
          <w:tcPr>
            <w:tcW w:w="855" w:type="pct"/>
            <w:vMerge w:val="continue"/>
            <w:vAlign w:val="center"/>
          </w:tcPr>
          <w:p>
            <w:pPr>
              <w:widowControl/>
              <w:jc w:val="left"/>
              <w:rPr>
                <w:rFonts w:ascii="Times New Roman" w:hAnsi="Times New Roman" w:eastAsia="仿宋"/>
                <w:color w:val="000000" w:themeColor="text1"/>
                <w:kern w:val="0"/>
                <w:szCs w:val="21"/>
                <w14:textFill>
                  <w14:solidFill>
                    <w14:schemeClr w14:val="tx1"/>
                  </w14:solidFill>
                </w14:textFill>
              </w:rPr>
            </w:pPr>
          </w:p>
        </w:tc>
        <w:tc>
          <w:tcPr>
            <w:tcW w:w="963"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砷（浸出）</w:t>
            </w:r>
          </w:p>
        </w:tc>
        <w:tc>
          <w:tcPr>
            <w:tcW w:w="856"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2.4E-3</w:t>
            </w:r>
            <w:r>
              <w:rPr>
                <w:rFonts w:hint="eastAsia" w:ascii="Times New Roman" w:hAnsi="Times New Roman" w:eastAsia="仿宋"/>
                <w:color w:val="000000" w:themeColor="text1"/>
                <w:kern w:val="0"/>
                <w:szCs w:val="21"/>
                <w14:textFill>
                  <w14:solidFill>
                    <w14:schemeClr w14:val="tx1"/>
                  </w14:solidFill>
                </w14:textFill>
              </w:rPr>
              <w:t>-</w:t>
            </w:r>
            <w:r>
              <w:rPr>
                <w:rFonts w:ascii="Times New Roman" w:hAnsi="Times New Roman" w:eastAsia="仿宋"/>
                <w:color w:val="000000" w:themeColor="text1"/>
                <w:kern w:val="0"/>
                <w:szCs w:val="21"/>
                <w14:textFill>
                  <w14:solidFill>
                    <w14:schemeClr w14:val="tx1"/>
                  </w14:solidFill>
                </w14:textFill>
              </w:rPr>
              <w:t>6.2E-3</w:t>
            </w:r>
          </w:p>
        </w:tc>
        <w:tc>
          <w:tcPr>
            <w:tcW w:w="534"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0.05</w:t>
            </w:r>
          </w:p>
        </w:tc>
        <w:tc>
          <w:tcPr>
            <w:tcW w:w="856"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Cs w:val="21"/>
                <w14:textFill>
                  <w14:solidFill>
                    <w14:schemeClr w14:val="tx1"/>
                  </w14:solidFill>
                </w14:textFill>
              </w:rPr>
              <w:t>mg/L</w:t>
            </w:r>
          </w:p>
        </w:tc>
        <w:tc>
          <w:tcPr>
            <w:tcW w:w="534" w:type="pct"/>
            <w:shd w:val="clear" w:color="auto" w:fill="auto"/>
            <w:vAlign w:val="center"/>
          </w:tcPr>
          <w:p>
            <w:pPr>
              <w:widowControl/>
              <w:jc w:val="center"/>
              <w:rPr>
                <w:rFonts w:ascii="Times New Roman" w:hAnsi="Times New Roman" w:eastAsia="仿宋"/>
                <w:color w:val="000000" w:themeColor="text1"/>
                <w:kern w:val="0"/>
                <w:szCs w:val="21"/>
                <w14:textFill>
                  <w14:solidFill>
                    <w14:schemeClr w14:val="tx1"/>
                  </w14:solidFill>
                </w14:textFill>
              </w:rPr>
            </w:pPr>
            <w:r>
              <w:rPr>
                <w:rFonts w:ascii="Times New Roman" w:hAnsi="Times New Roman" w:eastAsia="仿宋"/>
                <w:color w:val="000000" w:themeColor="text1"/>
                <w:kern w:val="0"/>
                <w:sz w:val="24"/>
                <w14:textFill>
                  <w14:solidFill>
                    <w14:schemeClr w14:val="tx1"/>
                  </w14:solidFill>
                </w14:textFill>
              </w:rPr>
              <w:t>合格</w:t>
            </w:r>
          </w:p>
        </w:tc>
      </w:tr>
    </w:tbl>
    <w:p>
      <w:pPr>
        <w:spacing w:line="360" w:lineRule="auto"/>
        <w:rPr>
          <w:rFonts w:ascii="黑体" w:hAnsi="黑体" w:eastAsia="黑体"/>
          <w:sz w:val="28"/>
          <w:szCs w:val="28"/>
        </w:rPr>
      </w:pPr>
      <w:r>
        <w:rPr>
          <w:rFonts w:hint="eastAsia" w:ascii="黑体" w:hAnsi="黑体" w:eastAsia="黑体"/>
          <w:sz w:val="28"/>
          <w:szCs w:val="28"/>
        </w:rPr>
        <w:t>5.3潜在二次污染监测结果</w:t>
      </w:r>
    </w:p>
    <w:p>
      <w:pPr>
        <w:spacing w:line="360" w:lineRule="auto"/>
        <w:ind w:firstLine="560"/>
        <w:rPr>
          <w:rFonts w:ascii="Times New Roman" w:hAnsi="Times New Roman"/>
          <w:sz w:val="28"/>
          <w:szCs w:val="28"/>
        </w:rPr>
      </w:pPr>
      <w:r>
        <w:rPr>
          <w:rFonts w:ascii="Times New Roman" w:hAnsi="Times New Roman"/>
          <w:sz w:val="28"/>
          <w:szCs w:val="28"/>
        </w:rPr>
        <w:t>二次污染效果评估</w:t>
      </w:r>
      <w:r>
        <w:rPr>
          <w:rFonts w:hint="eastAsia" w:ascii="Times New Roman" w:hAnsi="Times New Roman"/>
          <w:sz w:val="28"/>
          <w:szCs w:val="28"/>
        </w:rPr>
        <w:t>在污染土壤暂存区、建筑垃圾堆放区、短驳道路、基坑降水暂存区共布设4个点位，采集去除杂质后的土壤0~20cm表层样</w:t>
      </w:r>
      <w:r>
        <w:rPr>
          <w:rFonts w:hint="eastAsia" w:ascii="Times New Roman" w:hAnsi="Times New Roman"/>
          <w:sz w:val="28"/>
          <w:szCs w:val="28"/>
          <w:lang w:eastAsia="zh-CN"/>
        </w:rPr>
        <w:t>、</w:t>
      </w:r>
      <w:r>
        <w:rPr>
          <w:rFonts w:hint="eastAsia" w:ascii="Times New Roman" w:hAnsi="Times New Roman"/>
          <w:sz w:val="28"/>
          <w:szCs w:val="28"/>
        </w:rPr>
        <w:t>浅层地下水。检测结果汇总见表6，表层土壤和浅层地下水中铅、砷均未超过评价标准，表明</w:t>
      </w:r>
      <w:r>
        <w:rPr>
          <w:rFonts w:hint="eastAsia" w:ascii="Times New Roman" w:hAnsi="Times New Roman"/>
          <w:sz w:val="28"/>
          <w:szCs w:val="28"/>
          <w:lang w:eastAsia="zh-CN"/>
        </w:rPr>
        <w:t>修复区域</w:t>
      </w:r>
      <w:r>
        <w:rPr>
          <w:rFonts w:hint="eastAsia" w:ascii="Times New Roman" w:hAnsi="Times New Roman"/>
          <w:sz w:val="28"/>
          <w:szCs w:val="28"/>
        </w:rPr>
        <w:t>土壤和地下水</w:t>
      </w:r>
      <w:r>
        <w:rPr>
          <w:rFonts w:hint="eastAsia" w:ascii="Times New Roman" w:hAnsi="Times New Roman"/>
          <w:sz w:val="28"/>
          <w:szCs w:val="28"/>
          <w:lang w:eastAsia="zh-CN"/>
        </w:rPr>
        <w:t>未受修复过程影响</w:t>
      </w:r>
      <w:r>
        <w:rPr>
          <w:rFonts w:hint="eastAsia" w:ascii="Times New Roman" w:hAnsi="Times New Roman"/>
          <w:sz w:val="28"/>
          <w:szCs w:val="28"/>
        </w:rPr>
        <w:t>。</w:t>
      </w:r>
    </w:p>
    <w:p>
      <w:pPr>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表</w:t>
      </w:r>
      <w:r>
        <w:rPr>
          <w:b/>
          <w:color w:val="000000" w:themeColor="text1"/>
          <w:sz w:val="28"/>
          <w:szCs w:val="28"/>
          <w14:textFill>
            <w14:solidFill>
              <w14:schemeClr w14:val="tx1"/>
            </w14:solidFill>
          </w14:textFill>
        </w:rPr>
        <w:t>6</w:t>
      </w:r>
      <w:r>
        <w:rPr>
          <w:rFonts w:hint="eastAsia"/>
          <w:b/>
          <w:color w:val="000000" w:themeColor="text1"/>
          <w:sz w:val="28"/>
          <w:szCs w:val="28"/>
          <w14:textFill>
            <w14:solidFill>
              <w14:schemeClr w14:val="tx1"/>
            </w14:solidFill>
          </w14:textFill>
        </w:rPr>
        <w:t xml:space="preserve"> 二次污染</w:t>
      </w:r>
      <w:r>
        <w:rPr>
          <w:rFonts w:hint="eastAsia"/>
          <w:b/>
          <w:color w:val="000000" w:themeColor="text1"/>
          <w:sz w:val="28"/>
          <w:szCs w:val="28"/>
          <w:lang w:eastAsia="zh-CN"/>
          <w14:textFill>
            <w14:solidFill>
              <w14:schemeClr w14:val="tx1"/>
            </w14:solidFill>
          </w14:textFill>
        </w:rPr>
        <w:t>区域</w:t>
      </w:r>
      <w:r>
        <w:rPr>
          <w:rFonts w:hint="eastAsia"/>
          <w:b/>
          <w:color w:val="000000" w:themeColor="text1"/>
          <w:sz w:val="28"/>
          <w:szCs w:val="28"/>
          <w14:textFill>
            <w14:solidFill>
              <w14:schemeClr w14:val="tx1"/>
            </w14:solidFill>
          </w14:textFill>
        </w:rPr>
        <w:t>验收评估</w:t>
      </w:r>
    </w:p>
    <w:tbl>
      <w:tblPr>
        <w:tblStyle w:val="8"/>
        <w:tblW w:w="1086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7"/>
        <w:gridCol w:w="781"/>
        <w:gridCol w:w="2268"/>
        <w:gridCol w:w="161"/>
        <w:gridCol w:w="973"/>
        <w:gridCol w:w="1060"/>
        <w:gridCol w:w="850"/>
        <w:gridCol w:w="1008"/>
        <w:gridCol w:w="626"/>
        <w:gridCol w:w="865"/>
        <w:gridCol w:w="10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1207" w:type="dxa"/>
            <w:vMerge w:val="restart"/>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序号</w:t>
            </w:r>
          </w:p>
        </w:tc>
        <w:tc>
          <w:tcPr>
            <w:tcW w:w="3049" w:type="dxa"/>
            <w:gridSpan w:val="2"/>
            <w:vMerge w:val="restart"/>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功能区名称</w:t>
            </w:r>
          </w:p>
        </w:tc>
        <w:tc>
          <w:tcPr>
            <w:tcW w:w="1134" w:type="dxa"/>
            <w:gridSpan w:val="2"/>
            <w:vMerge w:val="restart"/>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验收介质</w:t>
            </w:r>
          </w:p>
        </w:tc>
        <w:tc>
          <w:tcPr>
            <w:tcW w:w="1910" w:type="dxa"/>
            <w:gridSpan w:val="2"/>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铅</w:t>
            </w:r>
          </w:p>
        </w:tc>
        <w:tc>
          <w:tcPr>
            <w:tcW w:w="1634" w:type="dxa"/>
            <w:gridSpan w:val="2"/>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砷</w:t>
            </w:r>
          </w:p>
        </w:tc>
        <w:tc>
          <w:tcPr>
            <w:tcW w:w="865" w:type="dxa"/>
            <w:vMerge w:val="restart"/>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单位</w:t>
            </w:r>
          </w:p>
        </w:tc>
        <w:tc>
          <w:tcPr>
            <w:tcW w:w="1065" w:type="dxa"/>
            <w:vMerge w:val="restart"/>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hint="eastAsia" w:ascii="Times New Roman" w:hAnsi="Times New Roman" w:eastAsia="仿宋"/>
                <w:b/>
                <w:bCs/>
                <w:color w:val="000000" w:themeColor="text1"/>
                <w:szCs w:val="21"/>
                <w14:textFill>
                  <w14:solidFill>
                    <w14:schemeClr w14:val="tx1"/>
                  </w14:solidFill>
                </w14:textFill>
              </w:rPr>
              <w:t>结果</w:t>
            </w:r>
          </w:p>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评价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jc w:val="center"/>
        </w:trPr>
        <w:tc>
          <w:tcPr>
            <w:tcW w:w="1207" w:type="dxa"/>
            <w:vMerge w:val="continue"/>
            <w:tcBorders>
              <w:top w:val="single" w:color="auto" w:sz="4" w:space="0"/>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3049" w:type="dxa"/>
            <w:gridSpan w:val="2"/>
            <w:vMerge w:val="continue"/>
            <w:tcBorders>
              <w:top w:val="single" w:color="auto" w:sz="4" w:space="0"/>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134" w:type="dxa"/>
            <w:gridSpan w:val="2"/>
            <w:vMerge w:val="continue"/>
            <w:tcBorders>
              <w:top w:val="single" w:color="auto" w:sz="4" w:space="0"/>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0" w:type="dxa"/>
            <w:tcBorders>
              <w:top w:val="single" w:color="auto" w:sz="4" w:space="0"/>
              <w:bottom w:val="single" w:color="auto" w:sz="4" w:space="0"/>
            </w:tcBorders>
            <w:vAlign w:val="center"/>
          </w:tcPr>
          <w:p>
            <w:pPr>
              <w:jc w:val="center"/>
              <w:rPr>
                <w:rFonts w:ascii="Times New Roman" w:hAnsi="Times New Roman" w:eastAsia="仿宋"/>
                <w:b/>
                <w:bCs/>
                <w:color w:val="000000" w:themeColor="text1"/>
                <w:sz w:val="18"/>
                <w:szCs w:val="18"/>
                <w14:textFill>
                  <w14:solidFill>
                    <w14:schemeClr w14:val="tx1"/>
                  </w14:solidFill>
                </w14:textFill>
              </w:rPr>
            </w:pPr>
            <w:r>
              <w:rPr>
                <w:rFonts w:ascii="Times New Roman" w:hAnsi="Times New Roman" w:eastAsia="仿宋"/>
                <w:b/>
                <w:bCs/>
                <w:color w:val="000000" w:themeColor="text1"/>
                <w:sz w:val="18"/>
                <w:szCs w:val="18"/>
                <w14:textFill>
                  <w14:solidFill>
                    <w14:schemeClr w14:val="tx1"/>
                  </w14:solidFill>
                </w14:textFill>
              </w:rPr>
              <w:t>检测值</w:t>
            </w:r>
          </w:p>
        </w:tc>
        <w:tc>
          <w:tcPr>
            <w:tcW w:w="850" w:type="dxa"/>
            <w:tcBorders>
              <w:top w:val="single" w:color="auto" w:sz="4" w:space="0"/>
              <w:bottom w:val="single" w:color="auto" w:sz="4" w:space="0"/>
            </w:tcBorders>
            <w:vAlign w:val="center"/>
          </w:tcPr>
          <w:p>
            <w:pPr>
              <w:jc w:val="center"/>
              <w:rPr>
                <w:rFonts w:ascii="Times New Roman" w:hAnsi="Times New Roman" w:eastAsia="仿宋"/>
                <w:b/>
                <w:bCs/>
                <w:color w:val="000000" w:themeColor="text1"/>
                <w:sz w:val="18"/>
                <w:szCs w:val="18"/>
                <w14:textFill>
                  <w14:solidFill>
                    <w14:schemeClr w14:val="tx1"/>
                  </w14:solidFill>
                </w14:textFill>
              </w:rPr>
            </w:pPr>
            <w:r>
              <w:rPr>
                <w:rFonts w:ascii="Times New Roman" w:hAnsi="Times New Roman" w:eastAsia="仿宋"/>
                <w:b/>
                <w:bCs/>
                <w:color w:val="000000" w:themeColor="text1"/>
                <w:sz w:val="18"/>
                <w:szCs w:val="18"/>
                <w14:textFill>
                  <w14:solidFill>
                    <w14:schemeClr w14:val="tx1"/>
                  </w14:solidFill>
                </w14:textFill>
              </w:rPr>
              <w:t>标准值</w:t>
            </w:r>
          </w:p>
        </w:tc>
        <w:tc>
          <w:tcPr>
            <w:tcW w:w="1008" w:type="dxa"/>
            <w:tcBorders>
              <w:top w:val="single" w:color="auto" w:sz="4" w:space="0"/>
              <w:bottom w:val="single" w:color="auto" w:sz="4" w:space="0"/>
            </w:tcBorders>
            <w:vAlign w:val="center"/>
          </w:tcPr>
          <w:p>
            <w:pPr>
              <w:jc w:val="center"/>
              <w:rPr>
                <w:rFonts w:ascii="Times New Roman" w:hAnsi="Times New Roman" w:eastAsia="仿宋"/>
                <w:b/>
                <w:bCs/>
                <w:color w:val="000000" w:themeColor="text1"/>
                <w:sz w:val="18"/>
                <w:szCs w:val="18"/>
                <w14:textFill>
                  <w14:solidFill>
                    <w14:schemeClr w14:val="tx1"/>
                  </w14:solidFill>
                </w14:textFill>
              </w:rPr>
            </w:pPr>
            <w:r>
              <w:rPr>
                <w:rFonts w:ascii="Times New Roman" w:hAnsi="Times New Roman" w:eastAsia="仿宋"/>
                <w:b/>
                <w:bCs/>
                <w:color w:val="000000" w:themeColor="text1"/>
                <w:sz w:val="18"/>
                <w:szCs w:val="18"/>
                <w14:textFill>
                  <w14:solidFill>
                    <w14:schemeClr w14:val="tx1"/>
                  </w14:solidFill>
                </w14:textFill>
              </w:rPr>
              <w:t>检测值</w:t>
            </w:r>
          </w:p>
        </w:tc>
        <w:tc>
          <w:tcPr>
            <w:tcW w:w="626" w:type="dxa"/>
            <w:tcBorders>
              <w:top w:val="single" w:color="auto" w:sz="4" w:space="0"/>
              <w:bottom w:val="single" w:color="auto" w:sz="4" w:space="0"/>
            </w:tcBorders>
            <w:vAlign w:val="center"/>
          </w:tcPr>
          <w:p>
            <w:pPr>
              <w:jc w:val="center"/>
              <w:rPr>
                <w:rFonts w:ascii="Times New Roman" w:hAnsi="Times New Roman" w:eastAsia="仿宋"/>
                <w:b/>
                <w:bCs/>
                <w:color w:val="000000" w:themeColor="text1"/>
                <w:sz w:val="18"/>
                <w:szCs w:val="18"/>
                <w14:textFill>
                  <w14:solidFill>
                    <w14:schemeClr w14:val="tx1"/>
                  </w14:solidFill>
                </w14:textFill>
              </w:rPr>
            </w:pPr>
            <w:r>
              <w:rPr>
                <w:rFonts w:ascii="Times New Roman" w:hAnsi="Times New Roman" w:eastAsia="仿宋"/>
                <w:b/>
                <w:bCs/>
                <w:color w:val="000000" w:themeColor="text1"/>
                <w:sz w:val="18"/>
                <w:szCs w:val="18"/>
                <w14:textFill>
                  <w14:solidFill>
                    <w14:schemeClr w14:val="tx1"/>
                  </w14:solidFill>
                </w14:textFill>
              </w:rPr>
              <w:t>标准值</w:t>
            </w:r>
          </w:p>
        </w:tc>
        <w:tc>
          <w:tcPr>
            <w:tcW w:w="865" w:type="dxa"/>
            <w:vMerge w:val="continue"/>
            <w:tcBorders>
              <w:top w:val="single" w:color="auto" w:sz="4" w:space="0"/>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Merge w:val="continue"/>
            <w:tcBorders>
              <w:top w:val="single" w:color="auto" w:sz="4" w:space="0"/>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tcBorders>
              <w:top w:val="single" w:color="auto" w:sz="4" w:space="0"/>
            </w:tcBorders>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土壤修复过程二次污染</w:t>
            </w:r>
          </w:p>
        </w:tc>
        <w:tc>
          <w:tcPr>
            <w:tcW w:w="2429" w:type="dxa"/>
            <w:gridSpan w:val="2"/>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污染土壤暂存区</w:t>
            </w:r>
          </w:p>
        </w:tc>
        <w:tc>
          <w:tcPr>
            <w:tcW w:w="973"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土壤（0-20cm）</w:t>
            </w:r>
          </w:p>
          <w:p>
            <w:pPr>
              <w:jc w:val="center"/>
              <w:rPr>
                <w:rFonts w:ascii="Times New Roman" w:hAnsi="Times New Roman" w:eastAsia="仿宋"/>
                <w:bCs/>
                <w:color w:val="000000" w:themeColor="text1"/>
                <w:szCs w:val="21"/>
                <w14:textFill>
                  <w14:solidFill>
                    <w14:schemeClr w14:val="tx1"/>
                  </w14:solidFill>
                </w14:textFill>
              </w:rPr>
            </w:pPr>
          </w:p>
        </w:tc>
        <w:tc>
          <w:tcPr>
            <w:tcW w:w="1060"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237</w:t>
            </w:r>
          </w:p>
        </w:tc>
        <w:tc>
          <w:tcPr>
            <w:tcW w:w="850"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400</w:t>
            </w:r>
          </w:p>
        </w:tc>
        <w:tc>
          <w:tcPr>
            <w:tcW w:w="1008"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15</w:t>
            </w:r>
          </w:p>
        </w:tc>
        <w:tc>
          <w:tcPr>
            <w:tcW w:w="626"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20</w:t>
            </w:r>
          </w:p>
        </w:tc>
        <w:tc>
          <w:tcPr>
            <w:tcW w:w="865" w:type="dxa"/>
            <w:vMerge w:val="restart"/>
            <w:tcBorders>
              <w:top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mg/kg</w:t>
            </w:r>
          </w:p>
        </w:tc>
        <w:tc>
          <w:tcPr>
            <w:tcW w:w="1065"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建筑垃圾堆放区</w:t>
            </w:r>
          </w:p>
        </w:tc>
        <w:tc>
          <w:tcPr>
            <w:tcW w:w="973"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267</w:t>
            </w:r>
          </w:p>
        </w:tc>
        <w:tc>
          <w:tcPr>
            <w:tcW w:w="850"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16.8</w:t>
            </w:r>
          </w:p>
        </w:tc>
        <w:tc>
          <w:tcPr>
            <w:tcW w:w="626"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基坑降水暂存区</w:t>
            </w:r>
          </w:p>
        </w:tc>
        <w:tc>
          <w:tcPr>
            <w:tcW w:w="973"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58.8</w:t>
            </w:r>
          </w:p>
        </w:tc>
        <w:tc>
          <w:tcPr>
            <w:tcW w:w="850"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6.03</w:t>
            </w:r>
          </w:p>
        </w:tc>
        <w:tc>
          <w:tcPr>
            <w:tcW w:w="626"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短驳道路</w:t>
            </w:r>
          </w:p>
        </w:tc>
        <w:tc>
          <w:tcPr>
            <w:tcW w:w="973" w:type="dxa"/>
            <w:vMerge w:val="continue"/>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49.1</w:t>
            </w:r>
          </w:p>
        </w:tc>
        <w:tc>
          <w:tcPr>
            <w:tcW w:w="850" w:type="dxa"/>
            <w:vMerge w:val="continue"/>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7.53</w:t>
            </w:r>
          </w:p>
        </w:tc>
        <w:tc>
          <w:tcPr>
            <w:tcW w:w="626" w:type="dxa"/>
            <w:vMerge w:val="continue"/>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tcBorders>
              <w:bottom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tcBorders>
              <w:bottom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污染土壤暂存区</w:t>
            </w:r>
          </w:p>
        </w:tc>
        <w:tc>
          <w:tcPr>
            <w:tcW w:w="973"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p>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地下水（水面下0.5m）</w:t>
            </w:r>
          </w:p>
        </w:tc>
        <w:tc>
          <w:tcPr>
            <w:tcW w:w="1060"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ND</w:t>
            </w:r>
          </w:p>
        </w:tc>
        <w:tc>
          <w:tcPr>
            <w:tcW w:w="850"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color w:val="000000" w:themeColor="text1"/>
                <w:kern w:val="0"/>
                <w:szCs w:val="21"/>
                <w14:textFill>
                  <w14:solidFill>
                    <w14:schemeClr w14:val="tx1"/>
                  </w14:solidFill>
                </w14:textFill>
              </w:rPr>
              <w:t>≤</w:t>
            </w:r>
            <w:r>
              <w:rPr>
                <w:rFonts w:ascii="Times New Roman" w:hAnsi="Times New Roman" w:eastAsia="等线"/>
                <w:color w:val="000000" w:themeColor="text1"/>
                <w:kern w:val="0"/>
                <w:szCs w:val="21"/>
                <w14:textFill>
                  <w14:solidFill>
                    <w14:schemeClr w14:val="tx1"/>
                  </w14:solidFill>
                </w14:textFill>
              </w:rPr>
              <w:t>0.1</w:t>
            </w:r>
          </w:p>
        </w:tc>
        <w:tc>
          <w:tcPr>
            <w:tcW w:w="1008"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3.0E-3</w:t>
            </w:r>
          </w:p>
        </w:tc>
        <w:tc>
          <w:tcPr>
            <w:tcW w:w="626" w:type="dxa"/>
            <w:vMerge w:val="restart"/>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color w:val="000000" w:themeColor="text1"/>
                <w:kern w:val="0"/>
                <w:szCs w:val="21"/>
                <w14:textFill>
                  <w14:solidFill>
                    <w14:schemeClr w14:val="tx1"/>
                  </w14:solidFill>
                </w14:textFill>
              </w:rPr>
              <w:t>≤</w:t>
            </w:r>
            <w:r>
              <w:rPr>
                <w:rFonts w:ascii="Times New Roman" w:hAnsi="Times New Roman" w:eastAsia="等线"/>
                <w:color w:val="000000" w:themeColor="text1"/>
                <w:kern w:val="0"/>
                <w:szCs w:val="21"/>
                <w14:textFill>
                  <w14:solidFill>
                    <w14:schemeClr w14:val="tx1"/>
                  </w14:solidFill>
                </w14:textFill>
              </w:rPr>
              <w:t>0.05</w:t>
            </w:r>
          </w:p>
        </w:tc>
        <w:tc>
          <w:tcPr>
            <w:tcW w:w="865" w:type="dxa"/>
            <w:vMerge w:val="restart"/>
            <w:tcBorders>
              <w:top w:val="single" w:color="auto" w:sz="4" w:space="0"/>
            </w:tcBorders>
            <w:vAlign w:val="center"/>
          </w:tcPr>
          <w:p>
            <w:pPr>
              <w:jc w:val="center"/>
              <w:rPr>
                <w:rFonts w:ascii="Times New Roman" w:hAnsi="Times New Roman" w:eastAsia="仿宋"/>
                <w:b/>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mg/L</w:t>
            </w:r>
          </w:p>
        </w:tc>
        <w:tc>
          <w:tcPr>
            <w:tcW w:w="1065" w:type="dxa"/>
            <w:tcBorders>
              <w:top w:val="single" w:color="auto" w:sz="4" w:space="0"/>
            </w:tcBorders>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建筑垃圾堆放区</w:t>
            </w:r>
          </w:p>
        </w:tc>
        <w:tc>
          <w:tcPr>
            <w:tcW w:w="973"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ND</w:t>
            </w:r>
          </w:p>
        </w:tc>
        <w:tc>
          <w:tcPr>
            <w:tcW w:w="850"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4.0E-3</w:t>
            </w:r>
          </w:p>
        </w:tc>
        <w:tc>
          <w:tcPr>
            <w:tcW w:w="626"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基坑降水暂存区</w:t>
            </w:r>
          </w:p>
        </w:tc>
        <w:tc>
          <w:tcPr>
            <w:tcW w:w="973"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vAlign w:val="center"/>
          </w:tcPr>
          <w:p>
            <w:pPr>
              <w:jc w:val="center"/>
              <w:rPr>
                <w:rFonts w:ascii="Times New Roman" w:hAnsi="Times New Roman" w:eastAsia="等线"/>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5.2</w:t>
            </w:r>
            <w:r>
              <w:rPr>
                <w:rFonts w:hint="eastAsia" w:ascii="Times New Roman" w:hAnsi="Times New Roman" w:eastAsia="等线"/>
                <w:color w:val="000000" w:themeColor="text1"/>
                <w:kern w:val="0"/>
                <w:szCs w:val="21"/>
                <w14:textFill>
                  <w14:solidFill>
                    <w14:schemeClr w14:val="tx1"/>
                  </w14:solidFill>
                </w14:textFill>
              </w:rPr>
              <w:t>E-3</w:t>
            </w:r>
          </w:p>
        </w:tc>
        <w:tc>
          <w:tcPr>
            <w:tcW w:w="850"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4.0E-3</w:t>
            </w:r>
          </w:p>
        </w:tc>
        <w:tc>
          <w:tcPr>
            <w:tcW w:w="626"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207" w:type="dxa"/>
            <w:vAlign w:val="center"/>
          </w:tcPr>
          <w:p>
            <w:pPr>
              <w:pStyle w:val="26"/>
              <w:numPr>
                <w:ilvl w:val="0"/>
                <w:numId w:val="2"/>
              </w:numPr>
              <w:ind w:left="105" w:leftChars="50" w:firstLine="0"/>
              <w:jc w:val="center"/>
              <w:rPr>
                <w:rFonts w:ascii="Times New Roman" w:hAnsi="Times New Roman" w:eastAsia="仿宋" w:cs="Times New Roman"/>
                <w:bCs/>
                <w:color w:val="000000" w:themeColor="text1"/>
                <w:szCs w:val="21"/>
                <w14:textFill>
                  <w14:solidFill>
                    <w14:schemeClr w14:val="tx1"/>
                  </w14:solidFill>
                </w14:textFill>
              </w:rPr>
            </w:pPr>
          </w:p>
        </w:tc>
        <w:tc>
          <w:tcPr>
            <w:tcW w:w="781"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2429" w:type="dxa"/>
            <w:gridSpan w:val="2"/>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Cs/>
                <w:color w:val="000000" w:themeColor="text1"/>
                <w:szCs w:val="21"/>
                <w14:textFill>
                  <w14:solidFill>
                    <w14:schemeClr w14:val="tx1"/>
                  </w14:solidFill>
                </w14:textFill>
              </w:rPr>
              <w:t>短驳道路</w:t>
            </w:r>
          </w:p>
        </w:tc>
        <w:tc>
          <w:tcPr>
            <w:tcW w:w="973"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60"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等线"/>
                <w:color w:val="000000" w:themeColor="text1"/>
                <w:kern w:val="0"/>
                <w:szCs w:val="21"/>
                <w14:textFill>
                  <w14:solidFill>
                    <w14:schemeClr w14:val="tx1"/>
                  </w14:solidFill>
                </w14:textFill>
              </w:rPr>
              <w:t>ND</w:t>
            </w:r>
          </w:p>
        </w:tc>
        <w:tc>
          <w:tcPr>
            <w:tcW w:w="850"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1008"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3.0E-3</w:t>
            </w:r>
          </w:p>
        </w:tc>
        <w:tc>
          <w:tcPr>
            <w:tcW w:w="626" w:type="dxa"/>
            <w:vMerge w:val="continue"/>
            <w:vAlign w:val="center"/>
          </w:tcPr>
          <w:p>
            <w:pPr>
              <w:jc w:val="center"/>
              <w:rPr>
                <w:rFonts w:ascii="Times New Roman" w:hAnsi="Times New Roman" w:eastAsia="仿宋"/>
                <w:bCs/>
                <w:color w:val="000000" w:themeColor="text1"/>
                <w:szCs w:val="21"/>
                <w14:textFill>
                  <w14:solidFill>
                    <w14:schemeClr w14:val="tx1"/>
                  </w14:solidFill>
                </w14:textFill>
              </w:rPr>
            </w:pPr>
          </w:p>
        </w:tc>
        <w:tc>
          <w:tcPr>
            <w:tcW w:w="865" w:type="dxa"/>
            <w:vMerge w:val="continue"/>
            <w:vAlign w:val="center"/>
          </w:tcPr>
          <w:p>
            <w:pPr>
              <w:jc w:val="center"/>
              <w:rPr>
                <w:rFonts w:ascii="Times New Roman" w:hAnsi="Times New Roman" w:eastAsia="仿宋"/>
                <w:b/>
                <w:bCs/>
                <w:color w:val="000000" w:themeColor="text1"/>
                <w:szCs w:val="21"/>
                <w14:textFill>
                  <w14:solidFill>
                    <w14:schemeClr w14:val="tx1"/>
                  </w14:solidFill>
                </w14:textFill>
              </w:rPr>
            </w:pPr>
          </w:p>
        </w:tc>
        <w:tc>
          <w:tcPr>
            <w:tcW w:w="1065" w:type="dxa"/>
            <w:vAlign w:val="center"/>
          </w:tcPr>
          <w:p>
            <w:pPr>
              <w:jc w:val="center"/>
              <w:rPr>
                <w:rFonts w:ascii="Times New Roman" w:hAnsi="Times New Roman" w:eastAsia="仿宋"/>
                <w:bCs/>
                <w:color w:val="000000" w:themeColor="text1"/>
                <w:szCs w:val="21"/>
                <w14:textFill>
                  <w14:solidFill>
                    <w14:schemeClr w14:val="tx1"/>
                  </w14:solidFill>
                </w14:textFill>
              </w:rPr>
            </w:pPr>
            <w:r>
              <w:rPr>
                <w:rFonts w:ascii="Times New Roman" w:hAnsi="Times New Roman" w:eastAsia="仿宋"/>
                <w:b/>
                <w:bCs/>
                <w:color w:val="000000" w:themeColor="text1"/>
                <w:szCs w:val="21"/>
                <w14:textFill>
                  <w14:solidFill>
                    <w14:schemeClr w14:val="tx1"/>
                  </w14:solidFill>
                </w14:textFill>
              </w:rPr>
              <w:t>合格</w:t>
            </w:r>
          </w:p>
        </w:tc>
      </w:tr>
    </w:tbl>
    <w:p>
      <w:pPr>
        <w:spacing w:line="360" w:lineRule="auto"/>
        <w:rPr>
          <w:rFonts w:ascii="黑体" w:hAnsi="黑体" w:eastAsia="黑体"/>
          <w:sz w:val="28"/>
          <w:szCs w:val="28"/>
        </w:rPr>
      </w:pPr>
      <w:r>
        <w:rPr>
          <w:rFonts w:hint="eastAsia" w:ascii="黑体" w:hAnsi="黑体" w:eastAsia="黑体"/>
          <w:sz w:val="28"/>
          <w:szCs w:val="28"/>
        </w:rPr>
        <w:t>6土壤修复效果评估</w:t>
      </w:r>
    </w:p>
    <w:p>
      <w:pPr>
        <w:spacing w:line="360" w:lineRule="auto"/>
        <w:ind w:firstLine="560"/>
        <w:rPr>
          <w:rFonts w:ascii="Times New Roman" w:hAnsi="Times New Roman"/>
          <w:sz w:val="28"/>
          <w:szCs w:val="28"/>
        </w:rPr>
      </w:pPr>
      <w:r>
        <w:rPr>
          <w:rFonts w:hint="eastAsia" w:ascii="Times New Roman" w:hAnsi="Times New Roman"/>
          <w:sz w:val="28"/>
          <w:szCs w:val="28"/>
        </w:rPr>
        <w:t>实验室检测分析结果显示，基坑土壤及异位修复土壤修复效果评估监测污染物浓度值均低于效果评估标准值，土壤修复效果评估合格。修复过程未对土壤和地下水造成二次污染。</w:t>
      </w:r>
    </w:p>
    <w:p>
      <w:pPr>
        <w:spacing w:line="360" w:lineRule="auto"/>
        <w:rPr>
          <w:rFonts w:ascii="黑体" w:hAnsi="黑体" w:eastAsia="黑体"/>
          <w:sz w:val="28"/>
          <w:szCs w:val="28"/>
        </w:rPr>
      </w:pPr>
      <w:r>
        <w:rPr>
          <w:rFonts w:ascii="黑体" w:hAnsi="黑体" w:eastAsia="黑体"/>
          <w:sz w:val="28"/>
          <w:szCs w:val="28"/>
        </w:rPr>
        <w:t>7</w:t>
      </w:r>
      <w:r>
        <w:rPr>
          <w:rFonts w:hint="eastAsia" w:ascii="黑体" w:hAnsi="黑体" w:eastAsia="黑体"/>
          <w:sz w:val="28"/>
          <w:szCs w:val="28"/>
        </w:rPr>
        <w:t>结果与讨论</w:t>
      </w:r>
    </w:p>
    <w:p>
      <w:pPr>
        <w:spacing w:line="360" w:lineRule="auto"/>
        <w:ind w:firstLine="560"/>
        <w:rPr>
          <w:rFonts w:ascii="Times New Roman" w:hAnsi="Times New Roman"/>
          <w:sz w:val="28"/>
          <w:szCs w:val="28"/>
        </w:rPr>
      </w:pPr>
      <w:r>
        <w:rPr>
          <w:rFonts w:hint="eastAsia" w:ascii="Times New Roman" w:hAnsi="Times New Roman"/>
          <w:sz w:val="28"/>
          <w:szCs w:val="28"/>
        </w:rPr>
        <w:t>1）本工程实际修复方量为2</w:t>
      </w:r>
      <w:r>
        <w:rPr>
          <w:rFonts w:ascii="Times New Roman" w:hAnsi="Times New Roman"/>
          <w:sz w:val="28"/>
          <w:szCs w:val="28"/>
        </w:rPr>
        <w:t>710 m</w:t>
      </w:r>
      <w:r>
        <w:rPr>
          <w:rFonts w:ascii="Times New Roman" w:hAnsi="Times New Roman"/>
          <w:sz w:val="28"/>
          <w:szCs w:val="28"/>
          <w:vertAlign w:val="superscript"/>
        </w:rPr>
        <w:t>3</w:t>
      </w:r>
      <w:r>
        <w:rPr>
          <w:rFonts w:hint="eastAsia" w:ascii="Times New Roman" w:hAnsi="Times New Roman"/>
          <w:sz w:val="28"/>
          <w:szCs w:val="28"/>
        </w:rPr>
        <w:t>，修复技术采用原地异位稳定化技术，修复药剂为磷酸盐/亚铁盐复配粘土矿物稳定剂，修复前调查得土壤砷浓度范围：21.6 mg/kg-38.3 mg/kg，铅浓度范围525 mg/kg-1460</w:t>
      </w:r>
      <w:r>
        <w:rPr>
          <w:rFonts w:ascii="Times New Roman" w:hAnsi="Times New Roman"/>
          <w:sz w:val="28"/>
          <w:szCs w:val="28"/>
        </w:rPr>
        <w:t xml:space="preserve"> </w:t>
      </w:r>
      <w:r>
        <w:rPr>
          <w:rFonts w:hint="eastAsia" w:ascii="Times New Roman" w:hAnsi="Times New Roman"/>
          <w:sz w:val="28"/>
          <w:szCs w:val="28"/>
        </w:rPr>
        <w:t>mg/kg，修复后监测得</w:t>
      </w:r>
      <w:r>
        <w:rPr>
          <w:rFonts w:ascii="Times New Roman" w:hAnsi="Times New Roman"/>
          <w:sz w:val="28"/>
          <w:szCs w:val="28"/>
        </w:rPr>
        <w:t>基坑</w:t>
      </w:r>
      <w:r>
        <w:rPr>
          <w:rFonts w:hint="eastAsia" w:ascii="Times New Roman" w:hAnsi="Times New Roman"/>
          <w:sz w:val="28"/>
          <w:szCs w:val="28"/>
        </w:rPr>
        <w:t>土壤砷低于2</w:t>
      </w:r>
      <w:r>
        <w:rPr>
          <w:rFonts w:ascii="Times New Roman" w:hAnsi="Times New Roman"/>
          <w:sz w:val="28"/>
          <w:szCs w:val="28"/>
        </w:rPr>
        <w:t>0 mg</w:t>
      </w:r>
      <w:r>
        <w:rPr>
          <w:rFonts w:hint="eastAsia" w:ascii="Times New Roman" w:hAnsi="Times New Roman"/>
          <w:sz w:val="28"/>
          <w:szCs w:val="28"/>
        </w:rPr>
        <w:t>/kg，铅低于4</w:t>
      </w:r>
      <w:r>
        <w:rPr>
          <w:rFonts w:ascii="Times New Roman" w:hAnsi="Times New Roman"/>
          <w:sz w:val="28"/>
          <w:szCs w:val="28"/>
        </w:rPr>
        <w:t>00 mg</w:t>
      </w:r>
      <w:r>
        <w:rPr>
          <w:rFonts w:hint="eastAsia" w:ascii="Times New Roman" w:hAnsi="Times New Roman"/>
          <w:sz w:val="28"/>
          <w:szCs w:val="28"/>
        </w:rPr>
        <w:t>/kg，修复后土壤浸出液铅砷浓度低于GB/T 14848-2017</w:t>
      </w:r>
      <w:r>
        <w:rPr>
          <w:rFonts w:hint="eastAsia" w:ascii="Times New Roman" w:hAnsi="Times New Roman"/>
          <w:sz w:val="28"/>
          <w:szCs w:val="28"/>
          <w:lang w:val="en-US" w:eastAsia="zh-CN"/>
        </w:rPr>
        <w:t xml:space="preserve"> </w:t>
      </w:r>
      <w:r>
        <w:rPr>
          <w:rFonts w:hint="eastAsia" w:ascii="Times New Roman" w:hAnsi="Times New Roman"/>
          <w:sz w:val="28"/>
          <w:szCs w:val="28"/>
        </w:rPr>
        <w:t>IV类标准限值，修复达标。</w:t>
      </w:r>
    </w:p>
    <w:p>
      <w:pPr>
        <w:spacing w:line="360" w:lineRule="auto"/>
        <w:ind w:firstLine="56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）修复效果验收主要依据HJ 25.5-2018布点，不合格单元二次清挖二次验收后合格。</w:t>
      </w:r>
    </w:p>
    <w:p>
      <w:pPr>
        <w:spacing w:line="360" w:lineRule="auto"/>
        <w:ind w:firstLine="560"/>
        <w:rPr>
          <w:rFonts w:ascii="Times New Roman" w:hAnsi="Times New Roman"/>
          <w:sz w:val="28"/>
          <w:szCs w:val="28"/>
        </w:rPr>
      </w:pPr>
      <w:r>
        <w:rPr>
          <w:rFonts w:hint="eastAsia" w:ascii="Times New Roman" w:hAnsi="Times New Roman"/>
          <w:sz w:val="28"/>
          <w:szCs w:val="28"/>
        </w:rPr>
        <w:t>3）修复过程环境大气及噪声二次污染监测结果、修复完成后潜在二次污染区域土壤及地下水监测结果表明修复过程的环保措施得到有效落实，未对环境造成不良影响。</w:t>
      </w:r>
    </w:p>
    <w:p>
      <w:pPr>
        <w:spacing w:line="360" w:lineRule="auto"/>
        <w:ind w:firstLine="560"/>
        <w:rPr>
          <w:rFonts w:ascii="Times New Roman" w:hAnsi="Times New Roman"/>
          <w:sz w:val="28"/>
          <w:szCs w:val="28"/>
        </w:rPr>
      </w:pPr>
      <w:r>
        <w:rPr>
          <w:rFonts w:hint="eastAsia" w:ascii="Times New Roman" w:hAnsi="Times New Roman"/>
          <w:sz w:val="28"/>
          <w:szCs w:val="28"/>
        </w:rPr>
        <w:t>4）本工程修复技术属于风险管控技术，建议外运土壤依据</w:t>
      </w:r>
      <w:r>
        <w:rPr>
          <w:rFonts w:hint="eastAsia" w:ascii="Times New Roman" w:hAnsi="Times New Roman"/>
          <w:sz w:val="28"/>
          <w:szCs w:val="28"/>
          <w:lang w:eastAsia="zh-CN"/>
        </w:rPr>
        <w:t>验收规范</w:t>
      </w:r>
      <w:r>
        <w:rPr>
          <w:rFonts w:hint="eastAsia" w:ascii="Times New Roman" w:hAnsi="Times New Roman"/>
          <w:sz w:val="28"/>
          <w:szCs w:val="28"/>
        </w:rPr>
        <w:t>进行风险管控。</w:t>
      </w:r>
    </w:p>
    <w:p>
      <w:pPr>
        <w:spacing w:line="360" w:lineRule="auto"/>
        <w:ind w:firstLine="560"/>
        <w:rPr>
          <w:rFonts w:hint="eastAsia" w:ascii="Times New Roman" w:hAnsi="Times New Roman"/>
          <w:sz w:val="28"/>
          <w:szCs w:val="28"/>
        </w:rPr>
      </w:pPr>
    </w:p>
    <w:p>
      <w:pPr>
        <w:autoSpaceDE w:val="0"/>
        <w:autoSpaceDN w:val="0"/>
        <w:adjustRightInd w:val="0"/>
        <w:spacing w:line="360" w:lineRule="auto"/>
        <w:ind w:firstLine="539" w:firstLineChars="257"/>
        <w:jc w:val="center"/>
        <w:rPr>
          <w:rFonts w:ascii="宋体" w:hAnsi="宋体" w:cs="宋体"/>
          <w:kern w:val="0"/>
          <w:szCs w:val="21"/>
        </w:rPr>
      </w:pPr>
      <w:r>
        <w:rPr>
          <w:rFonts w:hint="eastAsia" w:ascii="宋体" w:hAnsi="宋体" w:cs="宋体"/>
          <w:kern w:val="0"/>
          <w:szCs w:val="21"/>
        </w:rPr>
        <w:t xml:space="preserve"> [参考文献]</w:t>
      </w:r>
    </w:p>
    <w:p>
      <w:pPr>
        <w:autoSpaceDE w:val="0"/>
        <w:autoSpaceDN w:val="0"/>
        <w:adjustRightInd w:val="0"/>
        <w:spacing w:line="360" w:lineRule="auto"/>
        <w:ind w:firstLine="539" w:firstLineChars="257"/>
        <w:jc w:val="left"/>
        <w:rPr>
          <w:rFonts w:ascii="宋体" w:hAnsi="宋体" w:cs="宋体"/>
          <w:kern w:val="0"/>
          <w:szCs w:val="21"/>
        </w:rPr>
      </w:pPr>
      <w:r>
        <w:rPr>
          <w:rFonts w:ascii="宋体" w:hAnsi="宋体" w:cs="宋体"/>
          <w:kern w:val="0"/>
          <w:szCs w:val="21"/>
        </w:rPr>
        <w:t xml:space="preserve"> [1] </w:t>
      </w:r>
      <w:r>
        <w:rPr>
          <w:rFonts w:hint="eastAsia" w:ascii="宋体" w:hAnsi="宋体" w:cs="宋体"/>
          <w:kern w:val="0"/>
          <w:szCs w:val="21"/>
        </w:rPr>
        <w:t>《关于保障工业企业及市政场地再开发利用环境安全的管理办法》（沪环保防[2014]188号）</w:t>
      </w:r>
    </w:p>
    <w:p>
      <w:pPr>
        <w:autoSpaceDE w:val="0"/>
        <w:autoSpaceDN w:val="0"/>
        <w:adjustRightInd w:val="0"/>
        <w:spacing w:line="360" w:lineRule="auto"/>
        <w:ind w:left="540" w:leftChars="257"/>
        <w:jc w:val="left"/>
        <w:rPr>
          <w:rFonts w:ascii="宋体" w:hAnsi="宋体" w:cs="宋体"/>
          <w:kern w:val="0"/>
          <w:szCs w:val="21"/>
        </w:rPr>
      </w:pPr>
      <w:r>
        <w:rPr>
          <w:rFonts w:ascii="宋体" w:hAnsi="宋体" w:cs="宋体"/>
          <w:kern w:val="0"/>
          <w:szCs w:val="21"/>
        </w:rPr>
        <w:t>[2]</w:t>
      </w:r>
      <w:r>
        <w:rPr>
          <w:rFonts w:hint="eastAsia" w:ascii="宋体" w:hAnsi="宋体" w:cs="宋体"/>
          <w:kern w:val="0"/>
          <w:szCs w:val="21"/>
        </w:rPr>
        <w:t xml:space="preserve"> 李肇铸，章生卫，魏鸿辉等.某</w:t>
      </w:r>
      <w:r>
        <w:rPr>
          <w:rFonts w:ascii="宋体" w:hAnsi="宋体" w:cs="宋体"/>
          <w:kern w:val="0"/>
          <w:szCs w:val="21"/>
        </w:rPr>
        <w:t>污染场地土壤重金属砷修复效果评估[J]广东化工</w:t>
      </w:r>
      <w:r>
        <w:rPr>
          <w:rFonts w:hint="eastAsia" w:ascii="宋体" w:hAnsi="宋体" w:cs="宋体"/>
          <w:kern w:val="0"/>
          <w:szCs w:val="21"/>
        </w:rPr>
        <w:t>，2</w:t>
      </w:r>
      <w:r>
        <w:rPr>
          <w:rFonts w:ascii="宋体" w:hAnsi="宋体" w:cs="宋体"/>
          <w:kern w:val="0"/>
          <w:szCs w:val="21"/>
        </w:rPr>
        <w:t>017</w:t>
      </w:r>
      <w:r>
        <w:rPr>
          <w:rFonts w:hint="eastAsia" w:ascii="宋体" w:hAnsi="宋体" w:cs="宋体"/>
          <w:kern w:val="0"/>
          <w:szCs w:val="21"/>
        </w:rPr>
        <w:t>,4</w:t>
      </w:r>
      <w:r>
        <w:rPr>
          <w:rFonts w:ascii="宋体" w:hAnsi="宋体" w:cs="宋体"/>
          <w:kern w:val="0"/>
          <w:szCs w:val="21"/>
        </w:rPr>
        <w:t>4</w:t>
      </w:r>
      <w:r>
        <w:rPr>
          <w:rFonts w:hint="eastAsia" w:ascii="宋体" w:hAnsi="宋体" w:cs="宋体"/>
          <w:kern w:val="0"/>
          <w:szCs w:val="21"/>
        </w:rPr>
        <w:t>（1</w:t>
      </w:r>
      <w:r>
        <w:rPr>
          <w:rFonts w:ascii="宋体" w:hAnsi="宋体" w:cs="宋体"/>
          <w:kern w:val="0"/>
          <w:szCs w:val="21"/>
        </w:rPr>
        <w:t>2</w:t>
      </w:r>
      <w:r>
        <w:rPr>
          <w:rFonts w:hint="eastAsia" w:ascii="宋体" w:hAnsi="宋体" w:cs="宋体"/>
          <w:kern w:val="0"/>
          <w:szCs w:val="21"/>
        </w:rPr>
        <w:t>）:2</w:t>
      </w:r>
      <w:r>
        <w:rPr>
          <w:rFonts w:ascii="宋体" w:hAnsi="宋体" w:cs="宋体"/>
          <w:kern w:val="0"/>
          <w:szCs w:val="21"/>
        </w:rPr>
        <w:t>13</w:t>
      </w:r>
      <w:r>
        <w:rPr>
          <w:rFonts w:hint="eastAsia" w:ascii="宋体" w:hAnsi="宋体" w:cs="宋体"/>
          <w:kern w:val="0"/>
          <w:szCs w:val="21"/>
        </w:rPr>
        <w:t>-</w:t>
      </w:r>
      <w:r>
        <w:rPr>
          <w:rFonts w:ascii="宋体" w:hAnsi="宋体" w:cs="宋体"/>
          <w:kern w:val="0"/>
          <w:szCs w:val="21"/>
        </w:rPr>
        <w:t>215</w:t>
      </w:r>
      <w:r>
        <w:rPr>
          <w:rFonts w:ascii="宋体" w:hAnsi="宋体" w:cs="宋体"/>
          <w:kern w:val="0"/>
          <w:szCs w:val="21"/>
        </w:rPr>
        <w:br w:type="textWrapping"/>
      </w:r>
      <w:r>
        <w:rPr>
          <w:rFonts w:ascii="宋体" w:hAnsi="宋体" w:cs="宋体"/>
          <w:kern w:val="0"/>
          <w:szCs w:val="21"/>
        </w:rPr>
        <w:t>[3]</w:t>
      </w:r>
      <w:r>
        <w:rPr>
          <w:rFonts w:hint="eastAsia" w:ascii="宋体" w:hAnsi="宋体" w:cs="宋体"/>
          <w:kern w:val="0"/>
          <w:szCs w:val="21"/>
        </w:rPr>
        <w:t>赵述华，陈志良，张太平等．重金属污染土壤的固化/稳定化处理技术研究进展[J]．农业环境科学学报，2013，03：409-417．</w:t>
      </w:r>
    </w:p>
    <w:p>
      <w:pPr>
        <w:autoSpaceDE w:val="0"/>
        <w:autoSpaceDN w:val="0"/>
        <w:adjustRightInd w:val="0"/>
        <w:spacing w:line="360" w:lineRule="auto"/>
        <w:ind w:left="630" w:leftChars="200" w:hanging="210" w:hangingChars="100"/>
        <w:jc w:val="left"/>
        <w:rPr>
          <w:rFonts w:ascii="宋体" w:hAnsi="宋体" w:cs="宋体"/>
          <w:kern w:val="0"/>
          <w:szCs w:val="21"/>
        </w:rPr>
      </w:pPr>
      <w:r>
        <w:rPr>
          <w:rFonts w:ascii="宋体" w:hAnsi="宋体" w:cs="宋体"/>
          <w:kern w:val="0"/>
          <w:szCs w:val="21"/>
        </w:rPr>
        <w:t xml:space="preserve"> [4]</w:t>
      </w:r>
      <w:r>
        <w:rPr>
          <w:rFonts w:hint="eastAsia" w:ascii="宋体" w:hAnsi="宋体" w:cs="宋体"/>
          <w:kern w:val="0"/>
          <w:szCs w:val="21"/>
        </w:rPr>
        <w:t>宋云，李培中，郝润琴．我国土壤固化/稳定化技术应用现状及建议[J]．环境保护，2015(15)：28-33．</w:t>
      </w:r>
    </w:p>
    <w:p>
      <w:pPr>
        <w:spacing w:line="360" w:lineRule="auto"/>
        <w:rPr>
          <w:rFonts w:ascii="宋体" w:hAnsi="宋体" w:cs="宋体"/>
          <w:kern w:val="0"/>
          <w:szCs w:val="21"/>
        </w:rPr>
      </w:pPr>
      <w:r>
        <w:rPr>
          <w:rFonts w:hint="eastAsia" w:ascii="黑体" w:eastAsia="黑体"/>
          <w:color w:val="000000"/>
          <w:sz w:val="18"/>
          <w:szCs w:val="18"/>
        </w:rPr>
        <w:t>作者简介：</w:t>
      </w:r>
      <w:r>
        <w:rPr>
          <w:rFonts w:hint="eastAsia" w:ascii="宋体" w:hAnsi="宋体" w:eastAsia="黑体"/>
          <w:color w:val="000000"/>
          <w:sz w:val="18"/>
          <w:szCs w:val="18"/>
        </w:rPr>
        <w:t>李文润</w:t>
      </w:r>
      <w:r>
        <w:rPr>
          <w:rFonts w:hint="eastAsia" w:ascii="宋体" w:hAnsi="宋体"/>
          <w:color w:val="000000"/>
          <w:sz w:val="18"/>
          <w:szCs w:val="18"/>
        </w:rPr>
        <w:t>（1987年-），女，硕士研究生，工程师，从事场地污染调查与监测工作</w:t>
      </w:r>
      <w:r>
        <w:rPr>
          <w:rFonts w:ascii="宋体" w:hAnsi="宋体"/>
          <w:color w:val="000000"/>
          <w:sz w:val="18"/>
          <w:szCs w:val="18"/>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Book Antiqua">
    <w:altName w:val="Palatino Linotype"/>
    <w:panose1 w:val="02040602050305030304"/>
    <w:charset w:val="00"/>
    <w:family w:val="roman"/>
    <w:pitch w:val="default"/>
    <w:sig w:usb0="00000000" w:usb1="00000000" w:usb2="00000000" w:usb3="00000000" w:csb0="0000009F" w:csb1="00000000"/>
  </w:font>
  <w:font w:name="等线">
    <w:altName w:val="微软雅黑"/>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amp;quot">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4F9CE"/>
    <w:multiLevelType w:val="multilevel"/>
    <w:tmpl w:val="D514F9C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4D771EBE"/>
    <w:multiLevelType w:val="multilevel"/>
    <w:tmpl w:val="4D771EB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910"/>
    <w:rsid w:val="0002066A"/>
    <w:rsid w:val="00023588"/>
    <w:rsid w:val="0002772B"/>
    <w:rsid w:val="000533BE"/>
    <w:rsid w:val="000635B3"/>
    <w:rsid w:val="00072AC6"/>
    <w:rsid w:val="00080D03"/>
    <w:rsid w:val="000824BC"/>
    <w:rsid w:val="000832CE"/>
    <w:rsid w:val="000A4BDA"/>
    <w:rsid w:val="000B4A4E"/>
    <w:rsid w:val="000F0B64"/>
    <w:rsid w:val="001122D7"/>
    <w:rsid w:val="00115266"/>
    <w:rsid w:val="00143946"/>
    <w:rsid w:val="00167252"/>
    <w:rsid w:val="00172A27"/>
    <w:rsid w:val="00182772"/>
    <w:rsid w:val="00186224"/>
    <w:rsid w:val="001B56E4"/>
    <w:rsid w:val="001F4D36"/>
    <w:rsid w:val="00233B25"/>
    <w:rsid w:val="0024248A"/>
    <w:rsid w:val="0025094D"/>
    <w:rsid w:val="00261FAB"/>
    <w:rsid w:val="0027000F"/>
    <w:rsid w:val="00274B6D"/>
    <w:rsid w:val="00280A7D"/>
    <w:rsid w:val="00290828"/>
    <w:rsid w:val="00293607"/>
    <w:rsid w:val="002D33DE"/>
    <w:rsid w:val="002E116D"/>
    <w:rsid w:val="00391B6E"/>
    <w:rsid w:val="003E7A4F"/>
    <w:rsid w:val="0047461E"/>
    <w:rsid w:val="004A4F26"/>
    <w:rsid w:val="004A579F"/>
    <w:rsid w:val="004B2CAD"/>
    <w:rsid w:val="004F6F50"/>
    <w:rsid w:val="00502FF5"/>
    <w:rsid w:val="0056625A"/>
    <w:rsid w:val="00591AED"/>
    <w:rsid w:val="005C2A1D"/>
    <w:rsid w:val="005C3D01"/>
    <w:rsid w:val="005D253B"/>
    <w:rsid w:val="00606688"/>
    <w:rsid w:val="00622FE1"/>
    <w:rsid w:val="006A3F71"/>
    <w:rsid w:val="006B365C"/>
    <w:rsid w:val="006B5A33"/>
    <w:rsid w:val="006D4DDE"/>
    <w:rsid w:val="006E7132"/>
    <w:rsid w:val="0070311F"/>
    <w:rsid w:val="00726053"/>
    <w:rsid w:val="00736350"/>
    <w:rsid w:val="00736994"/>
    <w:rsid w:val="00770C72"/>
    <w:rsid w:val="00772DCD"/>
    <w:rsid w:val="00796DF7"/>
    <w:rsid w:val="007A5E73"/>
    <w:rsid w:val="007B4AB1"/>
    <w:rsid w:val="007C51CE"/>
    <w:rsid w:val="007F121A"/>
    <w:rsid w:val="00806E18"/>
    <w:rsid w:val="00817E56"/>
    <w:rsid w:val="00853DAA"/>
    <w:rsid w:val="00865AB2"/>
    <w:rsid w:val="00872282"/>
    <w:rsid w:val="00876A7B"/>
    <w:rsid w:val="00882572"/>
    <w:rsid w:val="00884775"/>
    <w:rsid w:val="008B3670"/>
    <w:rsid w:val="008D035C"/>
    <w:rsid w:val="0093533F"/>
    <w:rsid w:val="009401B3"/>
    <w:rsid w:val="00940A69"/>
    <w:rsid w:val="0095736C"/>
    <w:rsid w:val="009E5758"/>
    <w:rsid w:val="00A10355"/>
    <w:rsid w:val="00A23C51"/>
    <w:rsid w:val="00A26938"/>
    <w:rsid w:val="00A5524B"/>
    <w:rsid w:val="00A55ADB"/>
    <w:rsid w:val="00A56080"/>
    <w:rsid w:val="00A63E0C"/>
    <w:rsid w:val="00AD52F7"/>
    <w:rsid w:val="00AF4E26"/>
    <w:rsid w:val="00B0346D"/>
    <w:rsid w:val="00B20789"/>
    <w:rsid w:val="00B26DEE"/>
    <w:rsid w:val="00B516B3"/>
    <w:rsid w:val="00BA5DF1"/>
    <w:rsid w:val="00BF75F8"/>
    <w:rsid w:val="00C230D7"/>
    <w:rsid w:val="00C23D24"/>
    <w:rsid w:val="00C42D79"/>
    <w:rsid w:val="00C7545C"/>
    <w:rsid w:val="00C93F35"/>
    <w:rsid w:val="00CE3B2F"/>
    <w:rsid w:val="00D00DC1"/>
    <w:rsid w:val="00D40C57"/>
    <w:rsid w:val="00D804F1"/>
    <w:rsid w:val="00DC2F9A"/>
    <w:rsid w:val="00DC3C72"/>
    <w:rsid w:val="00DD5C6C"/>
    <w:rsid w:val="00DF6DE6"/>
    <w:rsid w:val="00E11AD1"/>
    <w:rsid w:val="00E55527"/>
    <w:rsid w:val="00E9168A"/>
    <w:rsid w:val="00EC561D"/>
    <w:rsid w:val="00ED1E97"/>
    <w:rsid w:val="00ED679B"/>
    <w:rsid w:val="00F30405"/>
    <w:rsid w:val="00F477CC"/>
    <w:rsid w:val="00F753DE"/>
    <w:rsid w:val="00F86067"/>
    <w:rsid w:val="00F864C9"/>
    <w:rsid w:val="00FE7A51"/>
    <w:rsid w:val="00FE7E4D"/>
    <w:rsid w:val="015F5E41"/>
    <w:rsid w:val="01725D11"/>
    <w:rsid w:val="01F85B19"/>
    <w:rsid w:val="024F41E1"/>
    <w:rsid w:val="027B0509"/>
    <w:rsid w:val="03826FDD"/>
    <w:rsid w:val="053D14DF"/>
    <w:rsid w:val="054A2064"/>
    <w:rsid w:val="061101A2"/>
    <w:rsid w:val="06B175B6"/>
    <w:rsid w:val="06F45E42"/>
    <w:rsid w:val="070A4BF4"/>
    <w:rsid w:val="08CD4B57"/>
    <w:rsid w:val="08D133B2"/>
    <w:rsid w:val="090F2CC0"/>
    <w:rsid w:val="0AE302D4"/>
    <w:rsid w:val="0B8E3B08"/>
    <w:rsid w:val="0C8D1290"/>
    <w:rsid w:val="0DD15F95"/>
    <w:rsid w:val="0E090507"/>
    <w:rsid w:val="0F5F3397"/>
    <w:rsid w:val="0FD97A33"/>
    <w:rsid w:val="11BB600F"/>
    <w:rsid w:val="11F9425B"/>
    <w:rsid w:val="12984461"/>
    <w:rsid w:val="13714D75"/>
    <w:rsid w:val="14DB7DE3"/>
    <w:rsid w:val="15DA180B"/>
    <w:rsid w:val="16385CA3"/>
    <w:rsid w:val="16D201E2"/>
    <w:rsid w:val="18102DB0"/>
    <w:rsid w:val="18BE37A7"/>
    <w:rsid w:val="19926E5B"/>
    <w:rsid w:val="19EE1A90"/>
    <w:rsid w:val="1A464F1D"/>
    <w:rsid w:val="1B716323"/>
    <w:rsid w:val="1CEC0331"/>
    <w:rsid w:val="1CEF756A"/>
    <w:rsid w:val="1ECB447F"/>
    <w:rsid w:val="1F6F5E83"/>
    <w:rsid w:val="1F990987"/>
    <w:rsid w:val="1FBE5606"/>
    <w:rsid w:val="20141961"/>
    <w:rsid w:val="207F616B"/>
    <w:rsid w:val="22710AF4"/>
    <w:rsid w:val="24B86CEB"/>
    <w:rsid w:val="250B15A0"/>
    <w:rsid w:val="2928163F"/>
    <w:rsid w:val="29B602B5"/>
    <w:rsid w:val="2A1B3385"/>
    <w:rsid w:val="2AAE6D58"/>
    <w:rsid w:val="2AF00719"/>
    <w:rsid w:val="2BB438A6"/>
    <w:rsid w:val="2C243F63"/>
    <w:rsid w:val="2C636A5E"/>
    <w:rsid w:val="2CA3544F"/>
    <w:rsid w:val="2CC93BEF"/>
    <w:rsid w:val="2D0D60DA"/>
    <w:rsid w:val="2DB113EC"/>
    <w:rsid w:val="2E0B23DA"/>
    <w:rsid w:val="2E282827"/>
    <w:rsid w:val="2E666BE0"/>
    <w:rsid w:val="2ED0638F"/>
    <w:rsid w:val="2F532008"/>
    <w:rsid w:val="2FD87750"/>
    <w:rsid w:val="30271D54"/>
    <w:rsid w:val="317C273D"/>
    <w:rsid w:val="31955028"/>
    <w:rsid w:val="319A7E65"/>
    <w:rsid w:val="31D870CA"/>
    <w:rsid w:val="33550A8E"/>
    <w:rsid w:val="36C535D6"/>
    <w:rsid w:val="37183988"/>
    <w:rsid w:val="37EB4FF7"/>
    <w:rsid w:val="39A7331A"/>
    <w:rsid w:val="3A5141CB"/>
    <w:rsid w:val="3A56049B"/>
    <w:rsid w:val="3BCA146E"/>
    <w:rsid w:val="3BE73522"/>
    <w:rsid w:val="3C7462B5"/>
    <w:rsid w:val="3CF557CE"/>
    <w:rsid w:val="3D0B1173"/>
    <w:rsid w:val="3D7741B2"/>
    <w:rsid w:val="3DD1505E"/>
    <w:rsid w:val="3FB65FC5"/>
    <w:rsid w:val="40F15F1B"/>
    <w:rsid w:val="441317F9"/>
    <w:rsid w:val="45A64E9E"/>
    <w:rsid w:val="45DF03C0"/>
    <w:rsid w:val="45F5716E"/>
    <w:rsid w:val="476B4790"/>
    <w:rsid w:val="47BC1D59"/>
    <w:rsid w:val="480F21BA"/>
    <w:rsid w:val="48AD517D"/>
    <w:rsid w:val="48C8044C"/>
    <w:rsid w:val="48F228C5"/>
    <w:rsid w:val="49E17ACB"/>
    <w:rsid w:val="4B3715E0"/>
    <w:rsid w:val="4B760E64"/>
    <w:rsid w:val="4BB5792A"/>
    <w:rsid w:val="4C6F7F95"/>
    <w:rsid w:val="4DA31D52"/>
    <w:rsid w:val="4E265D3A"/>
    <w:rsid w:val="4F185039"/>
    <w:rsid w:val="4F186CD6"/>
    <w:rsid w:val="4F2E3A22"/>
    <w:rsid w:val="52FB6797"/>
    <w:rsid w:val="556D6737"/>
    <w:rsid w:val="55A22B9E"/>
    <w:rsid w:val="56D56A52"/>
    <w:rsid w:val="57091409"/>
    <w:rsid w:val="573B650D"/>
    <w:rsid w:val="57403EB4"/>
    <w:rsid w:val="57DD6D97"/>
    <w:rsid w:val="58BF501B"/>
    <w:rsid w:val="58C15702"/>
    <w:rsid w:val="5AC54D2D"/>
    <w:rsid w:val="5BA87448"/>
    <w:rsid w:val="5C2B7C35"/>
    <w:rsid w:val="5C7B2178"/>
    <w:rsid w:val="5D1F5400"/>
    <w:rsid w:val="5E0223AF"/>
    <w:rsid w:val="5FBC7AFA"/>
    <w:rsid w:val="5FE06CE9"/>
    <w:rsid w:val="62470F74"/>
    <w:rsid w:val="62F36BDA"/>
    <w:rsid w:val="63AB4DD7"/>
    <w:rsid w:val="65781F8A"/>
    <w:rsid w:val="65887C6A"/>
    <w:rsid w:val="65C270ED"/>
    <w:rsid w:val="65F1658C"/>
    <w:rsid w:val="661358FB"/>
    <w:rsid w:val="66526029"/>
    <w:rsid w:val="687A1AE8"/>
    <w:rsid w:val="6A6404C4"/>
    <w:rsid w:val="6AFA6BBA"/>
    <w:rsid w:val="6C3666D5"/>
    <w:rsid w:val="6C4C7BB3"/>
    <w:rsid w:val="6E6E27A2"/>
    <w:rsid w:val="6F0445A7"/>
    <w:rsid w:val="6F6F7DAF"/>
    <w:rsid w:val="70BB186B"/>
    <w:rsid w:val="72543F5F"/>
    <w:rsid w:val="744F08B2"/>
    <w:rsid w:val="74EC580C"/>
    <w:rsid w:val="751D685A"/>
    <w:rsid w:val="759F7BA5"/>
    <w:rsid w:val="770471F5"/>
    <w:rsid w:val="77126B06"/>
    <w:rsid w:val="77EC1C4C"/>
    <w:rsid w:val="7840472E"/>
    <w:rsid w:val="792D386C"/>
    <w:rsid w:val="7A2C67DE"/>
    <w:rsid w:val="7A545D03"/>
    <w:rsid w:val="7A9F0FE8"/>
    <w:rsid w:val="7B6A0731"/>
    <w:rsid w:val="7BC4683E"/>
    <w:rsid w:val="7C827AFD"/>
    <w:rsid w:val="7CB31CD5"/>
    <w:rsid w:val="7CEF3250"/>
    <w:rsid w:val="7E2B5E47"/>
    <w:rsid w:val="7E5969AE"/>
    <w:rsid w:val="7EB7607E"/>
    <w:rsid w:val="7EF8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qFormat/>
    <w:uiPriority w:val="0"/>
    <w:pPr>
      <w:jc w:val="left"/>
    </w:pPr>
  </w:style>
  <w:style w:type="paragraph" w:styleId="3">
    <w:name w:val="Balloon Text"/>
    <w:basedOn w:val="1"/>
    <w:link w:val="18"/>
    <w:qFormat/>
    <w:uiPriority w:val="0"/>
    <w:rPr>
      <w:sz w:val="18"/>
      <w:szCs w:val="18"/>
    </w:rPr>
  </w:style>
  <w:style w:type="paragraph" w:styleId="4">
    <w:name w:val="footer"/>
    <w:basedOn w:val="1"/>
    <w:link w:val="22"/>
    <w:unhideWhenUsed/>
    <w:qFormat/>
    <w:uiPriority w:val="0"/>
    <w:pPr>
      <w:tabs>
        <w:tab w:val="center" w:pos="4153"/>
        <w:tab w:val="right" w:pos="8306"/>
      </w:tabs>
      <w:snapToGrid w:val="0"/>
      <w:jc w:val="left"/>
    </w:pPr>
    <w:rPr>
      <w:sz w:val="18"/>
      <w:szCs w:val="18"/>
    </w:rPr>
  </w:style>
  <w:style w:type="paragraph" w:styleId="5">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7">
    <w:name w:val="annotation subject"/>
    <w:basedOn w:val="2"/>
    <w:next w:val="2"/>
    <w:link w:val="20"/>
    <w:qFormat/>
    <w:uiPriority w:val="0"/>
    <w:rPr>
      <w:b/>
      <w:bCs/>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semiHidden/>
    <w:unhideWhenUsed/>
    <w:qFormat/>
    <w:uiPriority w:val="99"/>
    <w:rPr>
      <w:color w:val="0000FF"/>
      <w:u w:val="single"/>
    </w:rPr>
  </w:style>
  <w:style w:type="character" w:styleId="13">
    <w:name w:val="annotation reference"/>
    <w:basedOn w:val="9"/>
    <w:qFormat/>
    <w:uiPriority w:val="0"/>
    <w:rPr>
      <w:sz w:val="21"/>
      <w:szCs w:val="21"/>
    </w:rPr>
  </w:style>
  <w:style w:type="paragraph" w:customStyle="1" w:styleId="14">
    <w:name w:val="公式说明"/>
    <w:basedOn w:val="1"/>
    <w:qFormat/>
    <w:uiPriority w:val="0"/>
    <w:pPr>
      <w:tabs>
        <w:tab w:val="left" w:pos="1920"/>
      </w:tabs>
      <w:adjustRightInd w:val="0"/>
      <w:snapToGrid w:val="0"/>
      <w:spacing w:line="620" w:lineRule="exact"/>
      <w:ind w:firstLine="200" w:firstLineChars="200"/>
    </w:pPr>
    <w:rPr>
      <w:rFonts w:eastAsia="仿宋_GB2312"/>
      <w:sz w:val="32"/>
      <w:szCs w:val="22"/>
    </w:rPr>
  </w:style>
  <w:style w:type="paragraph" w:customStyle="1" w:styleId="15">
    <w:name w:val="Default"/>
    <w:unhideWhenUsed/>
    <w:qFormat/>
    <w:uiPriority w:val="99"/>
    <w:pPr>
      <w:widowControl w:val="0"/>
      <w:autoSpaceDE w:val="0"/>
      <w:autoSpaceDN w:val="0"/>
      <w:adjustRightInd w:val="0"/>
    </w:pPr>
    <w:rPr>
      <w:rFonts w:hint="eastAsia" w:ascii="微软雅黑" w:hAnsi="微软雅黑" w:eastAsia="微软雅黑" w:cs="Times New Roman"/>
      <w:color w:val="000000"/>
      <w:sz w:val="24"/>
      <w:lang w:val="en-US" w:eastAsia="zh-CN" w:bidi="ar-SA"/>
    </w:rPr>
  </w:style>
  <w:style w:type="character" w:customStyle="1" w:styleId="16">
    <w:name w:val="标题1"/>
    <w:qFormat/>
    <w:uiPriority w:val="0"/>
  </w:style>
  <w:style w:type="character" w:styleId="17">
    <w:name w:val="Placeholder Text"/>
    <w:basedOn w:val="9"/>
    <w:unhideWhenUsed/>
    <w:qFormat/>
    <w:uiPriority w:val="99"/>
    <w:rPr>
      <w:color w:val="808080"/>
    </w:rPr>
  </w:style>
  <w:style w:type="character" w:customStyle="1" w:styleId="18">
    <w:name w:val="批注框文本 Char"/>
    <w:basedOn w:val="9"/>
    <w:link w:val="3"/>
    <w:qFormat/>
    <w:uiPriority w:val="0"/>
    <w:rPr>
      <w:rFonts w:ascii="Calibri" w:hAnsi="Calibri"/>
      <w:kern w:val="2"/>
      <w:sz w:val="18"/>
      <w:szCs w:val="18"/>
    </w:rPr>
  </w:style>
  <w:style w:type="character" w:customStyle="1" w:styleId="19">
    <w:name w:val="批注文字 Char"/>
    <w:basedOn w:val="9"/>
    <w:link w:val="2"/>
    <w:qFormat/>
    <w:uiPriority w:val="0"/>
    <w:rPr>
      <w:rFonts w:ascii="Calibri" w:hAnsi="Calibri"/>
      <w:kern w:val="2"/>
      <w:sz w:val="21"/>
      <w:szCs w:val="24"/>
    </w:rPr>
  </w:style>
  <w:style w:type="character" w:customStyle="1" w:styleId="20">
    <w:name w:val="批注主题 Char"/>
    <w:basedOn w:val="19"/>
    <w:link w:val="7"/>
    <w:qFormat/>
    <w:uiPriority w:val="0"/>
    <w:rPr>
      <w:rFonts w:ascii="Calibri" w:hAnsi="Calibri"/>
      <w:b/>
      <w:bCs/>
      <w:kern w:val="2"/>
      <w:sz w:val="21"/>
      <w:szCs w:val="24"/>
    </w:rPr>
  </w:style>
  <w:style w:type="character" w:customStyle="1" w:styleId="21">
    <w:name w:val="页眉 Char"/>
    <w:basedOn w:val="9"/>
    <w:link w:val="5"/>
    <w:qFormat/>
    <w:uiPriority w:val="0"/>
    <w:rPr>
      <w:rFonts w:ascii="Calibri" w:hAnsi="Calibri"/>
      <w:kern w:val="2"/>
      <w:sz w:val="18"/>
      <w:szCs w:val="18"/>
    </w:rPr>
  </w:style>
  <w:style w:type="character" w:customStyle="1" w:styleId="22">
    <w:name w:val="页脚 Char"/>
    <w:basedOn w:val="9"/>
    <w:link w:val="4"/>
    <w:qFormat/>
    <w:uiPriority w:val="0"/>
    <w:rPr>
      <w:rFonts w:ascii="Calibri" w:hAnsi="Calibri"/>
      <w:kern w:val="2"/>
      <w:sz w:val="18"/>
      <w:szCs w:val="18"/>
    </w:rPr>
  </w:style>
  <w:style w:type="character" w:customStyle="1" w:styleId="23">
    <w:name w:val="op_dict_text2"/>
    <w:basedOn w:val="9"/>
    <w:qFormat/>
    <w:uiPriority w:val="0"/>
  </w:style>
  <w:style w:type="paragraph" w:customStyle="1" w:styleId="24">
    <w:name w:val="11 text"/>
    <w:basedOn w:val="1"/>
    <w:qFormat/>
    <w:uiPriority w:val="0"/>
    <w:pPr>
      <w:widowControl/>
      <w:autoSpaceDE w:val="0"/>
      <w:autoSpaceDN w:val="0"/>
      <w:adjustRightInd w:val="0"/>
      <w:spacing w:beforeLines="50"/>
      <w:jc w:val="left"/>
    </w:pPr>
    <w:rPr>
      <w:rFonts w:ascii="Book Antiqua" w:hAnsi="Book Antiqua" w:eastAsiaTheme="minorEastAsia"/>
      <w:kern w:val="0"/>
    </w:rPr>
  </w:style>
  <w:style w:type="paragraph" w:customStyle="1" w:styleId="25">
    <w:name w:val="B正文"/>
    <w:basedOn w:val="1"/>
    <w:qFormat/>
    <w:uiPriority w:val="99"/>
  </w:style>
  <w:style w:type="paragraph" w:styleId="26">
    <w:name w:val="List Paragraph"/>
    <w:basedOn w:val="1"/>
    <w:qFormat/>
    <w:uiPriority w:val="34"/>
    <w:pPr>
      <w:ind w:firstLine="42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lwr&#35770;&#25991;\lwr&#35770;&#25991;\&#26032;&#24314;%20XLS%20&#24037;&#20316;&#34920;-1.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lwr&#35770;&#25991;\lwr&#35770;&#25991;\&#26032;&#24314;%20XLS%20&#24037;&#20316;&#349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Times New Roman" panose="02020603050405020304" charset="0"/>
                <a:ea typeface="+mn-ea"/>
                <a:cs typeface="Times New Roman" panose="02020603050405020304" charset="0"/>
              </a:defRPr>
            </a:pPr>
            <a:r>
              <a:rPr lang="zh-CN" altLang="en-US" sz="1400"/>
              <a:t>图 </a:t>
            </a:r>
            <a:r>
              <a:rPr lang="en-US" altLang="zh-CN" sz="1400"/>
              <a:t>3</a:t>
            </a:r>
            <a:r>
              <a:rPr lang="zh-CN" altLang="en-US" sz="1400"/>
              <a:t> 基坑清挖后坑底铅监测结果</a:t>
            </a:r>
            <a:endParaRPr lang="zh-CN" altLang="en-US" sz="1400"/>
          </a:p>
        </c:rich>
      </c:tx>
      <c:layout>
        <c:manualLayout>
          <c:xMode val="edge"/>
          <c:yMode val="edge"/>
          <c:x val="0.27778677462888"/>
          <c:y val="0.900688298918387"/>
        </c:manualLayout>
      </c:layout>
      <c:overlay val="0"/>
      <c:spPr>
        <a:noFill/>
        <a:ln w="25400">
          <a:noFill/>
        </a:ln>
      </c:spPr>
    </c:title>
    <c:autoTitleDeleted val="0"/>
    <c:plotArea>
      <c:layout>
        <c:manualLayout>
          <c:layoutTarget val="inner"/>
          <c:xMode val="edge"/>
          <c:yMode val="edge"/>
          <c:x val="0.141855547408801"/>
          <c:y val="0.0863915019472123"/>
          <c:w val="0.674696462537325"/>
          <c:h val="0.670619314178648"/>
        </c:manualLayout>
      </c:layout>
      <c:scatterChart>
        <c:scatterStyle val="lineMarker"/>
        <c:varyColors val="0"/>
        <c:ser>
          <c:idx val="0"/>
          <c:order val="0"/>
          <c:tx>
            <c:strRef>
              <c:f>Sheet1!$D$3</c:f>
              <c:strCache>
                <c:ptCount val="1"/>
                <c:pt idx="0">
                  <c:v>铅浓度</c:v>
                </c:pt>
              </c:strCache>
            </c:strRef>
          </c:tx>
          <c:spPr>
            <a:ln w="44450" cap="rnd" cmpd="sng" algn="ctr">
              <a:noFill/>
              <a:prstDash val="solid"/>
              <a:round/>
            </a:ln>
          </c:spPr>
          <c:dLbls>
            <c:dLbl>
              <c:idx val="1"/>
              <c:layout>
                <c:manualLayout>
                  <c:x val="-0.048582995951417"/>
                  <c:y val="-0.0591715976331361"/>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755735492577598"/>
                  <c:y val="0.0591715976331362"/>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96896086369771"/>
                  <c:y val="-0.0670611439842209"/>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458839406207827"/>
                  <c:y val="-0.0591715976331361"/>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647773279352227"/>
                  <c:y val="0.0512820512820513"/>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048582995951417"/>
                  <c:y val="-0.0473372781065089"/>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48582995951417"/>
                  <c:y val="-0.0631163708086784"/>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8"/>
              <c:layout>
                <c:manualLayout>
                  <c:x val="-0.0323886639676113"/>
                  <c:y val="-0.0473372781065089"/>
                </c:manualLayout>
              </c:layout>
              <c:numFmt formatCode="General" sourceLinked="1"/>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spPr>
              <a:noFill/>
              <a:ln w="25400">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ext>
            </c:extLst>
          </c:dLbls>
          <c:xVal>
            <c:strRef>
              <c:f>Sheet1!$C$4:$C$12</c:f>
              <c:strCache>
                <c:ptCount val="9"/>
                <c:pt idx="0">
                  <c:v>Q-1</c:v>
                </c:pt>
                <c:pt idx="1">
                  <c:v>Q-2</c:v>
                </c:pt>
                <c:pt idx="2">
                  <c:v>Q-3</c:v>
                </c:pt>
                <c:pt idx="3">
                  <c:v>Q-4</c:v>
                </c:pt>
                <c:pt idx="4">
                  <c:v>Q-5</c:v>
                </c:pt>
                <c:pt idx="5">
                  <c:v>Q-6</c:v>
                </c:pt>
                <c:pt idx="6">
                  <c:v>Q-7</c:v>
                </c:pt>
                <c:pt idx="7">
                  <c:v>Q-8</c:v>
                </c:pt>
                <c:pt idx="8">
                  <c:v>Q-9</c:v>
                </c:pt>
              </c:strCache>
            </c:strRef>
          </c:xVal>
          <c:yVal>
            <c:numRef>
              <c:f>Sheet1!$D$4:$D$12</c:f>
              <c:numCache>
                <c:formatCode>General</c:formatCode>
                <c:ptCount val="9"/>
                <c:pt idx="0">
                  <c:v>338</c:v>
                </c:pt>
                <c:pt idx="1">
                  <c:v>200</c:v>
                </c:pt>
                <c:pt idx="2">
                  <c:v>186</c:v>
                </c:pt>
                <c:pt idx="3">
                  <c:v>157</c:v>
                </c:pt>
                <c:pt idx="4">
                  <c:v>78.4</c:v>
                </c:pt>
                <c:pt idx="5">
                  <c:v>49.8</c:v>
                </c:pt>
                <c:pt idx="6">
                  <c:v>43.4</c:v>
                </c:pt>
                <c:pt idx="7">
                  <c:v>86.6</c:v>
                </c:pt>
                <c:pt idx="8">
                  <c:v>42.3</c:v>
                </c:pt>
              </c:numCache>
            </c:numRef>
          </c:yVal>
          <c:smooth val="0"/>
        </c:ser>
        <c:dLbls>
          <c:showLegendKey val="0"/>
          <c:showVal val="0"/>
          <c:showCatName val="0"/>
          <c:showSerName val="0"/>
          <c:showPercent val="0"/>
          <c:showBubbleSize val="0"/>
        </c:dLbls>
        <c:axId val="-1787581504"/>
        <c:axId val="-1787579328"/>
      </c:scatterChart>
      <c:valAx>
        <c:axId val="-178758150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Times New Roman" panose="02020603050405020304" charset="0"/>
                    <a:ea typeface="+mn-ea"/>
                    <a:cs typeface="Times New Roman" panose="02020603050405020304" charset="0"/>
                  </a:defRPr>
                </a:pPr>
                <a:r>
                  <a:rPr lang="zh-CN" b="1"/>
                  <a:t>样品编号</a:t>
                </a:r>
                <a:endParaRPr lang="zh-CN" b="1"/>
              </a:p>
            </c:rich>
          </c:tx>
          <c:layout>
            <c:manualLayout>
              <c:xMode val="edge"/>
              <c:yMode val="edge"/>
              <c:x val="0.432577597840756"/>
              <c:y val="0.826604417810606"/>
            </c:manualLayout>
          </c:layout>
          <c:overlay val="0"/>
          <c:spPr>
            <a:noFill/>
            <a:ln w="25400">
              <a:noFill/>
            </a:ln>
          </c:spPr>
        </c:title>
        <c:numFmt formatCode="General" sourceLinked="1"/>
        <c:majorTickMark val="out"/>
        <c:minorTickMark val="none"/>
        <c:tickLblPos val="nextTo"/>
        <c:txPr>
          <a:bodyPr rot="0" spcFirstLastPara="0" vertOverflow="ellipsis" vert="horz" wrap="square" anchor="ctr" anchorCtr="1"/>
          <a:lstStyle/>
          <a:p>
            <a:pPr>
              <a:defRPr lang="zh-CN" sz="100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787579328"/>
        <c:crosses val="autoZero"/>
        <c:crossBetween val="midCat"/>
        <c:majorUnit val="1"/>
      </c:valAx>
      <c:valAx>
        <c:axId val="-1787579328"/>
        <c:scaling>
          <c:orientation val="minMax"/>
        </c:scaling>
        <c:delete val="0"/>
        <c:axPos val="l"/>
        <c:majorGridlines/>
        <c:title>
          <c:tx>
            <c:rich>
              <a:bodyPr rot="-5400000" spcFirstLastPara="0" vertOverflow="ellipsis" vert="horz" wrap="square" anchor="ctr" anchorCtr="1"/>
              <a:lstStyle/>
              <a:p>
                <a:pPr>
                  <a:defRPr lang="zh-CN" sz="1000" b="1" i="0" u="none" strike="noStrike" kern="1200" baseline="0">
                    <a:solidFill>
                      <a:schemeClr val="tx1"/>
                    </a:solidFill>
                    <a:latin typeface="Times New Roman" panose="02020603050405020304" charset="0"/>
                    <a:ea typeface="+mn-ea"/>
                    <a:cs typeface="Times New Roman" panose="02020603050405020304" charset="0"/>
                  </a:defRPr>
                </a:pPr>
                <a:r>
                  <a:rPr lang="zh-CN" altLang="en-US" b="1"/>
                  <a:t>土壤</a:t>
                </a:r>
                <a:r>
                  <a:rPr lang="zh-CN" b="1"/>
                  <a:t>铅浓度</a:t>
                </a:r>
                <a:r>
                  <a:rPr lang="en-US" altLang="zh-CN" b="1"/>
                  <a:t>  </a:t>
                </a:r>
                <a:r>
                  <a:rPr lang="en-US" b="1">
                    <a:latin typeface="Times New Roman" panose="02020603050405020304" charset="0"/>
                    <a:cs typeface="Times New Roman" panose="02020603050405020304" charset="0"/>
                  </a:rPr>
                  <a:t>mg/kg</a:t>
                </a:r>
                <a:endParaRPr lang="zh-CN" b="1">
                  <a:latin typeface="Times New Roman" panose="02020603050405020304" charset="0"/>
                  <a:cs typeface="Times New Roman" panose="02020603050405020304" charset="0"/>
                </a:endParaRPr>
              </a:p>
            </c:rich>
          </c:tx>
          <c:layout>
            <c:manualLayout>
              <c:xMode val="edge"/>
              <c:yMode val="edge"/>
              <c:x val="0.0107962213225371"/>
              <c:y val="0.331538336469003"/>
            </c:manualLayout>
          </c:layout>
          <c:overlay val="0"/>
          <c:spPr>
            <a:noFill/>
            <a:ln w="25400">
              <a:noFill/>
            </a:ln>
          </c:spPr>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crossAx val="-1787581504"/>
        <c:crosses val="autoZero"/>
        <c:crossBetween val="midCat"/>
      </c:valAx>
      <c:spPr>
        <a:noFill/>
        <a:ln w="25400">
          <a:noFill/>
        </a:ln>
      </c:spPr>
    </c:plotArea>
    <c:legend>
      <c:legendPos val="r"/>
      <c:layout/>
      <c:overlay val="0"/>
      <c:spPr>
        <a:noFill/>
        <a:ln w="25400">
          <a:noFill/>
        </a:ln>
      </c:spPr>
      <c:txPr>
        <a:bodyPr rot="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txPr>
    <a:bodyPr/>
    <a:lstStyle/>
    <a:p>
      <a:pPr>
        <a:defRPr lang="zh-CN">
          <a:latin typeface="Times New Roman" panose="02020603050405020304" charset="0"/>
          <a:cs typeface="Times New Roman" panose="02020603050405020304" charset="0"/>
        </a:defRPr>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rot="0" spcFirstLastPara="0" vertOverflow="ellipsis" vert="horz" wrap="square" anchor="ctr" anchorCtr="1"/>
          <a:lstStyle/>
          <a:p>
            <a:pPr>
              <a:defRPr lang="zh-CN" sz="1400" b="1"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sz="1400"/>
              <a:t>图 </a:t>
            </a:r>
            <a:r>
              <a:rPr lang="en-US" altLang="zh-CN" sz="1400"/>
              <a:t>4 </a:t>
            </a:r>
            <a:r>
              <a:rPr lang="zh-CN" altLang="en-US" sz="1400"/>
              <a:t>清挖后坑底砷监测结果</a:t>
            </a:r>
            <a:endParaRPr lang="zh-CN" altLang="en-US" sz="1400" b="1" i="0" u="none" strike="noStrike" baseline="0">
              <a:solidFill>
                <a:srgbClr val="000000">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212520552699508"/>
          <c:y val="0.901178451178451"/>
        </c:manualLayout>
      </c:layout>
      <c:overlay val="0"/>
    </c:title>
    <c:autoTitleDeleted val="0"/>
    <c:plotArea>
      <c:layout>
        <c:manualLayout>
          <c:layoutTarget val="inner"/>
          <c:xMode val="edge"/>
          <c:yMode val="edge"/>
          <c:x val="0.128099173553719"/>
          <c:y val="0.0398989898989899"/>
          <c:w val="0.70137741046832"/>
          <c:h val="0.713468013468013"/>
        </c:manualLayout>
      </c:layout>
      <c:scatterChart>
        <c:scatterStyle val="marker"/>
        <c:varyColors val="0"/>
        <c:ser>
          <c:idx val="0"/>
          <c:order val="0"/>
          <c:tx>
            <c:strRef>
              <c:f>'[新建 XLS 工作表-1.xls]Sheet1'!$D$18</c:f>
              <c:strCache>
                <c:ptCount val="1"/>
                <c:pt idx="0">
                  <c:v>砷浓度</c:v>
                </c:pt>
              </c:strCache>
            </c:strRef>
          </c:tx>
          <c:spPr>
            <a:ln w="44450" cap="rnd" cmpd="sng" algn="ctr">
              <a:noFill/>
              <a:prstDash val="solid"/>
              <a:round/>
            </a:ln>
          </c:spPr>
          <c:dLbls>
            <c:dLbl>
              <c:idx val="0"/>
              <c:layout>
                <c:manualLayout>
                  <c:x val="-0.0578512396694215"/>
                  <c:y val="-0.053872053872053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776171883473244"/>
                  <c:y val="0.050084307643362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611111111111111"/>
                  <c:y val="-0.032407407407407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774334613132036"/>
                  <c:y val="0.050084307643362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665289256198347"/>
                  <c:y val="-0.050084042524987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552341597796143"/>
                  <c:y val="0.039141546700601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0581267217630854"/>
                  <c:y val="-0.056397306397306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554866488796338"/>
                  <c:y val="0.0513468013468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8"/>
              <c:layout>
                <c:manualLayout>
                  <c:x val="-0.0666436736730223"/>
                  <c:y val="-0.039983297542352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ext>
            </c:extLst>
          </c:dLbls>
          <c:xVal>
            <c:strRef>
              <c:f>'[新建 XLS 工作表-1.xls]Sheet1'!$C$19:$C$27</c:f>
              <c:strCache>
                <c:ptCount val="9"/>
                <c:pt idx="0">
                  <c:v>Q-1</c:v>
                </c:pt>
                <c:pt idx="1">
                  <c:v>Q-2</c:v>
                </c:pt>
                <c:pt idx="2">
                  <c:v>Q-3</c:v>
                </c:pt>
                <c:pt idx="3">
                  <c:v>Q-4</c:v>
                </c:pt>
                <c:pt idx="4">
                  <c:v>Q-5</c:v>
                </c:pt>
                <c:pt idx="5">
                  <c:v>Q-6</c:v>
                </c:pt>
                <c:pt idx="6">
                  <c:v>Q-7</c:v>
                </c:pt>
                <c:pt idx="7">
                  <c:v>Q-8</c:v>
                </c:pt>
                <c:pt idx="8">
                  <c:v>Q-9</c:v>
                </c:pt>
              </c:strCache>
            </c:strRef>
          </c:xVal>
          <c:yVal>
            <c:numRef>
              <c:f>'[新建 XLS 工作表-1.xls]Sheet1'!$D$19:$D$27</c:f>
              <c:numCache>
                <c:formatCode>General</c:formatCode>
                <c:ptCount val="9"/>
                <c:pt idx="0">
                  <c:v>12.2</c:v>
                </c:pt>
                <c:pt idx="1">
                  <c:v>7.96</c:v>
                </c:pt>
                <c:pt idx="2">
                  <c:v>9.38</c:v>
                </c:pt>
                <c:pt idx="3">
                  <c:v>9.08</c:v>
                </c:pt>
                <c:pt idx="4">
                  <c:v>9.05</c:v>
                </c:pt>
                <c:pt idx="5">
                  <c:v>8.25</c:v>
                </c:pt>
                <c:pt idx="6">
                  <c:v>9.64</c:v>
                </c:pt>
                <c:pt idx="7">
                  <c:v>9.53</c:v>
                </c:pt>
                <c:pt idx="8">
                  <c:v>4.64</c:v>
                </c:pt>
              </c:numCache>
            </c:numRef>
          </c:yVal>
          <c:smooth val="0"/>
        </c:ser>
        <c:dLbls>
          <c:showLegendKey val="0"/>
          <c:showVal val="0"/>
          <c:showCatName val="0"/>
          <c:showSerName val="0"/>
          <c:showPercent val="0"/>
          <c:showBubbleSize val="0"/>
        </c:dLbls>
        <c:axId val="474041797"/>
        <c:axId val="80278349"/>
      </c:scatterChart>
      <c:valAx>
        <c:axId val="474041797"/>
        <c:scaling>
          <c:orientation val="minMax"/>
        </c:scaling>
        <c:delete val="0"/>
        <c:axPos val="b"/>
        <c:title>
          <c:tx>
            <c:rich>
              <a:bodyPr rot="0" spcFirstLastPara="0" vertOverflow="ellipsis" vert="horz" wrap="square" anchor="ctr" anchorCtr="1"/>
              <a:lstStyle/>
              <a:p>
                <a:pPr>
                  <a:defRPr lang="zh-CN" sz="1000" b="1"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a:t>样品编号</a:t>
                </a:r>
                <a:endParaRPr lang="zh-CN" sz="1000" b="1" i="0" u="none" strike="noStrike" baseline="0">
                  <a:solidFill>
                    <a:srgbClr val="000000">
                      <a:alpha val="100000"/>
                    </a:srgbClr>
                  </a:solidFill>
                  <a:latin typeface="宋体" panose="02010600030101010101" charset="-122"/>
                  <a:ea typeface="宋体" panose="02010600030101010101" charset="-122"/>
                  <a:cs typeface="宋体" panose="02010600030101010101" charset="-122"/>
                </a:endParaRPr>
              </a:p>
            </c:rich>
          </c:tx>
          <c:layout/>
          <c:overlay val="0"/>
        </c:title>
        <c:majorTickMark val="out"/>
        <c:minorTickMark val="none"/>
        <c:tickLblPos val="nextTo"/>
        <c:txPr>
          <a:bodyPr rot="0" spcFirstLastPara="0" vertOverflow="ellipsis" vert="horz" wrap="square" anchor="ctr" anchorCtr="1"/>
          <a:lstStyle/>
          <a:p>
            <a:pPr>
              <a:defRPr lang="zh-CN" sz="10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p>
        </c:txPr>
        <c:crossAx val="80278349"/>
        <c:crosses val="autoZero"/>
        <c:crossBetween val="midCat"/>
        <c:majorUnit val="1"/>
      </c:valAx>
      <c:valAx>
        <c:axId val="80278349"/>
        <c:scaling>
          <c:orientation val="minMax"/>
          <c:max val="20"/>
          <c:min val="2"/>
        </c:scaling>
        <c:delete val="0"/>
        <c:axPos val="l"/>
        <c:majorGridlines/>
        <c:title>
          <c:tx>
            <c:rich>
              <a:bodyPr rot="-5400000" spcFirstLastPara="0" vertOverflow="ellipsis" vert="horz" wrap="square" anchor="ctr" anchorCtr="1"/>
              <a:lstStyle/>
              <a:p>
                <a:pPr>
                  <a:defRPr lang="zh-CN" sz="11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sz="1000" b="1" i="0" u="none" strike="noStrike" baseline="0">
                    <a:solidFill>
                      <a:srgbClr val="000000"/>
                    </a:solidFill>
                    <a:latin typeface="宋体" panose="02010600030101010101" charset="-122"/>
                    <a:ea typeface="宋体" panose="02010600030101010101" charset="-122"/>
                    <a:cs typeface="宋体" panose="02010600030101010101" charset="-122"/>
                  </a:rPr>
                  <a:t>土壤砷浓度 </a:t>
                </a:r>
                <a:r>
                  <a:rPr lang="en-US" altLang="zh-CN" sz="1000" b="1" i="0" u="none" strike="noStrike" baseline="0">
                    <a:solidFill>
                      <a:srgbClr val="000000"/>
                    </a:solidFill>
                    <a:latin typeface="Times New Roman" panose="02020603050405020304" charset="0"/>
                    <a:ea typeface="Times New Roman" panose="02020603050405020304" charset="0"/>
                    <a:cs typeface="Times New Roman" panose="02020603050405020304" charset="0"/>
                  </a:rPr>
                  <a:t>mg/kg</a:t>
                </a:r>
                <a:endParaRPr lang="zh-CN" sz="12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crossAx val="474041797"/>
        <c:crosses val="autoZero"/>
        <c:crossBetween val="midCat"/>
        <c:majorUnit val="2"/>
      </c:valAx>
    </c:plotArea>
    <c:legend>
      <c:legendPos val="r"/>
      <c:layout/>
      <c:overlay val="0"/>
      <c:spPr>
        <a:noFill/>
        <a:ln w="3175">
          <a:noFill/>
        </a:ln>
      </c:spPr>
      <c:txPr>
        <a:bodyPr rot="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txPr>
    <a:bodyPr wrap="square"/>
    <a:lstStyle/>
    <a:p>
      <a:pPr>
        <a:defRPr lang="zh-CN">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rot="0" spcFirstLastPara="0" vertOverflow="ellipsis" vert="horz" wrap="square" anchor="ctr" anchorCtr="1"/>
          <a:lstStyle/>
          <a:p>
            <a:pPr>
              <a:defRPr lang="zh-CN" sz="1400" b="1" i="0" u="none" strike="noStrike" kern="1200" baseline="0">
                <a:solidFill>
                  <a:schemeClr val="tx1"/>
                </a:solidFill>
                <a:latin typeface="Times New Roman" panose="02020603050405020304" charset="0"/>
                <a:ea typeface="+mn-ea"/>
                <a:cs typeface="Times New Roman" panose="02020603050405020304" charset="0"/>
              </a:defRPr>
            </a:pPr>
            <a:r>
              <a:rPr lang="zh-CN" altLang="en-US" sz="1400"/>
              <a:t>图 </a:t>
            </a:r>
            <a:r>
              <a:rPr lang="en-US" altLang="zh-CN" sz="1400"/>
              <a:t>5 </a:t>
            </a:r>
            <a:r>
              <a:rPr lang="zh-CN" altLang="en-US" sz="1400"/>
              <a:t>基坑清挖后侧壁铅监测结果</a:t>
            </a:r>
            <a:endParaRPr lang="zh-CN" sz="1400"/>
          </a:p>
        </c:rich>
      </c:tx>
      <c:layout>
        <c:manualLayout>
          <c:xMode val="edge"/>
          <c:yMode val="edge"/>
          <c:x val="0.255305867665418"/>
          <c:y val="0.863905325443787"/>
        </c:manualLayout>
      </c:layout>
      <c:overlay val="0"/>
      <c:spPr>
        <a:noFill/>
        <a:ln w="25400">
          <a:noFill/>
        </a:ln>
      </c:spPr>
    </c:title>
    <c:autoTitleDeleted val="0"/>
    <c:plotArea>
      <c:layout>
        <c:manualLayout>
          <c:layoutTarget val="inner"/>
          <c:xMode val="edge"/>
          <c:yMode val="edge"/>
          <c:x val="0.119367522879865"/>
          <c:y val="0.0274755004736834"/>
          <c:w val="0.653481573230313"/>
          <c:h val="0.748323160788333"/>
        </c:manualLayout>
      </c:layout>
      <c:scatterChart>
        <c:scatterStyle val="lineMarker"/>
        <c:varyColors val="0"/>
        <c:ser>
          <c:idx val="0"/>
          <c:order val="0"/>
          <c:tx>
            <c:strRef>
              <c:f>Sheet1!$D$48</c:f>
              <c:strCache>
                <c:ptCount val="1"/>
                <c:pt idx="0">
                  <c:v>铅浓度</c:v>
                </c:pt>
              </c:strCache>
            </c:strRef>
          </c:tx>
          <c:spPr>
            <a:ln w="44450" cap="rnd" cmpd="sng" algn="ctr">
              <a:noFill/>
              <a:prstDash val="solid"/>
              <a:round/>
            </a:ln>
          </c:spPr>
          <c:dLbls>
            <c:dLbl>
              <c:idx val="0"/>
              <c:layout>
                <c:manualLayout>
                  <c:x val="-0.052434456928839"/>
                  <c:y val="-0.039447731755424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424469413233458"/>
                  <c:y val="0.0276134122287968"/>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574282147315855"/>
                  <c:y val="-0.0473372781065089"/>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823970037453184"/>
                  <c:y val="-0.02761341222879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549313358302122"/>
                  <c:y val="-0.0710059171597634"/>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674157303370787"/>
                  <c:y val="0.0512820512820513"/>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00499375780274657"/>
                  <c:y val="-0.0039447731755424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649188514357054"/>
                  <c:y val="-0.0512820512820513"/>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8"/>
              <c:layout>
                <c:manualLayout>
                  <c:x val="-0.0574282147315856"/>
                  <c:y val="0.035502958579881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9"/>
              <c:layout>
                <c:manualLayout>
                  <c:x val="-0.0299625468164795"/>
                  <c:y val="-0.039447731755424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10"/>
              <c:layout>
                <c:manualLayout>
                  <c:x val="-0.052434456928839"/>
                  <c:y val="-0.0433925049309665"/>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w="25400">
                <a:noFill/>
              </a:ln>
              <a:effectLst/>
            </c:spPr>
            <c:txPr>
              <a:bodyPr rot="0" spcFirstLastPara="0" vertOverflow="ellipsis" vert="horz" wrap="square" lIns="38100" tIns="19050" rIns="38100" bIns="19050" anchor="ctr" anchorCtr="1"/>
              <a:lstStyle/>
              <a:p>
                <a:pPr>
                  <a:defRPr lang="zh-CN" sz="8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ext>
            </c:extLst>
          </c:dLbls>
          <c:xVal>
            <c:strRef>
              <c:f>Sheet1!$C$49:$C$59</c:f>
              <c:strCache>
                <c:ptCount val="11"/>
                <c:pt idx="0">
                  <c:v>O-1-0.2m</c:v>
                </c:pt>
                <c:pt idx="1">
                  <c:v>O-2-0.2m</c:v>
                </c:pt>
                <c:pt idx="2">
                  <c:v>O-3-0.2m</c:v>
                </c:pt>
                <c:pt idx="3">
                  <c:v>O-4-0.2m</c:v>
                </c:pt>
                <c:pt idx="4">
                  <c:v>O-5-0.2m</c:v>
                </c:pt>
                <c:pt idx="5">
                  <c:v>O-1-1.2m</c:v>
                </c:pt>
                <c:pt idx="6">
                  <c:v>O-2-1.2m</c:v>
                </c:pt>
                <c:pt idx="7">
                  <c:v>O-3-1.2m</c:v>
                </c:pt>
                <c:pt idx="8">
                  <c:v>O-4-1.2m</c:v>
                </c:pt>
                <c:pt idx="9">
                  <c:v>O-5-1.2m</c:v>
                </c:pt>
                <c:pt idx="10">
                  <c:v>I-1-0.2m</c:v>
                </c:pt>
              </c:strCache>
            </c:strRef>
          </c:xVal>
          <c:yVal>
            <c:numRef>
              <c:f>Sheet1!$D$49:$D$59</c:f>
              <c:numCache>
                <c:formatCode>General</c:formatCode>
                <c:ptCount val="11"/>
                <c:pt idx="0">
                  <c:v>416</c:v>
                </c:pt>
                <c:pt idx="1">
                  <c:v>406</c:v>
                </c:pt>
                <c:pt idx="2">
                  <c:v>214</c:v>
                </c:pt>
                <c:pt idx="3">
                  <c:v>49.5</c:v>
                </c:pt>
                <c:pt idx="4">
                  <c:v>91.8</c:v>
                </c:pt>
                <c:pt idx="5">
                  <c:v>479</c:v>
                </c:pt>
                <c:pt idx="6">
                  <c:v>550</c:v>
                </c:pt>
                <c:pt idx="7">
                  <c:v>281</c:v>
                </c:pt>
                <c:pt idx="8">
                  <c:v>39</c:v>
                </c:pt>
                <c:pt idx="9">
                  <c:v>44</c:v>
                </c:pt>
                <c:pt idx="10">
                  <c:v>190</c:v>
                </c:pt>
              </c:numCache>
            </c:numRef>
          </c:yVal>
          <c:smooth val="0"/>
        </c:ser>
        <c:ser>
          <c:idx val="1"/>
          <c:order val="1"/>
          <c:tx>
            <c:strRef>
              <c:f>Sheet1!$E$48</c:f>
              <c:strCache>
                <c:ptCount val="1"/>
                <c:pt idx="0">
                  <c:v>二次清挖后浓度</c:v>
                </c:pt>
              </c:strCache>
            </c:strRef>
          </c:tx>
          <c:spPr>
            <a:ln w="44450" cap="rnd" cmpd="sng" algn="ctr">
              <a:noFill/>
              <a:prstDash val="solid"/>
              <a:round/>
            </a:ln>
          </c:spPr>
          <c:marker>
            <c:spPr>
              <a:solidFill>
                <a:srgbClr val="92D050"/>
              </a:solidFill>
            </c:spPr>
          </c:marker>
          <c:dLbls>
            <c:dLbl>
              <c:idx val="0"/>
              <c:layout>
                <c:manualLayout>
                  <c:x val="-0.0873907615480649"/>
                  <c:y val="-0.0631163708086785"/>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549313358302122"/>
                  <c:y val="0.0355029585798817"/>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724094881398253"/>
                  <c:y val="0.0394477317554241"/>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0424469413233458"/>
                  <c:y val="-0.047337278106509"/>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w="25400">
                <a:noFill/>
              </a:ln>
              <a:effectLst/>
            </c:spPr>
            <c:txPr>
              <a:bodyPr rot="0" spcFirstLastPara="0" vertOverflow="ellipsis" vert="horz" wrap="square" lIns="38100" tIns="19050" rIns="38100" bIns="19050" anchor="ctr" anchorCtr="1"/>
              <a:lstStyle/>
              <a:p>
                <a:pPr>
                  <a:defRPr lang="zh-CN" sz="800" b="0" i="0" u="none" strike="noStrike" kern="1200" baseline="0">
                    <a:solidFill>
                      <a:schemeClr val="tx1"/>
                    </a:solidFill>
                    <a:latin typeface="Times New Roman" panose="02020603050405020304" charset="0"/>
                    <a:ea typeface="+mn-ea"/>
                    <a:cs typeface="Times New Roman" panose="02020603050405020304" charset="0"/>
                  </a:defRPr>
                </a:pPr>
              </a:p>
            </c:txPr>
            <c:dLblPos val="r"/>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ext>
            </c:extLst>
          </c:dLbls>
          <c:xVal>
            <c:strRef>
              <c:f>Sheet1!$C$49:$C$59</c:f>
              <c:strCache>
                <c:ptCount val="11"/>
                <c:pt idx="0">
                  <c:v>O-1-0.2m</c:v>
                </c:pt>
                <c:pt idx="1">
                  <c:v>O-2-0.2m</c:v>
                </c:pt>
                <c:pt idx="2">
                  <c:v>O-3-0.2m</c:v>
                </c:pt>
                <c:pt idx="3">
                  <c:v>O-4-0.2m</c:v>
                </c:pt>
                <c:pt idx="4">
                  <c:v>O-5-0.2m</c:v>
                </c:pt>
                <c:pt idx="5">
                  <c:v>O-1-1.2m</c:v>
                </c:pt>
                <c:pt idx="6">
                  <c:v>O-2-1.2m</c:v>
                </c:pt>
                <c:pt idx="7">
                  <c:v>O-3-1.2m</c:v>
                </c:pt>
                <c:pt idx="8">
                  <c:v>O-4-1.2m</c:v>
                </c:pt>
                <c:pt idx="9">
                  <c:v>O-5-1.2m</c:v>
                </c:pt>
                <c:pt idx="10">
                  <c:v>I-1-0.2m</c:v>
                </c:pt>
              </c:strCache>
            </c:strRef>
          </c:xVal>
          <c:yVal>
            <c:numRef>
              <c:f>Sheet1!$E$49:$E$59</c:f>
              <c:numCache>
                <c:formatCode>General</c:formatCode>
                <c:ptCount val="11"/>
                <c:pt idx="0">
                  <c:v>27.2</c:v>
                </c:pt>
                <c:pt idx="1">
                  <c:v>27.5</c:v>
                </c:pt>
                <c:pt idx="5">
                  <c:v>38.4</c:v>
                </c:pt>
                <c:pt idx="6">
                  <c:v>37.3</c:v>
                </c:pt>
              </c:numCache>
            </c:numRef>
          </c:yVal>
          <c:smooth val="0"/>
        </c:ser>
        <c:dLbls>
          <c:showLegendKey val="0"/>
          <c:showVal val="1"/>
          <c:showCatName val="1"/>
          <c:showSerName val="0"/>
          <c:showPercent val="0"/>
          <c:showBubbleSize val="0"/>
        </c:dLbls>
        <c:axId val="-1787563552"/>
        <c:axId val="-1787566272"/>
      </c:scatterChart>
      <c:valAx>
        <c:axId val="-1787563552"/>
        <c:scaling>
          <c:orientation val="minMax"/>
        </c:scaling>
        <c:delete val="0"/>
        <c:axPos val="b"/>
        <c:title>
          <c:tx>
            <c:rich>
              <a:bodyPr rot="0" spcFirstLastPara="0" vertOverflow="ellipsis" vert="horz" wrap="square" anchor="ctr" anchorCtr="1"/>
              <a:lstStyle/>
              <a:p>
                <a:pPr>
                  <a:defRPr lang="zh-CN" sz="800" b="1" i="0" u="none" strike="noStrike" kern="1200" baseline="0">
                    <a:solidFill>
                      <a:schemeClr val="tx1"/>
                    </a:solidFill>
                    <a:latin typeface="Times New Roman" panose="02020603050405020304" charset="0"/>
                    <a:ea typeface="+mn-ea"/>
                    <a:cs typeface="Times New Roman" panose="02020603050405020304" charset="0"/>
                  </a:defRPr>
                </a:pPr>
                <a:r>
                  <a:rPr lang="zh-CN" altLang="en-US"/>
                  <a:t>样品编号</a:t>
                </a:r>
                <a:endParaRPr lang="zh-CN"/>
              </a:p>
            </c:rich>
          </c:tx>
          <c:layout/>
          <c:overlay val="0"/>
        </c:title>
        <c:numFmt formatCode="General" sourceLinked="1"/>
        <c:majorTickMark val="out"/>
        <c:minorTickMark val="none"/>
        <c:tickLblPos val="nextTo"/>
        <c:txPr>
          <a:bodyPr rot="0" spcFirstLastPara="0" vertOverflow="ellipsis" vert="horz" wrap="square" anchor="ctr" anchorCtr="1"/>
          <a:lstStyle/>
          <a:p>
            <a:pPr>
              <a:defRPr lang="zh-CN" sz="800" b="0" i="0" u="none" strike="noStrike" kern="1200" baseline="0">
                <a:solidFill>
                  <a:schemeClr val="tx1"/>
                </a:solidFill>
                <a:latin typeface="Times New Roman" panose="02020603050405020304" charset="0"/>
                <a:ea typeface="+mn-ea"/>
                <a:cs typeface="Times New Roman" panose="02020603050405020304" charset="0"/>
              </a:defRPr>
            </a:pPr>
          </a:p>
        </c:txPr>
        <c:crossAx val="-1787566272"/>
        <c:crosses val="autoZero"/>
        <c:crossBetween val="midCat"/>
      </c:valAx>
      <c:valAx>
        <c:axId val="-1787566272"/>
        <c:scaling>
          <c:orientation val="minMax"/>
          <c:max val="600"/>
          <c:min val="-100"/>
        </c:scaling>
        <c:delete val="0"/>
        <c:axPos val="l"/>
        <c:majorGridlines/>
        <c:title>
          <c:tx>
            <c:rich>
              <a:bodyPr rot="-5400000" spcFirstLastPara="0" vertOverflow="ellipsis" vert="horz" wrap="square" anchor="ctr" anchorCtr="1"/>
              <a:lstStyle/>
              <a:p>
                <a:pPr>
                  <a:defRPr lang="zh-CN" sz="800" b="1" i="0" u="none" strike="noStrike" kern="1200" baseline="0">
                    <a:solidFill>
                      <a:schemeClr val="tx1"/>
                    </a:solidFill>
                    <a:latin typeface="Times New Roman" panose="02020603050405020304" charset="0"/>
                    <a:ea typeface="+mn-ea"/>
                    <a:cs typeface="Times New Roman" panose="02020603050405020304" charset="0"/>
                  </a:defRPr>
                </a:pPr>
                <a:r>
                  <a:rPr lang="zh-CN" altLang="en-US"/>
                  <a:t>土壤铅浓度 </a:t>
                </a:r>
                <a:r>
                  <a:rPr lang="en-US" altLang="zh-CN"/>
                  <a:t>mg/kg </a:t>
                </a:r>
                <a:endParaRPr lang="zh-CN"/>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800" b="0" i="0" u="none" strike="noStrike" kern="1200" baseline="0">
                <a:solidFill>
                  <a:schemeClr val="tx1"/>
                </a:solidFill>
                <a:latin typeface="Times New Roman" panose="02020603050405020304" charset="0"/>
                <a:ea typeface="+mn-ea"/>
                <a:cs typeface="Times New Roman" panose="02020603050405020304" charset="0"/>
              </a:defRPr>
            </a:pPr>
          </a:p>
        </c:txPr>
        <c:crossAx val="-1787563552"/>
        <c:crosses val="autoZero"/>
        <c:crossBetween val="midCat"/>
      </c:valAx>
    </c:plotArea>
    <c:legend>
      <c:legendPos val="r"/>
      <c:layout>
        <c:manualLayout>
          <c:xMode val="edge"/>
          <c:yMode val="edge"/>
          <c:x val="0.812734082397004"/>
          <c:y val="0.48836291913215"/>
        </c:manualLayout>
      </c:layout>
      <c:overlay val="0"/>
      <c:spPr>
        <a:noFill/>
        <a:ln w="25400">
          <a:noFill/>
        </a:ln>
      </c:spPr>
      <c:txPr>
        <a:bodyPr rot="0" spcFirstLastPara="0" vertOverflow="ellipsis" vert="horz" wrap="square" anchor="ctr" anchorCtr="1"/>
        <a:lstStyle/>
        <a:p>
          <a:pPr>
            <a:defRPr lang="zh-CN" sz="8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txPr>
    <a:bodyPr/>
    <a:lstStyle/>
    <a:p>
      <a:pPr>
        <a:defRPr lang="zh-CN" sz="800">
          <a:latin typeface="Times New Roman" panose="02020603050405020304" charset="0"/>
          <a:cs typeface="Times New Roman" panose="02020603050405020304" charset="0"/>
        </a:defRPr>
      </a:pPr>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rot="0" spcFirstLastPara="0" vertOverflow="ellipsis" vert="horz" wrap="square" anchor="ctr" anchorCtr="1"/>
          <a:lstStyle/>
          <a:p>
            <a:pPr>
              <a:defRPr lang="zh-CN" sz="10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sz="1400" b="1" i="0" u="none" strike="noStrike" baseline="0">
                <a:solidFill>
                  <a:srgbClr val="000000"/>
                </a:solidFill>
                <a:latin typeface="宋体" panose="02010600030101010101" charset="-122"/>
                <a:ea typeface="宋体" panose="02010600030101010101" charset="-122"/>
                <a:cs typeface="宋体" panose="02010600030101010101" charset="-122"/>
              </a:rPr>
              <a:t>图</a:t>
            </a:r>
            <a:r>
              <a:rPr lang="en-US" altLang="zh-CN" sz="1400" b="1"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rPr>
              <a:t>6 </a:t>
            </a:r>
            <a:r>
              <a:rPr lang="zh-CN" altLang="en-US" sz="1400" b="1" i="0" u="none" strike="noStrike" baseline="0">
                <a:solidFill>
                  <a:srgbClr val="000000"/>
                </a:solidFill>
                <a:latin typeface="宋体" panose="02010600030101010101" charset="-122"/>
                <a:ea typeface="宋体" panose="02010600030101010101" charset="-122"/>
                <a:cs typeface="宋体" panose="02010600030101010101" charset="-122"/>
              </a:rPr>
              <a:t>基坑清挖后侧壁砷监测结果</a:t>
            </a:r>
            <a:endParaRPr lang="zh-CN" altLang="en-US" sz="12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231598915200295"/>
          <c:y val="0.880952380952381"/>
        </c:manualLayout>
      </c:layout>
      <c:overlay val="0"/>
    </c:title>
    <c:autoTitleDeleted val="0"/>
    <c:plotArea>
      <c:layout>
        <c:manualLayout>
          <c:layoutTarget val="inner"/>
          <c:xMode val="edge"/>
          <c:yMode val="edge"/>
          <c:x val="0.117874135431935"/>
          <c:y val="0.0734226971628546"/>
          <c:w val="0.712256290448769"/>
          <c:h val="0.640658042744657"/>
        </c:manualLayout>
      </c:layout>
      <c:scatterChart>
        <c:scatterStyle val="marker"/>
        <c:varyColors val="0"/>
        <c:ser>
          <c:idx val="0"/>
          <c:order val="0"/>
          <c:tx>
            <c:strRef>
              <c:f>'[新建 XLS 工作表-1.xls]Sheet1'!$D$63</c:f>
              <c:strCache>
                <c:ptCount val="1"/>
                <c:pt idx="0">
                  <c:v>砷浓度</c:v>
                </c:pt>
              </c:strCache>
            </c:strRef>
          </c:tx>
          <c:spPr>
            <a:ln w="44450" cap="rnd" cmpd="sng" algn="ctr">
              <a:noFill/>
              <a:prstDash val="solid"/>
              <a:round/>
            </a:ln>
          </c:spPr>
          <c:dLbls>
            <c:dLbl>
              <c:idx val="0"/>
              <c:layout>
                <c:manualLayout>
                  <c:x val="-0.0442804513816721"/>
                  <c:y val="0.067460317460317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344403510746339"/>
                  <c:y val="-0.059523809523809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664206770725082"/>
                  <c:y val="0.0476190476190476"/>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0738007523027869"/>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590406018422295"/>
                  <c:y val="0.0476190476190476"/>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0442804513816721"/>
                  <c:y val="0.0436507936507936"/>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7"/>
              <c:layout>
                <c:manualLayout>
                  <c:x val="-0.0270602758443552"/>
                  <c:y val="-0.035714285714285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8"/>
              <c:layout>
                <c:manualLayout>
                  <c:x val="-0.0516605266119508"/>
                  <c:y val="0.0476190476190476"/>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9"/>
              <c:layout>
                <c:manualLayout>
                  <c:x val="9.01998774845022e-17"/>
                  <c:y val="-0.031746031746031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dLbl>
              <c:idx val="10"/>
              <c:layout>
                <c:manualLayout>
                  <c:x val="-0.0246002507675957"/>
                  <c:y val="-0.0555555555555556"/>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ext>
            </c:extLst>
          </c:dLbls>
          <c:xVal>
            <c:strRef>
              <c:f>'[新建 XLS 工作表-1.xls]Sheet1'!$C$64:$C$74</c:f>
              <c:strCache>
                <c:ptCount val="11"/>
                <c:pt idx="0">
                  <c:v>O-1-0.2m</c:v>
                </c:pt>
                <c:pt idx="1">
                  <c:v>O-2-0.2m</c:v>
                </c:pt>
                <c:pt idx="2">
                  <c:v>O-3-0.2m</c:v>
                </c:pt>
                <c:pt idx="3">
                  <c:v>O-4-0.2m</c:v>
                </c:pt>
                <c:pt idx="4">
                  <c:v>O-5-0.2m</c:v>
                </c:pt>
                <c:pt idx="5">
                  <c:v>O-1-1.2m</c:v>
                </c:pt>
                <c:pt idx="6">
                  <c:v>O-2-1.2m</c:v>
                </c:pt>
                <c:pt idx="7">
                  <c:v>O-3-1.2m</c:v>
                </c:pt>
                <c:pt idx="8">
                  <c:v>O-4-1.2m</c:v>
                </c:pt>
                <c:pt idx="9">
                  <c:v>O-5-1.2m</c:v>
                </c:pt>
                <c:pt idx="10">
                  <c:v>I-1-0.2m</c:v>
                </c:pt>
              </c:strCache>
            </c:strRef>
          </c:xVal>
          <c:yVal>
            <c:numRef>
              <c:f>'[新建 XLS 工作表-1.xls]Sheet1'!$D$64:$D$74</c:f>
              <c:numCache>
                <c:formatCode>General</c:formatCode>
                <c:ptCount val="11"/>
                <c:pt idx="0">
                  <c:v>12.1</c:v>
                </c:pt>
                <c:pt idx="1">
                  <c:v>12.6</c:v>
                </c:pt>
                <c:pt idx="2">
                  <c:v>8.7</c:v>
                </c:pt>
                <c:pt idx="3">
                  <c:v>3.71</c:v>
                </c:pt>
                <c:pt idx="4">
                  <c:v>5.69</c:v>
                </c:pt>
                <c:pt idx="5">
                  <c:v>15.2</c:v>
                </c:pt>
                <c:pt idx="6">
                  <c:v>18.8</c:v>
                </c:pt>
                <c:pt idx="7">
                  <c:v>9</c:v>
                </c:pt>
                <c:pt idx="8">
                  <c:v>4.1</c:v>
                </c:pt>
                <c:pt idx="9">
                  <c:v>4.28</c:v>
                </c:pt>
                <c:pt idx="10">
                  <c:v>8.3</c:v>
                </c:pt>
              </c:numCache>
            </c:numRef>
          </c:yVal>
          <c:smooth val="0"/>
        </c:ser>
        <c:dLbls>
          <c:showLegendKey val="0"/>
          <c:showVal val="1"/>
          <c:showCatName val="1"/>
          <c:showSerName val="0"/>
          <c:showPercent val="0"/>
          <c:showBubbleSize val="0"/>
        </c:dLbls>
        <c:axId val="975163487"/>
        <c:axId val="277639312"/>
      </c:scatterChart>
      <c:valAx>
        <c:axId val="975163487"/>
        <c:scaling>
          <c:orientation val="minMax"/>
        </c:scaling>
        <c:delete val="0"/>
        <c:axPos val="b"/>
        <c:title>
          <c:tx>
            <c:rich>
              <a:bodyPr rot="0" spcFirstLastPara="0" vertOverflow="ellipsis" vert="horz" wrap="square" anchor="ctr" anchorCtr="1"/>
              <a:lstStyle/>
              <a:p>
                <a:pPr>
                  <a:defRPr lang="zh-CN" sz="1000" b="1"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a:t>样品编号</a:t>
                </a:r>
                <a:endParaRPr lang="zh-CN" sz="1000" b="1" i="0" u="none" strike="noStrike" baseline="0">
                  <a:solidFill>
                    <a:srgbClr val="000000">
                      <a:alpha val="100000"/>
                    </a:srgbClr>
                  </a:solidFill>
                  <a:latin typeface="宋体" panose="02010600030101010101" charset="-122"/>
                  <a:ea typeface="宋体" panose="02010600030101010101" charset="-122"/>
                  <a:cs typeface="宋体" panose="02010600030101010101" charset="-122"/>
                </a:endParaRPr>
              </a:p>
            </c:rich>
          </c:tx>
          <c:layout/>
          <c:overlay val="0"/>
        </c:title>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77639312"/>
        <c:crosses val="autoZero"/>
        <c:crossBetween val="midCat"/>
        <c:majorUnit val="2"/>
      </c:valAx>
      <c:valAx>
        <c:axId val="277639312"/>
        <c:scaling>
          <c:orientation val="minMax"/>
        </c:scaling>
        <c:delete val="0"/>
        <c:axPos val="l"/>
        <c:majorGridlines/>
        <c:title>
          <c:tx>
            <c:rich>
              <a:bodyPr rot="-5400000" spcFirstLastPara="0" vertOverflow="ellipsis" vert="horz" wrap="square" anchor="ctr" anchorCtr="1"/>
              <a:lstStyle/>
              <a:p>
                <a:pPr>
                  <a:defRPr lang="zh-CN" sz="11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r>
                  <a:rPr lang="zh-CN" altLang="en-US" sz="1000" b="1" i="0" u="none" strike="noStrike" baseline="0">
                    <a:solidFill>
                      <a:srgbClr val="000000"/>
                    </a:solidFill>
                    <a:latin typeface="宋体" panose="02010600030101010101" charset="-122"/>
                    <a:ea typeface="宋体" panose="02010600030101010101" charset="-122"/>
                    <a:cs typeface="宋体" panose="02010600030101010101" charset="-122"/>
                  </a:rPr>
                  <a:t>土壤砷浓度 </a:t>
                </a:r>
                <a:r>
                  <a:rPr lang="en-US" altLang="zh-CN" sz="1000" b="1"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rPr>
                  <a:t>mg/kg</a:t>
                </a:r>
                <a:endParaRPr lang="zh-CN" sz="12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75163487"/>
        <c:crosses val="autoZero"/>
        <c:crossBetween val="midCat"/>
        <c:majorUnit val="4"/>
      </c:valAx>
    </c:plotArea>
    <c:legend>
      <c:legendPos val="r"/>
      <c:layout>
        <c:manualLayout>
          <c:xMode val="edge"/>
          <c:yMode val="edge"/>
          <c:x val="0.870762711864407"/>
          <c:y val="0.235299625468165"/>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wrap="square"/>
    <a:lstStyle/>
    <a:p>
      <a:pPr>
        <a:defRPr lang="zh-CN"/>
      </a:pP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0.82591</cdr:x>
      <cdr:y>0.0413</cdr:y>
    </cdr:from>
    <cdr:to>
      <cdr:x>0.98583</cdr:x>
      <cdr:y>0.13569</cdr:y>
    </cdr:to>
    <cdr:sp>
      <cdr:nvSpPr>
        <cdr:cNvPr id="2" name="矩形 1"/>
        <cdr:cNvSpPr/>
      </cdr:nvSpPr>
      <cdr:spPr xmlns:a="http://schemas.openxmlformats.org/drawingml/2006/main">
        <a:xfrm xmlns:a="http://schemas.openxmlformats.org/drawingml/2006/main">
          <a:off x="3886200" y="133350"/>
          <a:ext cx="752475" cy="304800"/>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zh-CN" altLang="en-US" sz="1100"/>
            <a:t>标准值</a:t>
          </a:r>
          <a:endParaRPr lang="zh-CN" alt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0.77341</cdr:x>
      <cdr:y>0.19822</cdr:y>
    </cdr:from>
    <cdr:to>
      <cdr:x>0.92884</cdr:x>
      <cdr:y>0.26923</cdr:y>
    </cdr:to>
    <cdr:sp>
      <cdr:nvSpPr>
        <cdr:cNvPr id="2" name="矩形 1"/>
        <cdr:cNvSpPr/>
      </cdr:nvSpPr>
      <cdr:spPr xmlns:a="http://schemas.openxmlformats.org/drawingml/2006/main">
        <a:xfrm xmlns:a="http://schemas.openxmlformats.org/drawingml/2006/main">
          <a:off x="3933825" y="638175"/>
          <a:ext cx="790575" cy="228600"/>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zh-CN" altLang="en-US" sz="1100">
              <a:latin typeface="+mn-ea"/>
              <a:ea typeface="+mn-ea"/>
            </a:rPr>
            <a:t>标准值</a:t>
          </a:r>
          <a:endParaRPr lang="zh-CN" altLang="en-US" sz="1100">
            <a:latin typeface="+mn-ea"/>
            <a:ea typeface="+mn-ea"/>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E71F9E-1DB8-4EB3-B8B4-C1C62EBB436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963</Words>
  <Characters>5495</Characters>
  <Lines>45</Lines>
  <Paragraphs>12</Paragraphs>
  <TotalTime>2</TotalTime>
  <ScaleCrop>false</ScaleCrop>
  <LinksUpToDate>false</LinksUpToDate>
  <CharactersWithSpaces>6446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2020-02-22T09:34:00Z</dcterms:created>
  <dc:creator>Administrator</dc:creator>
  <cp:lastModifiedBy>李文润</cp:lastModifiedBy>
  <cp:lastPrinted>2020-03-15T02:36:00Z</cp:lastPrinted>
  <dcterms:modified xsi:type="dcterms:W3CDTF">2020-03-16T05:05:31Z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