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eastAsia="zh-CN"/>
        </w:rPr>
      </w:pPr>
      <w:r>
        <w:rPr>
          <w:rFonts w:hint="eastAsia"/>
          <w:b/>
          <w:bCs/>
          <w:sz w:val="32"/>
          <w:szCs w:val="32"/>
          <w:lang w:eastAsia="zh-CN"/>
        </w:rPr>
        <w:t>“二孩政策”地方落实中的问题与建议</w:t>
      </w:r>
    </w:p>
    <w:p>
      <w:pPr>
        <w:jc w:val="right"/>
        <w:rPr>
          <w:rFonts w:hint="eastAsia"/>
          <w:sz w:val="28"/>
          <w:szCs w:val="28"/>
          <w:lang w:eastAsia="zh-CN"/>
        </w:rPr>
      </w:pPr>
      <w:r>
        <w:rPr>
          <w:rFonts w:hint="eastAsia"/>
          <w:sz w:val="28"/>
          <w:szCs w:val="28"/>
          <w:lang w:eastAsia="zh-CN"/>
        </w:rPr>
        <w:t>——以四川省富顺县为例</w:t>
      </w:r>
    </w:p>
    <w:p>
      <w:pPr>
        <w:jc w:val="center"/>
        <w:rPr>
          <w:rFonts w:hint="default"/>
          <w:lang w:val="en-US" w:eastAsia="zh-CN"/>
        </w:rPr>
      </w:pPr>
      <w:r>
        <w:rPr>
          <w:rFonts w:hint="eastAsia"/>
          <w:lang w:val="en-US" w:eastAsia="zh-CN"/>
        </w:rPr>
        <w:t>李代敏 （富顺县妇幼保健院 四川自贡 643200）</w:t>
      </w:r>
    </w:p>
    <w:p>
      <w:pPr>
        <w:jc w:val="right"/>
        <w:rPr>
          <w:rFonts w:hint="eastAsia"/>
          <w:lang w:val="en-US" w:eastAsia="zh-CN"/>
        </w:rPr>
      </w:pPr>
      <w:r>
        <w:rPr>
          <w:rFonts w:hint="eastAsia"/>
          <w:lang w:val="en-US" w:eastAsia="zh-CN"/>
        </w:rPr>
        <w:t xml:space="preserve">  </w:t>
      </w:r>
    </w:p>
    <w:p>
      <w:pPr>
        <w:jc w:val="center"/>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楷体" w:hAnsi="楷体" w:eastAsia="楷体" w:cs="楷体"/>
          <w:lang w:val="en-US" w:eastAsia="zh-CN"/>
        </w:rPr>
      </w:pPr>
      <w:r>
        <w:rPr>
          <w:rFonts w:hint="eastAsia"/>
          <w:b/>
          <w:bCs/>
          <w:lang w:val="en-US" w:eastAsia="zh-CN"/>
        </w:rPr>
        <w:t>摘要</w:t>
      </w:r>
      <w:r>
        <w:rPr>
          <w:rFonts w:hint="eastAsia"/>
          <w:lang w:val="en-US" w:eastAsia="zh-CN"/>
        </w:rPr>
        <w:t>：</w:t>
      </w:r>
      <w:r>
        <w:rPr>
          <w:rFonts w:hint="eastAsia" w:ascii="楷体" w:hAnsi="楷体" w:eastAsia="楷体" w:cs="楷体"/>
          <w:lang w:val="en-US" w:eastAsia="zh-CN"/>
        </w:rPr>
        <w:t>为了控制人口过快增长，我国曾全面推行计划生育政策。现为了缓解人口老龄化、劳动力短缺等问题，我国逐步实施“二孩政策”。“二孩政策”实施以来，沿海等城市人口生育二孩的意愿并不强烈，部分学者将二孩出生率猛增寄希望于内地欠发达城市。本文以四川省富顺县作为研究地区，发现“二孩政策”在内地城市对生育的刺激仍然有限。通过抽样和访问调查，发现其中问题并进行了简要分析。最后，从促进二孩政策落实，提出了相应的建议。</w:t>
      </w: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楷体" w:hAnsi="楷体" w:eastAsia="楷体" w:cs="楷体"/>
          <w:lang w:val="en-US" w:eastAsia="zh-CN"/>
        </w:rPr>
      </w:pPr>
      <w:r>
        <w:rPr>
          <w:rFonts w:hint="eastAsia"/>
          <w:b/>
          <w:bCs/>
          <w:lang w:val="en-US" w:eastAsia="zh-CN"/>
        </w:rPr>
        <w:t>关键词</w:t>
      </w:r>
      <w:r>
        <w:rPr>
          <w:rFonts w:hint="eastAsia"/>
          <w:lang w:val="en-US" w:eastAsia="zh-CN"/>
        </w:rPr>
        <w:t>：</w:t>
      </w:r>
      <w:r>
        <w:rPr>
          <w:rFonts w:hint="eastAsia" w:ascii="楷体" w:hAnsi="楷体" w:eastAsia="楷体" w:cs="楷体"/>
          <w:lang w:val="en-US" w:eastAsia="zh-CN"/>
        </w:rPr>
        <w:t>县城二孩政策实施、政策原因分析、落实建议</w:t>
      </w: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楷体" w:hAnsi="楷体" w:eastAsia="楷体" w:cs="楷体"/>
          <w:lang w:val="en-US" w:eastAsia="zh-CN"/>
        </w:rPr>
      </w:pP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 “二孩政策”的实施背景及情况</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提高人口素质、控制人口过快增长，我国曾将计划生育确立为基本国策。通过控制，中国人口已基本上符合预期。然而，在控制人口增长的同时，独生子女家庭养老、劳动力短缺等相应的问题也接踵而至。为了解决如上问题，全面放开</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"https://baike.so.com/doc/5331276-5566513.html"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二孩政策</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即所有夫妇,无论城乡、区域、民族，都可以生育两个孩子的政策（以下简称“二孩政策”）。启动实施“二孩”政策具有极其重要的现实意义，它不仅为人口的均衡发展作铺垫，使我国总人口变化更加平稳合理，也是顺应人民呼声的具体体现。</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我国二孩政策实施的情况并不容乐观，由于过高的生活成本、个人职业发展等原因，沿海等发达城市育龄夫妇对生育二孩的意愿并不强烈，“二孩政策”刺激有限。由此，部分学者将二孩出生率猛增寄希望于内地等欠发达城市。那么，从“二孩政策”实施以来，内地欠发达城市“二孩政策”对大众刺激如何？本文现以四川省自贡市富顺县为例，就此情况进行调查和研究，并在对调查情况进行总结的基础上，提出“二孩政策”落实的一些建议。</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 富顺县“二孩政策”影响下的生育概况</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富顺县位于四川省南部，据2018年富顺年鉴所列，全县总人口107.56万人，全县符合政策生育率为1.23万人，符合政策生育率98.16%。从2015年“二孩政策”实施以来，富顺县分娩情况如下：</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表一：</w:t>
      </w:r>
    </w:p>
    <w:tbl>
      <w:tblPr>
        <w:tblStyle w:val="5"/>
        <w:tblW w:w="8632" w:type="dxa"/>
        <w:tblInd w:w="0" w:type="dxa"/>
        <w:shd w:val="clear" w:color="auto" w:fill="auto"/>
        <w:tblLayout w:type="fixed"/>
        <w:tblCellMar>
          <w:top w:w="0" w:type="dxa"/>
          <w:left w:w="0" w:type="dxa"/>
          <w:bottom w:w="0" w:type="dxa"/>
          <w:right w:w="0" w:type="dxa"/>
        </w:tblCellMar>
      </w:tblPr>
      <w:tblGrid>
        <w:gridCol w:w="1972"/>
        <w:gridCol w:w="1860"/>
        <w:gridCol w:w="2655"/>
        <w:gridCol w:w="2145"/>
      </w:tblGrid>
      <w:tr>
        <w:tblPrEx>
          <w:shd w:val="clear" w:color="auto" w:fill="auto"/>
          <w:tblCellMar>
            <w:top w:w="0" w:type="dxa"/>
            <w:left w:w="0" w:type="dxa"/>
            <w:bottom w:w="0" w:type="dxa"/>
            <w:right w:w="0" w:type="dxa"/>
          </w:tblCellMar>
        </w:tblPrEx>
        <w:trPr>
          <w:trHeight w:val="420" w:hRule="atLeast"/>
        </w:trPr>
        <w:tc>
          <w:tcPr>
            <w:tcW w:w="8632" w:type="dxa"/>
            <w:gridSpan w:val="4"/>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富顺县2015年-2019年分娩情况统计表</w:t>
            </w:r>
          </w:p>
        </w:tc>
      </w:tr>
      <w:tr>
        <w:tblPrEx>
          <w:tblCellMar>
            <w:top w:w="0" w:type="dxa"/>
            <w:left w:w="0" w:type="dxa"/>
            <w:bottom w:w="0" w:type="dxa"/>
            <w:right w:w="0" w:type="dxa"/>
          </w:tblCellMar>
        </w:tblPrEx>
        <w:trPr>
          <w:trHeight w:val="420" w:hRule="atLeast"/>
        </w:trPr>
        <w:tc>
          <w:tcPr>
            <w:tcW w:w="1972"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年份</w:t>
            </w:r>
          </w:p>
        </w:tc>
        <w:tc>
          <w:tcPr>
            <w:tcW w:w="1860"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分娩量</w:t>
            </w:r>
          </w:p>
        </w:tc>
        <w:tc>
          <w:tcPr>
            <w:tcW w:w="2655"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经产妇（二孩）分娩量</w:t>
            </w:r>
          </w:p>
        </w:tc>
        <w:tc>
          <w:tcPr>
            <w:tcW w:w="2145"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经产妇分娩率</w:t>
            </w:r>
          </w:p>
        </w:tc>
      </w:tr>
      <w:tr>
        <w:tblPrEx>
          <w:tblCellMar>
            <w:top w:w="0" w:type="dxa"/>
            <w:left w:w="0" w:type="dxa"/>
            <w:bottom w:w="0" w:type="dxa"/>
            <w:right w:w="0" w:type="dxa"/>
          </w:tblCellMar>
        </w:tblPrEx>
        <w:trPr>
          <w:trHeight w:val="420" w:hRule="atLeast"/>
        </w:trPr>
        <w:tc>
          <w:tcPr>
            <w:tcW w:w="1972"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2015年</w:t>
            </w:r>
          </w:p>
        </w:tc>
        <w:tc>
          <w:tcPr>
            <w:tcW w:w="186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4832</w:t>
            </w:r>
          </w:p>
        </w:tc>
        <w:tc>
          <w:tcPr>
            <w:tcW w:w="265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1694</w:t>
            </w:r>
          </w:p>
        </w:tc>
        <w:tc>
          <w:tcPr>
            <w:tcW w:w="214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35.06%</w:t>
            </w:r>
          </w:p>
        </w:tc>
      </w:tr>
      <w:tr>
        <w:tblPrEx>
          <w:tblCellMar>
            <w:top w:w="0" w:type="dxa"/>
            <w:left w:w="0" w:type="dxa"/>
            <w:bottom w:w="0" w:type="dxa"/>
            <w:right w:w="0" w:type="dxa"/>
          </w:tblCellMar>
        </w:tblPrEx>
        <w:trPr>
          <w:trHeight w:val="420" w:hRule="atLeast"/>
        </w:trPr>
        <w:tc>
          <w:tcPr>
            <w:tcW w:w="1972"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2016年</w:t>
            </w:r>
          </w:p>
        </w:tc>
        <w:tc>
          <w:tcPr>
            <w:tcW w:w="186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6778</w:t>
            </w:r>
          </w:p>
        </w:tc>
        <w:tc>
          <w:tcPr>
            <w:tcW w:w="265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3190</w:t>
            </w:r>
          </w:p>
        </w:tc>
        <w:tc>
          <w:tcPr>
            <w:tcW w:w="214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47.06%</w:t>
            </w:r>
          </w:p>
        </w:tc>
      </w:tr>
      <w:tr>
        <w:tblPrEx>
          <w:tblCellMar>
            <w:top w:w="0" w:type="dxa"/>
            <w:left w:w="0" w:type="dxa"/>
            <w:bottom w:w="0" w:type="dxa"/>
            <w:right w:w="0" w:type="dxa"/>
          </w:tblCellMar>
        </w:tblPrEx>
        <w:trPr>
          <w:trHeight w:val="420" w:hRule="atLeast"/>
        </w:trPr>
        <w:tc>
          <w:tcPr>
            <w:tcW w:w="1972"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2017年</w:t>
            </w:r>
          </w:p>
        </w:tc>
        <w:tc>
          <w:tcPr>
            <w:tcW w:w="186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6481</w:t>
            </w:r>
          </w:p>
        </w:tc>
        <w:tc>
          <w:tcPr>
            <w:tcW w:w="265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3107</w:t>
            </w:r>
          </w:p>
        </w:tc>
        <w:tc>
          <w:tcPr>
            <w:tcW w:w="214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47.94%</w:t>
            </w:r>
          </w:p>
        </w:tc>
      </w:tr>
      <w:tr>
        <w:tblPrEx>
          <w:tblCellMar>
            <w:top w:w="0" w:type="dxa"/>
            <w:left w:w="0" w:type="dxa"/>
            <w:bottom w:w="0" w:type="dxa"/>
            <w:right w:w="0" w:type="dxa"/>
          </w:tblCellMar>
        </w:tblPrEx>
        <w:trPr>
          <w:trHeight w:val="420" w:hRule="atLeast"/>
        </w:trPr>
        <w:tc>
          <w:tcPr>
            <w:tcW w:w="1972"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2018年</w:t>
            </w:r>
          </w:p>
        </w:tc>
        <w:tc>
          <w:tcPr>
            <w:tcW w:w="186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5802</w:t>
            </w:r>
          </w:p>
        </w:tc>
        <w:tc>
          <w:tcPr>
            <w:tcW w:w="265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3414</w:t>
            </w:r>
          </w:p>
        </w:tc>
        <w:tc>
          <w:tcPr>
            <w:tcW w:w="2145"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58.84%</w:t>
            </w:r>
          </w:p>
        </w:tc>
      </w:tr>
      <w:tr>
        <w:tblPrEx>
          <w:tblCellMar>
            <w:top w:w="0" w:type="dxa"/>
            <w:left w:w="0" w:type="dxa"/>
            <w:bottom w:w="0" w:type="dxa"/>
            <w:right w:w="0" w:type="dxa"/>
          </w:tblCellMar>
        </w:tblPrEx>
        <w:trPr>
          <w:trHeight w:val="420" w:hRule="atLeast"/>
        </w:trPr>
        <w:tc>
          <w:tcPr>
            <w:tcW w:w="1972" w:type="dxa"/>
            <w:tcBorders>
              <w:top w:val="nil"/>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2019年</w:t>
            </w:r>
          </w:p>
        </w:tc>
        <w:tc>
          <w:tcPr>
            <w:tcW w:w="1860" w:type="dxa"/>
            <w:tcBorders>
              <w:top w:val="nil"/>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5173</w:t>
            </w:r>
          </w:p>
        </w:tc>
        <w:tc>
          <w:tcPr>
            <w:tcW w:w="2655" w:type="dxa"/>
            <w:tcBorders>
              <w:top w:val="nil"/>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2453</w:t>
            </w:r>
          </w:p>
        </w:tc>
        <w:tc>
          <w:tcPr>
            <w:tcW w:w="2145" w:type="dxa"/>
            <w:tcBorders>
              <w:top w:val="nil"/>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47.42%</w:t>
            </w:r>
          </w:p>
        </w:tc>
      </w:tr>
    </w:tbl>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注1：此数据来源于富顺县妇幼保健院基层妇女保健科；</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注2：富顺县2015年至2019年5岁以下儿童死亡率均低于5.03‰，故用经产妇分娩率代替“二孩政策”分娩率。</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由上表可以看出，在单独二孩政策放开时，富顺县民众对该政策较为敏感，有一定的生育热情。在全面二孩政策实施后，富顺县民众生育热情高涨，在2018年达到顶峰，二孩分娩率呈暴发性生育增长。在2019年二孩分娩率逐渐放缓，按此趋势，将走向低落。 </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 富顺县“二孩政策”落实中的现状调查</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一项政策不能达到预定目标，其原因是多方面的。通过简单随机抽样及走访部分富顺县域内育龄夫妇，发现二孩政策难落实的主要原因有以下三个方面。</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3.1 养育成本高</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在的物价成本大幅度提高，养育成本增大。从经济方面来说，孕妇产检和生育的花费、孩子出生后必需品消费、孩子教育投入及孩子成长过程中产生的医疗费用，其细算的合计数是非常可观的。相比一二线城市来说，小县城的物价较低，但是小县城的工资收入也更低，所以生育成本对一般人群来说，仍然是难以负担的。此外，现在养孩子都是精细化养育，父母将投入大量的精力去教导和照顾孩子，如果生育二孩，在二孩小时候，父母及家人将会对其更加关注，势必会影响第一个孩子的身心健康和经济支持。为了不影响一孩的养育，又将投入更多的经济和精力，加大养育成本。故此，养育成本高是受访人提到最多的不愿生二孩的原因。</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 养儿防老及女性独立等传统观念发生改变</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传统思想里，“养儿防老”、“多子多福”等观念占据人们心中的重要位置。但随着人们受教育的程度上升，人们发现，就算只生一个孩子，凭借夫妇两人资产的合理配置和国家逐渐完善的养老体系，年老后也能过得幸福。此外，随着女性社会地位的提高，越来越多的女性接受了高等教育，独立意识越来越强烈，她们想要追求自己的人生价值。生一个孩子的时间成本，从怀孕到勉强能“缓一口气”可以上幼儿园的时间跨度，一般为三年。生二孩时大部分女性处在25-40岁之间，正是升职、创业及求学提升的“黄金年龄”，在这个阶段生一个孩子，可能对其人生产生重大影响。生育小孩的过程，即使家人在家务和养育方面能帮助一些，但怀孕生产的生理过程却是母亲独自承担的。所以，女性面对生育二孩，必定会慎之又慎。</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 教育配备等公共资源配备不足</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现实压力，育龄夫妇大多都要工作，无法亲自带小孩。基于此，育龄夫妇的的选择一般为家中老人照顾、请保姆照顾、学龄前教育机构托管。家中老人人辅助带孩子，一方面，老人的育儿思想观念和年轻父母难统一，容易引起诸多家庭矛盾，另一方面，家中老人希望有自己的生活，不愿意牺牲自己的退休生活来带孩子；请保姆照顾，第一是成本高，第二是很难遇到满意的保姆，第三是保姆纵火案等新闻的曝光，让家长民生惧意。在这种情况下，如果能有收费合理的专业学前教育托管机构对学龄前孩子进行托管教育，那么，必能给育龄夫妇生育二孩带来更多安全感。这其实就是教育等公共资源配备不足造成的。</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 对富顺县“二孩政策”落实的建议</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养育孩子是人生的重要行程，在各种压力下，养育两个孩子实需勇气。要想提高当地的二孩分娩率，刺激育龄夫妇生育二孩，可从以下方面入手。</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4.1 全面参加生育保险，严格落实生育津贴发放和产假</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生育孩子的成本过高，如果能解决此问题，让育龄夫妇减少后顾之忧，将会有更多的人愿意生二孩。生育保险就是为了解决这个问题存在的，其由</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"https://baike.so.com/doc/904654-956222.html"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生育津贴</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和生育</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"https://baike.so.com/doc/150906-159427.html"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医疗待遇</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组成。据了解，若工作单位按照富顺当地最低工资基数给职工缴纳生育保险，连续交满一年后职工再生育小孩，按照相应报销制度，可报销生育津贴和生育医疗待遇达2万元左右（如果妻子没有参保而丈夫参保，虽然不能报销到这么大的金额，但也能享受部分待遇）。这一笔钱基本能够满足一般孕产妇在当地医疗机构做产检及生育的开销，可以切实减轻育龄夫妇生育小孩的经济负担。但是，当地企业为职工参加生育保险的仍占少数。如果能鼓励和引导当地企业为职工购买生育保险，并严格落实生育津贴的发放和产假的执行，那么，将会有更多的适龄夫妇愿意生育二孩。</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4.2 投办可满足低龄幼儿入学的公立幼儿园，并对其进行规范化管理</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前教育机构是孩子成长的重要场所，它帮助家长教养幼儿，带领孩子探索童真世界。但是，现在这种认知正在接受挑战。一方面，从知名教育连锁集团红黄蓝幼儿园虐童事件，到不知名学龄前托幼机构的虐童新闻层出不穷，无时无刻不挑动着家长们的神经；另一方面，学前教育机构收费名目繁多，费用越来越难以承担。</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表二：</w:t>
      </w:r>
    </w:p>
    <w:tbl>
      <w:tblPr>
        <w:tblStyle w:val="5"/>
        <w:tblW w:w="8085" w:type="dxa"/>
        <w:jc w:val="center"/>
        <w:shd w:val="clear" w:color="auto" w:fill="auto"/>
        <w:tblLayout w:type="fixed"/>
        <w:tblCellMar>
          <w:top w:w="0" w:type="dxa"/>
          <w:left w:w="0" w:type="dxa"/>
          <w:bottom w:w="0" w:type="dxa"/>
          <w:right w:w="0" w:type="dxa"/>
        </w:tblCellMar>
      </w:tblPr>
      <w:tblGrid>
        <w:gridCol w:w="838"/>
        <w:gridCol w:w="2810"/>
        <w:gridCol w:w="2416"/>
        <w:gridCol w:w="2021"/>
      </w:tblGrid>
      <w:tr>
        <w:tblPrEx>
          <w:tblCellMar>
            <w:top w:w="0" w:type="dxa"/>
            <w:left w:w="0" w:type="dxa"/>
            <w:bottom w:w="0" w:type="dxa"/>
            <w:right w:w="0" w:type="dxa"/>
          </w:tblCellMar>
        </w:tblPrEx>
        <w:trPr>
          <w:trHeight w:val="420" w:hRule="atLeast"/>
          <w:jc w:val="center"/>
        </w:trPr>
        <w:tc>
          <w:tcPr>
            <w:tcW w:w="8085" w:type="dxa"/>
            <w:gridSpan w:val="4"/>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富顺县私立幼儿园与公立幼儿园情况对比表</w:t>
            </w:r>
          </w:p>
        </w:tc>
      </w:tr>
      <w:tr>
        <w:tblPrEx>
          <w:tblCellMar>
            <w:top w:w="0" w:type="dxa"/>
            <w:left w:w="0" w:type="dxa"/>
            <w:bottom w:w="0" w:type="dxa"/>
            <w:right w:w="0" w:type="dxa"/>
          </w:tblCellMar>
        </w:tblPrEx>
        <w:trPr>
          <w:trHeight w:val="557" w:hRule="atLeast"/>
          <w:jc w:val="center"/>
        </w:trPr>
        <w:tc>
          <w:tcPr>
            <w:tcW w:w="838"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序号</w:t>
            </w:r>
          </w:p>
        </w:tc>
        <w:tc>
          <w:tcPr>
            <w:tcW w:w="2810"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对比项目</w:t>
            </w:r>
          </w:p>
        </w:tc>
        <w:tc>
          <w:tcPr>
            <w:tcW w:w="2416"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私立幼儿园</w:t>
            </w:r>
          </w:p>
        </w:tc>
        <w:tc>
          <w:tcPr>
            <w:tcW w:w="2021"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公立幼儿园</w:t>
            </w:r>
          </w:p>
        </w:tc>
      </w:tr>
      <w:tr>
        <w:tblPrEx>
          <w:tblCellMar>
            <w:top w:w="0" w:type="dxa"/>
            <w:left w:w="0" w:type="dxa"/>
            <w:bottom w:w="0" w:type="dxa"/>
            <w:right w:w="0" w:type="dxa"/>
          </w:tblCellMar>
        </w:tblPrEx>
        <w:trPr>
          <w:trHeight w:val="420" w:hRule="atLeast"/>
          <w:jc w:val="center"/>
        </w:trPr>
        <w:tc>
          <w:tcPr>
            <w:tcW w:w="83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281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数量</w:t>
            </w:r>
          </w:p>
        </w:tc>
        <w:tc>
          <w:tcPr>
            <w:tcW w:w="2416"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42</w:t>
            </w:r>
          </w:p>
        </w:tc>
        <w:tc>
          <w:tcPr>
            <w:tcW w:w="202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190</w:t>
            </w:r>
          </w:p>
        </w:tc>
      </w:tr>
      <w:tr>
        <w:tblPrEx>
          <w:tblCellMar>
            <w:top w:w="0" w:type="dxa"/>
            <w:left w:w="0" w:type="dxa"/>
            <w:bottom w:w="0" w:type="dxa"/>
            <w:right w:w="0" w:type="dxa"/>
          </w:tblCellMar>
        </w:tblPrEx>
        <w:trPr>
          <w:trHeight w:val="420" w:hRule="atLeast"/>
          <w:jc w:val="center"/>
        </w:trPr>
        <w:tc>
          <w:tcPr>
            <w:tcW w:w="83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281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举办性质</w:t>
            </w:r>
          </w:p>
        </w:tc>
        <w:tc>
          <w:tcPr>
            <w:tcW w:w="2416"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营利</w:t>
            </w:r>
          </w:p>
        </w:tc>
        <w:tc>
          <w:tcPr>
            <w:tcW w:w="202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公众服务</w:t>
            </w:r>
          </w:p>
        </w:tc>
      </w:tr>
      <w:tr>
        <w:tblPrEx>
          <w:tblCellMar>
            <w:top w:w="0" w:type="dxa"/>
            <w:left w:w="0" w:type="dxa"/>
            <w:bottom w:w="0" w:type="dxa"/>
            <w:right w:w="0" w:type="dxa"/>
          </w:tblCellMar>
        </w:tblPrEx>
        <w:trPr>
          <w:trHeight w:val="420" w:hRule="atLeast"/>
          <w:jc w:val="center"/>
        </w:trPr>
        <w:tc>
          <w:tcPr>
            <w:tcW w:w="83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281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学费（1学年）</w:t>
            </w:r>
          </w:p>
        </w:tc>
        <w:tc>
          <w:tcPr>
            <w:tcW w:w="2416"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8000-40000</w:t>
            </w:r>
          </w:p>
        </w:tc>
        <w:tc>
          <w:tcPr>
            <w:tcW w:w="202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5000</w:t>
            </w:r>
          </w:p>
        </w:tc>
      </w:tr>
      <w:tr>
        <w:tblPrEx>
          <w:tblCellMar>
            <w:top w:w="0" w:type="dxa"/>
            <w:left w:w="0" w:type="dxa"/>
            <w:bottom w:w="0" w:type="dxa"/>
            <w:right w:w="0" w:type="dxa"/>
          </w:tblCellMar>
        </w:tblPrEx>
        <w:trPr>
          <w:trHeight w:val="420" w:hRule="atLeast"/>
          <w:jc w:val="center"/>
        </w:trPr>
        <w:tc>
          <w:tcPr>
            <w:tcW w:w="83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281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开办经费承担方</w:t>
            </w:r>
          </w:p>
        </w:tc>
        <w:tc>
          <w:tcPr>
            <w:tcW w:w="2416"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股东自筹</w:t>
            </w:r>
          </w:p>
        </w:tc>
        <w:tc>
          <w:tcPr>
            <w:tcW w:w="202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教育局</w:t>
            </w:r>
          </w:p>
        </w:tc>
      </w:tr>
      <w:tr>
        <w:tblPrEx>
          <w:tblCellMar>
            <w:top w:w="0" w:type="dxa"/>
            <w:left w:w="0" w:type="dxa"/>
            <w:bottom w:w="0" w:type="dxa"/>
            <w:right w:w="0" w:type="dxa"/>
          </w:tblCellMar>
        </w:tblPrEx>
        <w:trPr>
          <w:trHeight w:val="420" w:hRule="atLeast"/>
          <w:jc w:val="center"/>
        </w:trPr>
        <w:tc>
          <w:tcPr>
            <w:tcW w:w="838"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2810"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教师学历水平</w:t>
            </w:r>
          </w:p>
        </w:tc>
        <w:tc>
          <w:tcPr>
            <w:tcW w:w="2416"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中专及以上</w:t>
            </w:r>
          </w:p>
        </w:tc>
        <w:tc>
          <w:tcPr>
            <w:tcW w:w="2021" w:type="dxa"/>
            <w:tcBorders>
              <w:top w:val="nil"/>
              <w:left w:val="nil"/>
              <w:bottom w:val="nil"/>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专科及以上</w:t>
            </w:r>
          </w:p>
        </w:tc>
      </w:tr>
      <w:tr>
        <w:tblPrEx>
          <w:tblCellMar>
            <w:top w:w="0" w:type="dxa"/>
            <w:left w:w="0" w:type="dxa"/>
            <w:bottom w:w="0" w:type="dxa"/>
            <w:right w:w="0" w:type="dxa"/>
          </w:tblCellMar>
        </w:tblPrEx>
        <w:trPr>
          <w:trHeight w:val="420" w:hRule="atLeast"/>
          <w:jc w:val="center"/>
        </w:trPr>
        <w:tc>
          <w:tcPr>
            <w:tcW w:w="838" w:type="dxa"/>
            <w:tcBorders>
              <w:top w:val="nil"/>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2810" w:type="dxa"/>
            <w:tcBorders>
              <w:top w:val="nil"/>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教师管理</w:t>
            </w:r>
          </w:p>
        </w:tc>
        <w:tc>
          <w:tcPr>
            <w:tcW w:w="2416" w:type="dxa"/>
            <w:tcBorders>
              <w:top w:val="nil"/>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园方自行管理</w:t>
            </w:r>
          </w:p>
        </w:tc>
        <w:tc>
          <w:tcPr>
            <w:tcW w:w="2021" w:type="dxa"/>
            <w:tcBorders>
              <w:top w:val="nil"/>
              <w:left w:val="nil"/>
              <w:bottom w:val="single" w:color="000000" w:sz="4" w:space="0"/>
              <w:right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编制内管理</w:t>
            </w:r>
          </w:p>
        </w:tc>
      </w:tr>
    </w:tbl>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注：数据来源于走访及公共信息整理</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上图可知，当地公立幼儿园无论是从成本和教师执业水平来看，都更有优势。但是，当地公立专职幼儿园数量有限，学位紧张，且限定3岁以上的幼儿在满足其他条件下才能申请就读。在这种情况下，如果政府能多投办可满足低龄幼儿入学的公立幼儿园，或是加强对私立幼儿园的监管，提升学前教育水平，那么，必能给育龄夫妇生育二孩带来更多安全感。</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 结语</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孩政策”的落实关乎中国的整体发展，如果生育意愿一直低迷，对长期的发展将会造成不可想像的影响。从小小的一个富顺县，可管中窥豹看中国整体“二孩政策”的落实情况，且越是经济发展得好的地方生育意愿越低。在这种情况下，政府有必要采用相应措施进行一定程度的干预，刺激适龄夫妇生育二孩的意愿。</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参考文献：</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1、刘祎蓝. 女性职工生育保障现状及其对二孩生育意愿的影响——基于苏州的实证分析[J].劳动保障世界，2018（7）：21-22</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2、李静雅.已育一孩职业女性的二孩生育意愿研究——基于生育效用感和再生育成本的实证分析[J].妇女研究论从，2017（3）：27-39</w:t>
      </w:r>
    </w:p>
    <w:p>
      <w:pPr>
        <w:keepNext w:val="0"/>
        <w:keepLines w:val="0"/>
        <w:pageBreakBefore w:val="0"/>
        <w:kinsoku/>
        <w:wordWrap/>
        <w:overflowPunct/>
        <w:topLinePunct w:val="0"/>
        <w:autoSpaceDE/>
        <w:autoSpaceDN/>
        <w:bidi w:val="0"/>
        <w:adjustRightInd/>
        <w:snapToGrid/>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3、吴雄妹.浅谈启动实施“单独二孩”政策的必要性和可行性.社会民生，2014（3）：91-92</w:t>
      </w:r>
    </w:p>
    <w:p>
      <w:pPr>
        <w:keepNext w:val="0"/>
        <w:keepLines w:val="0"/>
        <w:pageBreakBefore w:val="0"/>
        <w:kinsoku/>
        <w:wordWrap/>
        <w:overflowPunct/>
        <w:topLinePunct w:val="0"/>
        <w:autoSpaceDE/>
        <w:autoSpaceDN/>
        <w:bidi w:val="0"/>
        <w:adjustRightInd/>
        <w:snapToGrid/>
        <w:spacing w:line="360" w:lineRule="auto"/>
        <w:ind w:firstLine="480"/>
        <w:jc w:val="left"/>
        <w:rPr>
          <w:rFonts w:hint="eastAsia" w:ascii="宋体" w:hAnsi="宋体" w:eastAsia="宋体" w:cs="宋体"/>
          <w:sz w:val="24"/>
          <w:szCs w:val="24"/>
          <w:lang w:val="en-US" w:eastAsia="zh-CN"/>
        </w:rPr>
      </w:pPr>
    </w:p>
    <w:p>
      <w:pPr>
        <w:ind w:firstLine="420" w:firstLineChars="200"/>
        <w:jc w:val="left"/>
        <w:rPr>
          <w:rFonts w:hint="eastAsia"/>
          <w:sz w:val="21"/>
          <w:szCs w:val="21"/>
          <w:lang w:val="en-US" w:eastAsia="zh-CN"/>
        </w:rPr>
      </w:pPr>
      <w:bookmarkStart w:id="0" w:name="_GoBack"/>
      <w:bookmarkEnd w:id="0"/>
      <w:r>
        <w:rPr>
          <w:rFonts w:hint="eastAsia" w:ascii="宋体" w:hAnsi="宋体" w:eastAsia="宋体" w:cs="宋体"/>
          <w:b w:val="0"/>
          <w:bCs w:val="0"/>
          <w:sz w:val="21"/>
          <w:szCs w:val="21"/>
          <w:lang w:val="en-US" w:eastAsia="zh-CN"/>
        </w:rPr>
        <w:t>作者简介</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李代敏，</w:t>
      </w:r>
      <w:r>
        <w:rPr>
          <w:rFonts w:ascii="宋体" w:hAnsi="宋体" w:eastAsia="宋体" w:cs="宋体"/>
          <w:sz w:val="21"/>
          <w:szCs w:val="21"/>
        </w:rPr>
        <w:t>（</w:t>
      </w:r>
      <w:r>
        <w:rPr>
          <w:rFonts w:hint="eastAsia" w:ascii="宋体" w:hAnsi="宋体" w:eastAsia="宋体" w:cs="宋体"/>
          <w:sz w:val="21"/>
          <w:szCs w:val="21"/>
          <w:lang w:val="en-US" w:eastAsia="zh-CN"/>
        </w:rPr>
        <w:t>1991</w:t>
      </w:r>
      <w:r>
        <w:rPr>
          <w:rFonts w:ascii="宋体" w:hAnsi="宋体" w:eastAsia="宋体" w:cs="宋体"/>
          <w:sz w:val="21"/>
          <w:szCs w:val="21"/>
        </w:rPr>
        <w:t>-），</w:t>
      </w:r>
      <w:r>
        <w:rPr>
          <w:rFonts w:hint="eastAsia" w:ascii="宋体" w:hAnsi="宋体" w:eastAsia="宋体" w:cs="宋体"/>
          <w:sz w:val="21"/>
          <w:szCs w:val="21"/>
          <w:lang w:eastAsia="zh-CN"/>
        </w:rPr>
        <w:t>女</w:t>
      </w:r>
      <w:r>
        <w:rPr>
          <w:rFonts w:ascii="宋体" w:hAnsi="宋体" w:eastAsia="宋体" w:cs="宋体"/>
          <w:sz w:val="21"/>
          <w:szCs w:val="21"/>
        </w:rPr>
        <w:t>，</w:t>
      </w:r>
      <w:r>
        <w:rPr>
          <w:rFonts w:hint="eastAsia" w:ascii="宋体" w:hAnsi="宋体" w:eastAsia="宋体" w:cs="宋体"/>
          <w:sz w:val="21"/>
          <w:szCs w:val="21"/>
          <w:lang w:eastAsia="zh-CN"/>
        </w:rPr>
        <w:t>汉</w:t>
      </w:r>
      <w:r>
        <w:rPr>
          <w:rFonts w:ascii="宋体" w:hAnsi="宋体" w:eastAsia="宋体" w:cs="宋体"/>
          <w:sz w:val="21"/>
          <w:szCs w:val="21"/>
        </w:rPr>
        <w:t>，</w:t>
      </w:r>
      <w:r>
        <w:rPr>
          <w:rFonts w:hint="eastAsia" w:ascii="宋体" w:hAnsi="宋体" w:eastAsia="宋体" w:cs="宋体"/>
          <w:sz w:val="21"/>
          <w:szCs w:val="21"/>
          <w:lang w:eastAsia="zh-CN"/>
        </w:rPr>
        <w:t>四川达州人</w:t>
      </w:r>
      <w:r>
        <w:rPr>
          <w:rFonts w:ascii="宋体" w:hAnsi="宋体" w:eastAsia="宋体" w:cs="宋体"/>
          <w:sz w:val="21"/>
          <w:szCs w:val="21"/>
        </w:rPr>
        <w:t>，</w:t>
      </w:r>
      <w:r>
        <w:rPr>
          <w:rFonts w:hint="eastAsia" w:ascii="宋体" w:hAnsi="宋体" w:eastAsia="宋体" w:cs="宋体"/>
          <w:sz w:val="21"/>
          <w:szCs w:val="21"/>
          <w:lang w:val="en-US" w:eastAsia="zh-CN"/>
        </w:rPr>
        <w:t>贵州中医药大学硕士研究生（在读）</w:t>
      </w:r>
      <w:r>
        <w:rPr>
          <w:rFonts w:ascii="宋体" w:hAnsi="宋体" w:eastAsia="宋体" w:cs="宋体"/>
          <w:sz w:val="21"/>
          <w:szCs w:val="21"/>
        </w:rPr>
        <w:t>，</w:t>
      </w:r>
      <w:r>
        <w:rPr>
          <w:rFonts w:hint="eastAsia" w:ascii="宋体" w:hAnsi="宋体" w:eastAsia="宋体" w:cs="宋体"/>
          <w:sz w:val="21"/>
          <w:szCs w:val="21"/>
          <w:lang w:val="en-US" w:eastAsia="zh-CN"/>
        </w:rPr>
        <w:t>四川富顺县妇幼保健院会计师，</w:t>
      </w:r>
      <w:r>
        <w:rPr>
          <w:rFonts w:ascii="宋体" w:hAnsi="宋体" w:eastAsia="宋体" w:cs="宋体"/>
          <w:sz w:val="21"/>
          <w:szCs w:val="21"/>
        </w:rPr>
        <w:t>研究方向</w:t>
      </w:r>
      <w:r>
        <w:rPr>
          <w:rFonts w:hint="eastAsia" w:ascii="宋体" w:hAnsi="宋体" w:eastAsia="宋体" w:cs="宋体"/>
          <w:sz w:val="21"/>
          <w:szCs w:val="21"/>
          <w:lang w:val="en-US" w:eastAsia="zh-CN"/>
        </w:rPr>
        <w:t>：公共管理（健康服务与管理）。</w:t>
      </w:r>
    </w:p>
    <w:p>
      <w:pPr>
        <w:keepNext w:val="0"/>
        <w:keepLines w:val="0"/>
        <w:pageBreakBefore w:val="0"/>
        <w:kinsoku/>
        <w:wordWrap/>
        <w:overflowPunct/>
        <w:topLinePunct w:val="0"/>
        <w:autoSpaceDE/>
        <w:autoSpaceDN/>
        <w:bidi w:val="0"/>
        <w:adjustRightInd/>
        <w:snapToGrid/>
        <w:spacing w:line="360" w:lineRule="auto"/>
        <w:ind w:firstLine="480"/>
        <w:jc w:val="left"/>
        <w:rPr>
          <w:rFonts w:hint="eastAsia" w:ascii="宋体" w:hAnsi="宋体" w:eastAsia="宋体" w:cs="宋体"/>
          <w:sz w:val="24"/>
          <w:szCs w:val="24"/>
          <w:lang w:val="en-US" w:eastAsia="zh-CN"/>
        </w:rPr>
      </w:pPr>
    </w:p>
    <w:p>
      <w:pPr>
        <w:rPr>
          <w:rFonts w:hint="eastAsia"/>
          <w:lang w:eastAsia="zh-CN"/>
        </w:rPr>
      </w:pPr>
    </w:p>
    <w:p>
      <w:pPr>
        <w:rPr>
          <w:rFonts w:hint="default"/>
          <w:lang w:val="en-US" w:eastAsia="zh-CN"/>
        </w:rPr>
      </w:pPr>
    </w:p>
    <w:sectPr>
      <w:headerReference r:id="rId3" w:type="default"/>
      <w:footerReference r:id="rId4" w:type="default"/>
      <w:pgSz w:w="11906" w:h="16838"/>
      <w:pgMar w:top="1587" w:right="1417" w:bottom="1417" w:left="1701"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Glyphicons Halfling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A63C0F"/>
    <w:rsid w:val="01FE66F7"/>
    <w:rsid w:val="02081315"/>
    <w:rsid w:val="03670C13"/>
    <w:rsid w:val="06527397"/>
    <w:rsid w:val="06DB1EF7"/>
    <w:rsid w:val="073A7846"/>
    <w:rsid w:val="09F8126B"/>
    <w:rsid w:val="0A5B761D"/>
    <w:rsid w:val="0CEA4CEC"/>
    <w:rsid w:val="0F1C0149"/>
    <w:rsid w:val="1161306A"/>
    <w:rsid w:val="12A82893"/>
    <w:rsid w:val="12F900FA"/>
    <w:rsid w:val="166A3A81"/>
    <w:rsid w:val="177F6A43"/>
    <w:rsid w:val="1AA36464"/>
    <w:rsid w:val="1DA67065"/>
    <w:rsid w:val="1E5650AE"/>
    <w:rsid w:val="207A5961"/>
    <w:rsid w:val="217F7D71"/>
    <w:rsid w:val="22D165AB"/>
    <w:rsid w:val="249A0DEA"/>
    <w:rsid w:val="25BE1CE1"/>
    <w:rsid w:val="25F62284"/>
    <w:rsid w:val="26E17FF8"/>
    <w:rsid w:val="28800716"/>
    <w:rsid w:val="2901669B"/>
    <w:rsid w:val="2AE45749"/>
    <w:rsid w:val="2B830876"/>
    <w:rsid w:val="2DDC1E30"/>
    <w:rsid w:val="2DE96C37"/>
    <w:rsid w:val="2EBB7973"/>
    <w:rsid w:val="2F827566"/>
    <w:rsid w:val="3374658E"/>
    <w:rsid w:val="33BE1511"/>
    <w:rsid w:val="34CD0002"/>
    <w:rsid w:val="34F54E61"/>
    <w:rsid w:val="38684C80"/>
    <w:rsid w:val="3B915DEE"/>
    <w:rsid w:val="3E255AC8"/>
    <w:rsid w:val="3E603688"/>
    <w:rsid w:val="3F1F6BBF"/>
    <w:rsid w:val="3F8037F7"/>
    <w:rsid w:val="4011018D"/>
    <w:rsid w:val="416B4C3F"/>
    <w:rsid w:val="44F649A3"/>
    <w:rsid w:val="48A451A3"/>
    <w:rsid w:val="48FC2D84"/>
    <w:rsid w:val="4AF73428"/>
    <w:rsid w:val="4D7214AF"/>
    <w:rsid w:val="4EE71572"/>
    <w:rsid w:val="4F0C4A9C"/>
    <w:rsid w:val="4F5A4CEC"/>
    <w:rsid w:val="50CD4FE9"/>
    <w:rsid w:val="528215F6"/>
    <w:rsid w:val="54966427"/>
    <w:rsid w:val="54D16B2E"/>
    <w:rsid w:val="56490987"/>
    <w:rsid w:val="571C1478"/>
    <w:rsid w:val="58CE6EA3"/>
    <w:rsid w:val="5B836793"/>
    <w:rsid w:val="5F156015"/>
    <w:rsid w:val="61087637"/>
    <w:rsid w:val="610C7B0F"/>
    <w:rsid w:val="62716A70"/>
    <w:rsid w:val="62AA000E"/>
    <w:rsid w:val="62AA7428"/>
    <w:rsid w:val="64BD2AE7"/>
    <w:rsid w:val="67277989"/>
    <w:rsid w:val="6925606F"/>
    <w:rsid w:val="69AD0F8D"/>
    <w:rsid w:val="69D34EE3"/>
    <w:rsid w:val="6AA54184"/>
    <w:rsid w:val="6BD0484D"/>
    <w:rsid w:val="6D5A0F7E"/>
    <w:rsid w:val="72372790"/>
    <w:rsid w:val="756A7887"/>
    <w:rsid w:val="75C40D2C"/>
    <w:rsid w:val="769E128B"/>
    <w:rsid w:val="78297997"/>
    <w:rsid w:val="788B6072"/>
    <w:rsid w:val="78BA7774"/>
    <w:rsid w:val="79AF26F4"/>
    <w:rsid w:val="7AB0417E"/>
    <w:rsid w:val="7B367B15"/>
    <w:rsid w:val="7B74108D"/>
    <w:rsid w:val="7BA63C0F"/>
    <w:rsid w:val="7E2A70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qFormat/>
    <w:uiPriority w:val="0"/>
    <w:rPr>
      <w:color w:val="0063C8"/>
      <w:u w:val="none"/>
    </w:rPr>
  </w:style>
  <w:style w:type="character" w:styleId="8">
    <w:name w:val="Emphasis"/>
    <w:basedOn w:val="6"/>
    <w:qFormat/>
    <w:uiPriority w:val="0"/>
  </w:style>
  <w:style w:type="character" w:styleId="9">
    <w:name w:val="HTML Definition"/>
    <w:basedOn w:val="6"/>
    <w:qFormat/>
    <w:uiPriority w:val="0"/>
  </w:style>
  <w:style w:type="character" w:styleId="10">
    <w:name w:val="HTML Acronym"/>
    <w:basedOn w:val="6"/>
    <w:qFormat/>
    <w:uiPriority w:val="0"/>
  </w:style>
  <w:style w:type="character" w:styleId="11">
    <w:name w:val="HTML Variable"/>
    <w:basedOn w:val="6"/>
    <w:qFormat/>
    <w:uiPriority w:val="0"/>
    <w:rPr>
      <w:vanish/>
    </w:rPr>
  </w:style>
  <w:style w:type="character" w:styleId="12">
    <w:name w:val="Hyperlink"/>
    <w:basedOn w:val="6"/>
    <w:qFormat/>
    <w:uiPriority w:val="0"/>
    <w:rPr>
      <w:color w:val="0063C8"/>
      <w:u w:val="none"/>
    </w:rPr>
  </w:style>
  <w:style w:type="character" w:styleId="13">
    <w:name w:val="HTML Code"/>
    <w:basedOn w:val="6"/>
    <w:qFormat/>
    <w:uiPriority w:val="0"/>
    <w:rPr>
      <w:rFonts w:ascii="Courier New" w:hAnsi="Courier New"/>
      <w:sz w:val="20"/>
    </w:rPr>
  </w:style>
  <w:style w:type="character" w:styleId="14">
    <w:name w:val="HTML Cite"/>
    <w:basedOn w:val="6"/>
    <w:qFormat/>
    <w:uiPriority w:val="0"/>
  </w:style>
  <w:style w:type="character" w:customStyle="1" w:styleId="15">
    <w:name w:val="mr-prof2"/>
    <w:basedOn w:val="6"/>
    <w:qFormat/>
    <w:uiPriority w:val="0"/>
  </w:style>
  <w:style w:type="character" w:customStyle="1" w:styleId="16">
    <w:name w:val="s16"/>
    <w:basedOn w:val="6"/>
    <w:qFormat/>
    <w:uiPriority w:val="0"/>
    <w:rPr>
      <w:color w:val="DDDDDD"/>
      <w:sz w:val="18"/>
      <w:szCs w:val="18"/>
    </w:rPr>
  </w:style>
  <w:style w:type="character" w:customStyle="1" w:styleId="17">
    <w:name w:val="hover39"/>
    <w:basedOn w:val="6"/>
    <w:qFormat/>
    <w:uiPriority w:val="0"/>
    <w:rPr>
      <w:color w:val="3EAF0E"/>
    </w:rPr>
  </w:style>
  <w:style w:type="character" w:customStyle="1" w:styleId="18">
    <w:name w:val="btn-task-gray2"/>
    <w:basedOn w:val="6"/>
    <w:qFormat/>
    <w:uiPriority w:val="0"/>
    <w:rPr>
      <w:color w:val="FFFFFF"/>
      <w:u w:val="none"/>
      <w:shd w:val="clear" w:fill="CCCCCC"/>
    </w:rPr>
  </w:style>
  <w:style w:type="character" w:customStyle="1" w:styleId="19">
    <w:name w:val="btn-task-gray3"/>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2019-10-25T07:21:00Z</dcterms:created>
  <dc:creator>长情°</dc:creator>
  <cp:lastModifiedBy>Administrator</cp:lastModifiedBy>
  <cp:lastPrinted>2020-03-07T02:09:00Z</cp:lastPrinted>
  <dcterms:modified xsi:type="dcterms:W3CDTF">2020-03-24T06:10:30Z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