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
          <w:bCs/>
          <w:sz w:val="36"/>
          <w:szCs w:val="36"/>
        </w:rPr>
      </w:pPr>
      <w:r>
        <w:rPr>
          <w:rFonts w:hint="eastAsia" w:ascii="宋体" w:hAnsi="宋体" w:eastAsia="宋体" w:cs="宋体"/>
          <w:b/>
          <w:bCs/>
          <w:sz w:val="36"/>
          <w:szCs w:val="36"/>
        </w:rPr>
        <w:t>高校就业指导课现状及提升路径研究</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eastAsia" w:ascii="宋体" w:hAnsi="宋体" w:eastAsia="宋体" w:cs="宋体"/>
          <w:sz w:val="21"/>
          <w:szCs w:val="21"/>
          <w:lang w:val="en-US" w:eastAsia="zh-CN"/>
        </w:rPr>
      </w:pPr>
      <w:bookmarkStart w:id="0" w:name="_GoBack"/>
      <w:bookmarkEnd w:id="0"/>
      <w:r>
        <w:rPr>
          <w:rFonts w:hint="eastAsia" w:ascii="宋体" w:hAnsi="宋体" w:eastAsia="宋体" w:cs="宋体"/>
          <w:sz w:val="21"/>
          <w:szCs w:val="21"/>
          <w:lang w:val="en-US" w:eastAsia="zh-CN"/>
        </w:rPr>
        <w:t>徐嘉辉，男，1993年6月，籍贯：浙江金华，桂林理工大学，广西桂林，</w:t>
      </w:r>
      <w:r>
        <w:rPr>
          <w:rFonts w:hint="default" w:ascii="宋体" w:hAnsi="宋体" w:eastAsia="宋体" w:cs="宋体"/>
          <w:sz w:val="21"/>
          <w:szCs w:val="21"/>
          <w:lang w:val="en-US" w:eastAsia="zh-CN"/>
        </w:rPr>
        <w:t>主要研究方向</w:t>
      </w:r>
      <w:r>
        <w:rPr>
          <w:rFonts w:hint="eastAsia" w:ascii="宋体" w:hAnsi="宋体" w:eastAsia="宋体" w:cs="宋体"/>
          <w:sz w:val="21"/>
          <w:szCs w:val="21"/>
          <w:lang w:val="en-US" w:eastAsia="zh-CN"/>
        </w:rPr>
        <w:t>大学生思想教育</w:t>
      </w:r>
      <w:r>
        <w:rPr>
          <w:rFonts w:hint="default" w:ascii="宋体" w:hAnsi="宋体" w:eastAsia="宋体" w:cs="宋体"/>
          <w:sz w:val="21"/>
          <w:szCs w:val="21"/>
          <w:lang w:val="en-US" w:eastAsia="zh-CN"/>
        </w:rPr>
        <w:t>，电子邮箱</w:t>
      </w:r>
      <w:r>
        <w:rPr>
          <w:rFonts w:hint="eastAsia" w:ascii="宋体" w:hAnsi="宋体" w:eastAsia="宋体" w:cs="宋体"/>
          <w:sz w:val="21"/>
          <w:szCs w:val="21"/>
          <w:lang w:val="en-US" w:eastAsia="zh-CN"/>
        </w:rPr>
        <w:t>：494617449@qq.com</w:t>
      </w:r>
    </w:p>
    <w:p>
      <w:pPr>
        <w:keepNext w:val="0"/>
        <w:keepLines w:val="0"/>
        <w:pageBreakBefore w:val="0"/>
        <w:widowControl w:val="0"/>
        <w:kinsoku/>
        <w:wordWrap/>
        <w:overflowPunct/>
        <w:topLinePunct w:val="0"/>
        <w:autoSpaceDE/>
        <w:autoSpaceDN/>
        <w:bidi w:val="0"/>
        <w:adjustRightInd/>
        <w:snapToGrid/>
        <w:spacing w:line="240" w:lineRule="auto"/>
        <w:jc w:val="left"/>
        <w:textAlignment w:val="auto"/>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项目：桂林理工大学辅导员专项研究课题资助（GUT19FU13）</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sz w:val="24"/>
        </w:rPr>
      </w:pPr>
      <w:r>
        <w:rPr>
          <w:rFonts w:hint="eastAsia" w:ascii="宋体" w:hAnsi="宋体" w:eastAsia="宋体" w:cs="宋体"/>
          <w:b/>
          <w:bCs/>
          <w:sz w:val="24"/>
        </w:rPr>
        <w:t>摘要：</w:t>
      </w:r>
      <w:r>
        <w:rPr>
          <w:rFonts w:hint="eastAsia" w:ascii="宋体" w:hAnsi="宋体" w:eastAsia="宋体" w:cs="宋体"/>
          <w:sz w:val="24"/>
        </w:rPr>
        <w:t>高校就业指导课程设置目的为系统指导大学生树立正确的择业观、就业观和人生价值导向，为帮助大学生正确择业、顺利就业提供理论和经验指导，设置符合</w:t>
      </w:r>
      <w:r>
        <w:rPr>
          <w:rFonts w:hint="eastAsia" w:ascii="宋体" w:hAnsi="宋体" w:eastAsia="宋体" w:cs="宋体"/>
          <w:sz w:val="24"/>
          <w:lang w:val="en-US" w:eastAsia="zh-CN"/>
        </w:rPr>
        <w:t>新时代</w:t>
      </w:r>
      <w:r>
        <w:rPr>
          <w:rFonts w:hint="eastAsia" w:ascii="宋体" w:hAnsi="宋体" w:eastAsia="宋体" w:cs="宋体"/>
          <w:sz w:val="24"/>
        </w:rPr>
        <w:t>现阶段大学生就业指导需求的就业指导课程内容，有助于提升学生择业、就业和个人综合实力提升，因此分析、研究现阶段高校就业指导课程内容、形式与高校大学生需求之间的联系与差异，构建满足各学科大学生就业需求的就业指导课程内容框架路径至关重要。</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sz w:val="24"/>
          <w:lang w:eastAsia="zh-CN"/>
        </w:rPr>
      </w:pPr>
      <w:r>
        <w:rPr>
          <w:rFonts w:hint="eastAsia" w:ascii="宋体" w:hAnsi="宋体" w:eastAsia="宋体" w:cs="宋体"/>
          <w:b/>
          <w:bCs/>
          <w:sz w:val="24"/>
        </w:rPr>
        <w:t>关键字：</w:t>
      </w:r>
      <w:r>
        <w:rPr>
          <w:rFonts w:hint="eastAsia" w:ascii="宋体" w:hAnsi="宋体" w:eastAsia="宋体" w:cs="宋体"/>
          <w:sz w:val="24"/>
        </w:rPr>
        <w:t>就业指导课</w:t>
      </w:r>
      <w:r>
        <w:rPr>
          <w:rFonts w:hint="eastAsia" w:ascii="宋体" w:hAnsi="宋体" w:eastAsia="宋体" w:cs="宋体"/>
          <w:sz w:val="24"/>
          <w:lang w:eastAsia="zh-CN"/>
        </w:rPr>
        <w:t>；</w:t>
      </w:r>
      <w:r>
        <w:rPr>
          <w:rFonts w:hint="eastAsia" w:ascii="宋体" w:hAnsi="宋体" w:eastAsia="宋体" w:cs="宋体"/>
          <w:sz w:val="24"/>
        </w:rPr>
        <w:t>现状分析</w:t>
      </w:r>
      <w:r>
        <w:rPr>
          <w:rFonts w:hint="eastAsia" w:ascii="宋体" w:hAnsi="宋体" w:eastAsia="宋体" w:cs="宋体"/>
          <w:sz w:val="24"/>
          <w:lang w:eastAsia="zh-CN"/>
        </w:rPr>
        <w:t>；</w:t>
      </w:r>
      <w:r>
        <w:rPr>
          <w:rFonts w:hint="eastAsia" w:ascii="宋体" w:hAnsi="宋体" w:eastAsia="宋体" w:cs="宋体"/>
          <w:sz w:val="24"/>
        </w:rPr>
        <w:t>框架路径</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sz w:val="24"/>
        </w:rPr>
      </w:pPr>
      <w:r>
        <w:rPr>
          <w:rFonts w:hint="eastAsia" w:ascii="宋体" w:hAnsi="宋体" w:eastAsia="宋体" w:cs="宋体"/>
          <w:b/>
          <w:bCs/>
          <w:sz w:val="24"/>
        </w:rPr>
        <w:t>Abstract:</w:t>
      </w:r>
      <w:r>
        <w:rPr>
          <w:rFonts w:hint="eastAsia" w:ascii="宋体" w:hAnsi="宋体" w:eastAsia="宋体" w:cs="宋体"/>
          <w:sz w:val="24"/>
        </w:rPr>
        <w:t xml:space="preserve"> The purpose of setting up employment guidance courses in colleges and universities is to systematically guide college students to establish the correct concept of employment, employment and life value, to provide theoretical and experience guidance to help college students to choose a career correctly and to find employment smoothly. The content of employment guidance courses can help improve students' career choice, employment, and personal comprehensive strength. Therefore, analyze and study the relationship and differences between the content and form of college employment guidance courses at this stage and the needs of college students, and build to meet the employment needs of students in various disciplines The content framework path of the employment guidance course is crucial.</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sz w:val="24"/>
        </w:rPr>
      </w:pPr>
      <w:r>
        <w:rPr>
          <w:rFonts w:hint="eastAsia" w:ascii="宋体" w:hAnsi="宋体" w:eastAsia="宋体" w:cs="宋体"/>
          <w:b/>
          <w:bCs/>
          <w:sz w:val="24"/>
        </w:rPr>
        <w:t>Keywords:</w:t>
      </w:r>
      <w:r>
        <w:rPr>
          <w:rFonts w:hint="eastAsia" w:ascii="宋体" w:hAnsi="宋体" w:eastAsia="宋体" w:cs="宋体"/>
          <w:sz w:val="24"/>
        </w:rPr>
        <w:t xml:space="preserve"> Employment Guidance Course; Status Analysis; Framework Path</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0引言</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大学生就业指导工作的开展一定程度上提高了大学生的就业率，但是仅仅对大学生进行就业知识与就业技能的指导已经不能满足当前大学生就业形势的需要了</w:t>
      </w:r>
      <w:r>
        <w:rPr>
          <w:rFonts w:hint="eastAsia" w:ascii="宋体" w:hAnsi="宋体" w:eastAsia="宋体"/>
          <w:sz w:val="24"/>
          <w:vertAlign w:val="superscript"/>
          <w:lang w:val="en-US" w:eastAsia="zh-CN"/>
        </w:rPr>
        <w:t>[1]</w:t>
      </w:r>
      <w:r>
        <w:rPr>
          <w:rFonts w:hint="eastAsia" w:ascii="宋体" w:hAnsi="宋体" w:eastAsia="宋体"/>
          <w:sz w:val="24"/>
        </w:rPr>
        <w:t>。当前高校，特别是普通高校在大学生就业指导课程的设置上面有两个需求和两大困境。从需求而言，一是人才需求。高校急需一批懂得就业工作、教授就业能力、指导学生就业选择的教师为高校大学生提供有效的就业指导；二是课件需求。大学生就业指导课程的课件对于大多数高校大学生而言，内容过于宏大，停留在理论的层面较多，对于实践的指导较为欠缺，构建以学生需求为导向的大学生就业指导课件，有助于学生在课上有针对性的汲取个人所需内容，从而提升就业指导课程的学生接纳度。从困境而言，一是与市场对接困境。从以往大学生就业指导课程授课情况显现，课上所演示的就业指导课件与时刻变换的就业市场而言，具有严重的滞后性。二是大学生能力与就业市场需求之间的差距。大学生在校能力培养是综合性培养是延续性培养，不是一蹴而就，因此对于大学生就业指导教师授课而言就存在着对学生了解欠缺，缺乏最准确、符合学生个人发展的针对性指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rPr>
      </w:pPr>
      <w:r>
        <w:rPr>
          <w:rFonts w:hint="eastAsia" w:ascii="宋体" w:hAnsi="宋体" w:eastAsia="宋体"/>
          <w:sz w:val="24"/>
        </w:rPr>
        <w:t>两个需求、两个困境是现如今高校大学生就业指导课或者是高校就业指导工作所面临的主要问题，解决好两个需求和两个困境有助于促进高校对大学生就业能力的精准培养。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rPr>
      </w:pP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1高校就业指导课现状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lang w:eastAsia="zh-CN"/>
        </w:rPr>
      </w:pPr>
      <w:r>
        <w:rPr>
          <w:rFonts w:hint="eastAsia" w:ascii="宋体" w:hAnsi="宋体" w:eastAsia="宋体"/>
          <w:sz w:val="24"/>
        </w:rPr>
        <w:t>高校就业指导课是大多数高校大学生对就业市场、就业能力、就业方向了解的主要途径，但是就高校就业指导课开设的情况显现“教师准备吃力、学生不愿细听、就业能力培养效果差”这三点，因此，迫切需要改进就业指导方式，运用科学的方法，指导大学生进行职业生涯规划</w:t>
      </w:r>
      <w:r>
        <w:rPr>
          <w:rFonts w:hint="eastAsia" w:ascii="宋体" w:hAnsi="宋体" w:eastAsia="宋体"/>
          <w:sz w:val="24"/>
          <w:vertAlign w:val="superscript"/>
          <w:lang w:val="en-US" w:eastAsia="zh-CN"/>
        </w:rPr>
        <w:t>[2]</w:t>
      </w:r>
      <w:r>
        <w:rPr>
          <w:rFonts w:hint="eastAsia" w:ascii="宋体" w:hAnsi="宋体" w:eastAsia="宋体"/>
          <w:sz w:val="24"/>
          <w:lang w:eastAsia="zh-CN"/>
        </w:rPr>
        <w:t>。</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1.1授课教师与学生专业之间的差异</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大学生就业指导课程以思政类学科为依托学科，大学生就业指导课程上课教师多为思政课程教师和从事就业工作的思政辅导员等</w:t>
      </w:r>
      <w:r>
        <w:rPr>
          <w:rFonts w:hint="eastAsia" w:ascii="宋体" w:hAnsi="宋体" w:eastAsia="宋体"/>
          <w:sz w:val="24"/>
          <w:vertAlign w:val="superscript"/>
          <w:lang w:val="en-US" w:eastAsia="zh-CN"/>
        </w:rPr>
        <w:t>[3]</w:t>
      </w:r>
      <w:r>
        <w:rPr>
          <w:rFonts w:hint="eastAsia" w:ascii="宋体" w:hAnsi="宋体" w:eastAsia="宋体"/>
          <w:sz w:val="24"/>
          <w:lang w:eastAsia="zh-CN"/>
        </w:rPr>
        <w:t>，</w:t>
      </w:r>
      <w:r>
        <w:rPr>
          <w:rFonts w:hint="eastAsia" w:ascii="宋体" w:hAnsi="宋体" w:eastAsia="宋体"/>
          <w:sz w:val="24"/>
        </w:rPr>
        <w:t>只有少部分的就业指导教师是“科班”出生具备就业指导理论与实践，但是对于来自不同学院的不同专业学生基本不能做到以专业就业需求指导学生培养专业就业能力，只能在理论角度或者说是个人经验去指导学生，因此这样的就业指导课程与学生个人就业指导需求之间是存在着专业“鸿沟”，缺乏有专业针对性的就业指导。</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1.2就业指导课偏重于理论指导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大多数高校就业指导课程课程设置对学生就业能力的培养停留在理论指导角度，寄希望于学生通过理论的深入学习就能掌握到就业方向，从而完成就业。但在实际教学与学生反馈中发现，光有理论指导能启发一小部分同学用理论去指导实践，但是对于大部分同学而言，光靠理论指导没能结合实践检验，其就业指导课的收获度是低下的，在就业指导课程当中合理布置就业实践内容，有助于学生在教师指导下，参与实践提高就业能力。</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1.3缺乏对专业就业前景的深入研究</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现阶段的高校就业指导课件有一个重要问题就是滞后性，从任课教师了解到市场岗位需求动向到备课再到授课，这个时间上的推移可能与复杂多变的就业市场之间已经存在着滞后，当学生接受就业指导到就业实践之间的时间推移，是否还满足市场需求，这个不得而知，但能知道的是就业指导内容的滞后性是一定存在的，因此对于学生特别是即将进入社会就业的学生而言，精准的就业指导显得尤为关键。</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1.4欠缺个人规划性的发展</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当前高校就业指导课程的安排看似每个学年都有涉及是四年递进式的指导，但是由于授课教师的变动使得高校就业指导课程对于学生而言是分散的，缺乏整体性的指导。学生在四年的就业指导过程中从理论角度似乎都已经涉及到主要的理论传导、教育，但是从学生角度而言，什么都涉及但是什么都不精，或者说是理论不能指导实践，欠缺从学生角度的递进式教育规划。</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2就业指导课效果提升路径</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高校就业指导课的设置是促进高校大学生在复杂的就业环境下，通过理论、系统指导，以专业实力找到一份符合自身需求的工作，但由于高校就业指导课课程设置和教师局限、变动所导致的就业指导课流于表象，并未对大学生形成实质性的就业指导，为学生就业提供帮助。因此针对现阶段就业指导课存在的问题，构建符合学生就业指导需要的就业指导课程内容与方法，有助于该课程的授课效果提升。</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2.1深入学生专业，提升专业就业精准指导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要有针对性的研究授课对象学生所学的专业，通过对专业门类或者大类，分析近几年的就业趋势与市场需求，有针对性的进行就业指导。以网络招聘、现场招聘等途径，了解用人公司对学生专业需求和个人能力需求指导学生，让学生在校期间就了解到市场上的专业需求，有针对性的对自身专业学习和个人规划进行精准深入学习，为更好的迎合变幻莫测的就业市场打下坚实的专业基础和个人综合能力，从而提升就业能力。</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要做到以上要求需要就业指导教师做到以下几点：一是系统的罗列专业龙头企业对该类专业学生的专业能力需求，以需求导向指导学生学细、学精招聘专业能力要求；二是有类别的划分前几届学生的就业方向与就业趋势，让在校大学生能直观的感受到专业能力与针对性专业学习对就业成功率的影响；三是对学生个人大学时期发展要有选择指导，通过对学生个人情况了解比如：性格、能力、专业水平等方面有规划性的指导学生深入不同的专业研究，提升个人专业能力与专业精度，最终达到“一招鲜，吃遍天”的就业能力，从而应对复杂多变的就业市场环境。</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2.2设置有针对性的就业实践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实践是检验真理的唯一标准。没有实践检验的理论是空洞的、是虚无的；没有理论的实践是盲目的、是冲动的。对于就业指导而言，一味的理论指导教育会使得学生对于就业形式把握不定，对就业盲目自信，这是不可取的。因此对于高校就业指导课而言理论教学与就业实践之间应当相辅相成，用理论指导实践，用实践去检验真理，如此才能对高校学生就业能力培养起到成效。</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在有指导的前提条件下有组织、有规划的让学生带着理论思考去参与实践，有助于课程教授的有效性，有助于让学生形成自我的就业观念和经验方法，为今后正式步入就业做好心理预期以及能力提升。</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对于实践教学要有目的，对于实践教学成果要有反馈。理论是在不断的实践总结中凝练的经验产物，因此对于实践过程中对现有理论的补充是高校就业指导教师应当了解并深入分析研究的，如此才能为更好的就业指导提供理论与实践的总结，提升就业指导课程内容的时效性。</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2.3就业市场的动态把握</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变幻莫测的就业用人市场具有不确定性，高校授课因其特性会对就业市场的变换具有滞后性，因此高校就业指导教师要充分利用好应届毕业生、龙头企业招聘需求，及时的收集反馈市场就业动态，以相对及时的就业指导去教育指引学生，让高校大学生在校期间就能直观的了解到就业市场的变化，及时调整就业精准度。</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如何做到对就业市场的动态把握建议从以下几点深入：一是充分记录好应届毕业生、往届毕业生的求职经历，让把动态的就业市场变化和学生的就业专业能力之间建立起联系，分析变换的就业市场、专业能力培养与就业指导三者之间的关系，及时调整授课内容，以此弥补就业指导课程的滞后性；二是充分分析好专业龙头企业的招聘信息，了解最前沿的就业动态，以专业为基石，动态的改变学生就业方向，以不变应万变。</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2.4系统、整体性的就业指导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rPr>
      </w:pPr>
      <w:r>
        <w:rPr>
          <w:rFonts w:hint="eastAsia" w:ascii="宋体" w:hAnsi="宋体" w:eastAsia="宋体"/>
          <w:sz w:val="24"/>
        </w:rPr>
        <w:t>因高校就业指导课设置的特性，课程容量大，对于学生的指导大多只能停留在课堂内授课和课下作业布置，授课教师通过课程作业了解到学生的学习情况，但是对于学生掌握情况和实践落实情况了解就较为欠缺，长此以往学生对就业指导课的热忱就逐渐降低，脱离了就业指导课设置的初衷和成效。针对课程容量大问题，可以针对学生就业趋向分类指导学生，以“块”教学取代“片”教学，逐步缩小“块”范围从而有针对性的指导学生，让课程整体效果提升，学生接纳度提升。</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2.5归纳总结分析年度学生就业情况</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就业指导课程的内容最终要回归到学生就业能力提升上，因此了解到学生最新的就业动向，分析、归纳、总结学年度学生就业动向为更好的指导学生提升就业能力收集具有实效性的就业形势数据。</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3对高校就业指导课程设立的对策及建议</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rPr>
      </w:pPr>
      <w:r>
        <w:rPr>
          <w:rFonts w:hint="eastAsia" w:ascii="宋体" w:hAnsi="宋体" w:eastAsia="宋体"/>
          <w:sz w:val="24"/>
        </w:rPr>
        <w:t>高校就业指导课程设立的初衷是为了让在校大学生利用自身专业能力在社会就业环境中找到自身就业岗位，因此对高校就业指导课程的理论和成效就显得尤为重要。</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3.1构建学院层次的就业指导</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黑体" w:hAnsi="黑体" w:eastAsia="黑体"/>
          <w:sz w:val="24"/>
        </w:rPr>
      </w:pPr>
      <w:r>
        <w:rPr>
          <w:rFonts w:hint="eastAsia" w:ascii="宋体" w:hAnsi="宋体" w:eastAsia="宋体"/>
          <w:sz w:val="24"/>
        </w:rPr>
        <w:t>当前复杂多变的就业环境，单靠一个学期几十课时的就业指导课程是远远不够的，因此在学院内部设立就业指导中心或者就业指导教师，为学院专业学生提供就业指导，在专业上更为精准、在时效上更为迅速、在沟通上更为便利、学生角度更容易接纳。</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3.2就业技巧的专项培养</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ascii="宋体" w:hAnsi="宋体" w:eastAsia="宋体"/>
          <w:sz w:val="24"/>
        </w:rPr>
      </w:pPr>
      <w:r>
        <w:rPr>
          <w:rFonts w:hint="eastAsia" w:ascii="宋体" w:hAnsi="宋体" w:eastAsia="宋体"/>
          <w:sz w:val="24"/>
        </w:rPr>
        <w:t>学校毕业生的就业指导工作是毕业生顺利就业的基础,但就业指导只是就业教育的一个方面,另一方面也是最重要的就是使毕业生在就业时具有比较性优势, 即在某些具体岗位上具有熟练的操作技能,这种“熟手”的“首印效应”可以起到“一俊遮百丑”的关键作用,是竞争获胜的重要筹码</w:t>
      </w:r>
      <w:r>
        <w:rPr>
          <w:rFonts w:hint="eastAsia" w:ascii="宋体" w:hAnsi="宋体" w:eastAsia="宋体"/>
          <w:sz w:val="24"/>
          <w:vertAlign w:val="superscript"/>
          <w:lang w:val="en-US" w:eastAsia="zh-CN"/>
        </w:rPr>
        <w:t>[4]</w:t>
      </w:r>
      <w:r>
        <w:rPr>
          <w:rFonts w:hint="eastAsia" w:ascii="宋体" w:hAnsi="宋体" w:eastAsia="宋体"/>
          <w:sz w:val="24"/>
        </w:rPr>
        <w:t>。针对不同年级的学生需求设置相关的就业技巧教学，例如：大一教授基本的文件排版与就业简历的撰写学习；大二教授如何利用在现有专业技能的基础上找到学生需求的就业岗位；大三系统教授就业技巧，如面试技巧、投递技巧、考试技巧、面试技巧等方面知识；大四在符合学生专业能力的基础上有针对性的投递实习简历，为最终就业提高成功率。</w:t>
      </w: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rPr>
      </w:pPr>
      <w:r>
        <w:rPr>
          <w:rFonts w:hint="eastAsia" w:ascii="宋体" w:hAnsi="宋体" w:eastAsia="宋体" w:cs="宋体"/>
          <w:b/>
          <w:bCs/>
          <w:sz w:val="24"/>
          <w:szCs w:val="24"/>
        </w:rPr>
        <w:t>4结语</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rPr>
      </w:pPr>
      <w:r>
        <w:rPr>
          <w:rFonts w:hint="eastAsia" w:ascii="宋体" w:hAnsi="宋体" w:eastAsia="宋体"/>
          <w:sz w:val="24"/>
          <w:lang w:val="en-US" w:eastAsia="zh-CN"/>
        </w:rPr>
        <w:t>新时代背景下，复杂研究的就业环境给高校、毕业生莫大的压力，开展行之有效的高校就业指导课程，使之成为教师有把握、学生有兴趣、授课内容有时效性的就业指导，有助于在复杂的就业环境下为高校毕业生给与有效指导。</w:t>
      </w:r>
      <w:r>
        <w:rPr>
          <w:rFonts w:hint="eastAsia" w:ascii="宋体" w:hAnsi="宋体" w:eastAsia="宋体"/>
          <w:sz w:val="24"/>
        </w:rPr>
        <w:t>就业指导课程</w:t>
      </w:r>
      <w:r>
        <w:rPr>
          <w:rFonts w:hint="eastAsia" w:ascii="宋体" w:hAnsi="宋体" w:eastAsia="宋体"/>
          <w:sz w:val="24"/>
          <w:lang w:val="en-US" w:eastAsia="zh-CN"/>
        </w:rPr>
        <w:t>作为</w:t>
      </w:r>
      <w:r>
        <w:rPr>
          <w:rFonts w:hint="eastAsia" w:ascii="宋体" w:hAnsi="宋体" w:eastAsia="宋体"/>
          <w:sz w:val="24"/>
        </w:rPr>
        <w:t>高校大学生培养就业能力的主要途径，构建行之有效的高校就业指导课程、内容能有效促进大学生的就业能力提升。摒弃现有错误的就业指导课程教授思维，积极的接纳就业市场对学生的需求，以需求为导向直接面向学生教授相关知识能使得高校就业指导课程更符合当前就业市场与环境。</w:t>
      </w:r>
    </w:p>
    <w:p>
      <w:pPr>
        <w:keepNext w:val="0"/>
        <w:keepLines w:val="0"/>
        <w:pageBreakBefore w:val="0"/>
        <w:widowControl w:val="0"/>
        <w:kinsoku/>
        <w:wordWrap/>
        <w:overflowPunct/>
        <w:topLinePunct w:val="0"/>
        <w:autoSpaceDE/>
        <w:autoSpaceDN/>
        <w:bidi w:val="0"/>
        <w:adjustRightInd/>
        <w:snapToGrid/>
        <w:spacing w:line="440" w:lineRule="exact"/>
        <w:ind w:firstLine="480" w:firstLineChars="200"/>
        <w:jc w:val="left"/>
        <w:textAlignment w:val="auto"/>
        <w:rPr>
          <w:rFonts w:hint="eastAsia" w:ascii="宋体" w:hAnsi="宋体" w:eastAsia="宋体"/>
          <w:sz w:val="24"/>
        </w:rPr>
      </w:pPr>
    </w:p>
    <w:p>
      <w:pPr>
        <w:keepNext w:val="0"/>
        <w:keepLines w:val="0"/>
        <w:pageBreakBefore w:val="0"/>
        <w:widowControl w:val="0"/>
        <w:kinsoku/>
        <w:wordWrap/>
        <w:overflowPunct/>
        <w:topLinePunct w:val="0"/>
        <w:autoSpaceDE/>
        <w:autoSpaceDN/>
        <w:bidi w:val="0"/>
        <w:adjustRightInd/>
        <w:snapToGrid/>
        <w:spacing w:line="440" w:lineRule="exact"/>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参考文献</w:t>
      </w:r>
    </w:p>
    <w:p>
      <w:pPr>
        <w:pStyle w:val="2"/>
        <w:keepNext w:val="0"/>
        <w:keepLines w:val="0"/>
        <w:pageBreakBefore w:val="0"/>
        <w:widowControl w:val="0"/>
        <w:kinsoku/>
        <w:wordWrap w:val="0"/>
        <w:overflowPunct/>
        <w:topLinePunct/>
        <w:autoSpaceDE/>
        <w:autoSpaceDN/>
        <w:bidi w:val="0"/>
        <w:adjustRightInd/>
        <w:snapToGrid w:val="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[1]邢莹莹,陈盈盈.新时代下大学生就业指导工作中思想政治教育的要求[J].信息记录材料,2016,17(06):110-111.</w:t>
      </w:r>
    </w:p>
    <w:p>
      <w:pPr>
        <w:pStyle w:val="2"/>
        <w:keepNext w:val="0"/>
        <w:keepLines w:val="0"/>
        <w:pageBreakBefore w:val="0"/>
        <w:widowControl w:val="0"/>
        <w:kinsoku/>
        <w:wordWrap w:val="0"/>
        <w:overflowPunct/>
        <w:topLinePunct/>
        <w:autoSpaceDE/>
        <w:autoSpaceDN/>
        <w:bidi w:val="0"/>
        <w:adjustRightInd/>
        <w:snapToGrid w:val="0"/>
        <w:textAlignment w:val="auto"/>
      </w:pPr>
      <w:r>
        <w:rPr>
          <w:rFonts w:hint="eastAsia" w:ascii="宋体" w:hAnsi="宋体" w:eastAsia="宋体" w:cs="宋体"/>
          <w:sz w:val="21"/>
          <w:szCs w:val="21"/>
          <w:lang w:val="en-US" w:eastAsia="zh-CN"/>
        </w:rPr>
        <w:t>[2]</w:t>
      </w:r>
      <w:r>
        <w:rPr>
          <w:rFonts w:hint="eastAsia" w:ascii="宋体" w:hAnsi="宋体" w:eastAsia="宋体" w:cs="宋体"/>
          <w:sz w:val="21"/>
          <w:szCs w:val="21"/>
        </w:rPr>
        <w:t>楼仁功,赵启泉.大学生职业生涯规划指导的探索与实践[J].中国高教研究,2002(06):89-90.</w:t>
      </w:r>
    </w:p>
    <w:p>
      <w:pPr>
        <w:pStyle w:val="2"/>
        <w:keepNext w:val="0"/>
        <w:keepLines w:val="0"/>
        <w:pageBreakBefore w:val="0"/>
        <w:widowControl w:val="0"/>
        <w:kinsoku/>
        <w:wordWrap w:val="0"/>
        <w:overflowPunct/>
        <w:topLinePunct/>
        <w:autoSpaceDE/>
        <w:autoSpaceDN/>
        <w:bidi w:val="0"/>
        <w:adjustRightInd/>
        <w:snapToGrid w:val="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欧阳杜娟.新时代背景下大学生就业指导教学改革研究[J].轻工科技,2019,35(05):179-180.</w:t>
      </w:r>
    </w:p>
    <w:p>
      <w:pPr>
        <w:pStyle w:val="2"/>
        <w:keepNext w:val="0"/>
        <w:keepLines w:val="0"/>
        <w:pageBreakBefore w:val="0"/>
        <w:widowControl w:val="0"/>
        <w:kinsoku/>
        <w:wordWrap w:val="0"/>
        <w:overflowPunct/>
        <w:topLinePunct/>
        <w:autoSpaceDE/>
        <w:autoSpaceDN/>
        <w:bidi w:val="0"/>
        <w:adjustRightInd/>
        <w:snapToGrid w:val="0"/>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涂思义.大学生就业难的原因与对策分析[J].成都教育学院学报,2005(01):13-15.</w:t>
      </w:r>
    </w:p>
    <w:p>
      <w:pPr>
        <w:keepNext w:val="0"/>
        <w:keepLines w:val="0"/>
        <w:pageBreakBefore w:val="0"/>
        <w:widowControl w:val="0"/>
        <w:numPr>
          <w:numId w:val="0"/>
        </w:numPr>
        <w:kinsoku/>
        <w:wordWrap/>
        <w:overflowPunct/>
        <w:topLinePunct w:val="0"/>
        <w:autoSpaceDE/>
        <w:autoSpaceDN/>
        <w:bidi w:val="0"/>
        <w:adjustRightInd/>
        <w:snapToGrid/>
        <w:spacing w:line="440" w:lineRule="exact"/>
        <w:jc w:val="left"/>
        <w:textAlignment w:val="auto"/>
        <w:rPr>
          <w:rFonts w:hint="default" w:ascii="宋体" w:hAnsi="宋体" w:eastAsia="宋体" w:cs="宋体"/>
          <w:sz w:val="21"/>
          <w:szCs w:val="21"/>
          <w:lang w:val="en-US" w:eastAsia="zh-CN"/>
        </w:rPr>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80F3C52" w:usb2="00000016" w:usb3="00000000" w:csb0="0004001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FA1"/>
    <w:rsid w:val="00044220"/>
    <w:rsid w:val="00061D86"/>
    <w:rsid w:val="000A4A17"/>
    <w:rsid w:val="00105EF8"/>
    <w:rsid w:val="00112097"/>
    <w:rsid w:val="00114FB9"/>
    <w:rsid w:val="00120F6C"/>
    <w:rsid w:val="00164FC5"/>
    <w:rsid w:val="001705CA"/>
    <w:rsid w:val="001825DD"/>
    <w:rsid w:val="0020745D"/>
    <w:rsid w:val="00222409"/>
    <w:rsid w:val="0022643C"/>
    <w:rsid w:val="002344EE"/>
    <w:rsid w:val="00265206"/>
    <w:rsid w:val="003256DB"/>
    <w:rsid w:val="0038173D"/>
    <w:rsid w:val="003C6E4B"/>
    <w:rsid w:val="003D3BF6"/>
    <w:rsid w:val="00451233"/>
    <w:rsid w:val="00491646"/>
    <w:rsid w:val="005009E7"/>
    <w:rsid w:val="005125DC"/>
    <w:rsid w:val="005565B0"/>
    <w:rsid w:val="006257BA"/>
    <w:rsid w:val="006308FF"/>
    <w:rsid w:val="00636E63"/>
    <w:rsid w:val="00681FA1"/>
    <w:rsid w:val="006F2918"/>
    <w:rsid w:val="00913C0D"/>
    <w:rsid w:val="00954A87"/>
    <w:rsid w:val="00994FA3"/>
    <w:rsid w:val="009A162F"/>
    <w:rsid w:val="00A211DE"/>
    <w:rsid w:val="00A273E6"/>
    <w:rsid w:val="00A90ED6"/>
    <w:rsid w:val="00AF688E"/>
    <w:rsid w:val="00B3009B"/>
    <w:rsid w:val="00B57122"/>
    <w:rsid w:val="00BD686D"/>
    <w:rsid w:val="00C13EB2"/>
    <w:rsid w:val="00C24E96"/>
    <w:rsid w:val="00C50E0B"/>
    <w:rsid w:val="00D0438E"/>
    <w:rsid w:val="00DA7C5E"/>
    <w:rsid w:val="00DD6C9F"/>
    <w:rsid w:val="00DE07DD"/>
    <w:rsid w:val="00E14A5A"/>
    <w:rsid w:val="00E51864"/>
    <w:rsid w:val="00E72F0B"/>
    <w:rsid w:val="00E903B4"/>
    <w:rsid w:val="00EA3491"/>
    <w:rsid w:val="00F0771B"/>
    <w:rsid w:val="00FE76E7"/>
    <w:rsid w:val="01AF70C3"/>
    <w:rsid w:val="02710BC7"/>
    <w:rsid w:val="028F6EDD"/>
    <w:rsid w:val="02E464B6"/>
    <w:rsid w:val="04E660F6"/>
    <w:rsid w:val="05245BEC"/>
    <w:rsid w:val="05CB6065"/>
    <w:rsid w:val="05EB1638"/>
    <w:rsid w:val="06D97546"/>
    <w:rsid w:val="073D5B57"/>
    <w:rsid w:val="08321199"/>
    <w:rsid w:val="0A425BB3"/>
    <w:rsid w:val="0A6B6F2D"/>
    <w:rsid w:val="0AA41DF2"/>
    <w:rsid w:val="0AB01494"/>
    <w:rsid w:val="0C220D25"/>
    <w:rsid w:val="0DB95058"/>
    <w:rsid w:val="0E2A772A"/>
    <w:rsid w:val="0ECC020B"/>
    <w:rsid w:val="0F462C20"/>
    <w:rsid w:val="113079E1"/>
    <w:rsid w:val="11487BCC"/>
    <w:rsid w:val="12B011B9"/>
    <w:rsid w:val="134B2EE3"/>
    <w:rsid w:val="157C3273"/>
    <w:rsid w:val="163B6CF5"/>
    <w:rsid w:val="164D6965"/>
    <w:rsid w:val="166F365E"/>
    <w:rsid w:val="171E7A12"/>
    <w:rsid w:val="17302F23"/>
    <w:rsid w:val="175E0191"/>
    <w:rsid w:val="185965B5"/>
    <w:rsid w:val="18F21094"/>
    <w:rsid w:val="193A6693"/>
    <w:rsid w:val="19E235DA"/>
    <w:rsid w:val="1ABB641F"/>
    <w:rsid w:val="1B2B5BDF"/>
    <w:rsid w:val="1B443E9E"/>
    <w:rsid w:val="1C326FFD"/>
    <w:rsid w:val="1CC35172"/>
    <w:rsid w:val="1CDF3DF2"/>
    <w:rsid w:val="1F30701F"/>
    <w:rsid w:val="21951FD7"/>
    <w:rsid w:val="22150A4C"/>
    <w:rsid w:val="23552966"/>
    <w:rsid w:val="23690D52"/>
    <w:rsid w:val="237E67D5"/>
    <w:rsid w:val="24502934"/>
    <w:rsid w:val="251717E1"/>
    <w:rsid w:val="27D043AA"/>
    <w:rsid w:val="283F4CC9"/>
    <w:rsid w:val="2A2C6CDB"/>
    <w:rsid w:val="2A9D2594"/>
    <w:rsid w:val="2ACF7839"/>
    <w:rsid w:val="2B7A528A"/>
    <w:rsid w:val="2C946E44"/>
    <w:rsid w:val="2D5E1BDA"/>
    <w:rsid w:val="2DA0789C"/>
    <w:rsid w:val="2DF57E1E"/>
    <w:rsid w:val="2E43428E"/>
    <w:rsid w:val="2F8A4C0D"/>
    <w:rsid w:val="2FD62BCF"/>
    <w:rsid w:val="326B5C62"/>
    <w:rsid w:val="348E0A15"/>
    <w:rsid w:val="37723A1F"/>
    <w:rsid w:val="388C18D1"/>
    <w:rsid w:val="3A356DD6"/>
    <w:rsid w:val="3B553D4D"/>
    <w:rsid w:val="3BB87D75"/>
    <w:rsid w:val="3CAD2D2D"/>
    <w:rsid w:val="3CD846E0"/>
    <w:rsid w:val="3EDF4DC2"/>
    <w:rsid w:val="3F8B2A6E"/>
    <w:rsid w:val="3FAD674C"/>
    <w:rsid w:val="406641EE"/>
    <w:rsid w:val="4108058A"/>
    <w:rsid w:val="414415E6"/>
    <w:rsid w:val="429B5A25"/>
    <w:rsid w:val="43B70C44"/>
    <w:rsid w:val="43D522B5"/>
    <w:rsid w:val="43DA498F"/>
    <w:rsid w:val="43E11891"/>
    <w:rsid w:val="45051C9A"/>
    <w:rsid w:val="46E304C2"/>
    <w:rsid w:val="47444353"/>
    <w:rsid w:val="498A570B"/>
    <w:rsid w:val="49AB1F3B"/>
    <w:rsid w:val="4BCD3FF7"/>
    <w:rsid w:val="4C6B06C2"/>
    <w:rsid w:val="4C8209F7"/>
    <w:rsid w:val="4CBC1151"/>
    <w:rsid w:val="4D49234B"/>
    <w:rsid w:val="4E885AAB"/>
    <w:rsid w:val="4E94713B"/>
    <w:rsid w:val="4F3B667B"/>
    <w:rsid w:val="4F42433A"/>
    <w:rsid w:val="504B7E67"/>
    <w:rsid w:val="52433CFE"/>
    <w:rsid w:val="5261478F"/>
    <w:rsid w:val="53397DB2"/>
    <w:rsid w:val="53914AE1"/>
    <w:rsid w:val="583E0EB7"/>
    <w:rsid w:val="5A98044F"/>
    <w:rsid w:val="5B4F6B42"/>
    <w:rsid w:val="5B843490"/>
    <w:rsid w:val="5B8D46B0"/>
    <w:rsid w:val="5C5D2A51"/>
    <w:rsid w:val="5E404864"/>
    <w:rsid w:val="60111EAD"/>
    <w:rsid w:val="60287540"/>
    <w:rsid w:val="6060084A"/>
    <w:rsid w:val="617639D2"/>
    <w:rsid w:val="617F3E38"/>
    <w:rsid w:val="62271ABC"/>
    <w:rsid w:val="624F4CC8"/>
    <w:rsid w:val="626C5EAE"/>
    <w:rsid w:val="62FF57BF"/>
    <w:rsid w:val="64D97439"/>
    <w:rsid w:val="6514242F"/>
    <w:rsid w:val="66D22A4E"/>
    <w:rsid w:val="694F6CFE"/>
    <w:rsid w:val="6B1E5716"/>
    <w:rsid w:val="6B4B134D"/>
    <w:rsid w:val="6ECE560D"/>
    <w:rsid w:val="70BA1426"/>
    <w:rsid w:val="721B440F"/>
    <w:rsid w:val="73135A51"/>
    <w:rsid w:val="73570212"/>
    <w:rsid w:val="75563469"/>
    <w:rsid w:val="765A585A"/>
    <w:rsid w:val="76B44357"/>
    <w:rsid w:val="79784DBC"/>
    <w:rsid w:val="7F7B6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semiHidden/>
    <w:unhideWhenUsed/>
    <w:uiPriority w:val="99"/>
    <w:pPr>
      <w:snapToGrid w:val="0"/>
      <w:jc w:val="left"/>
    </w:pPr>
    <w:rPr>
      <w:sz w:val="18"/>
    </w:rPr>
  </w:style>
  <w:style w:type="character" w:styleId="5">
    <w:name w:val="footnote reference"/>
    <w:basedOn w:val="4"/>
    <w:semiHidden/>
    <w:unhideWhenUsed/>
    <w:uiPriority w:val="99"/>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574</Words>
  <Characters>3273</Characters>
  <Lines>27</Lines>
  <Paragraphs>7</Paragraphs>
  <TotalTime>3</TotalTime>
  <ScaleCrop>false</ScaleCrop>
  <LinksUpToDate>false</LinksUpToDate>
  <CharactersWithSpaces>3840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2019-08-11T08:52:00Z</dcterms:created>
  <dc:creator>sfoa</dc:creator>
  <cp:lastModifiedBy>Administrator</cp:lastModifiedBy>
  <dcterms:modified xsi:type="dcterms:W3CDTF">2020-04-03T03:08:19Z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