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187B" w:rsidRDefault="0003187B" w:rsidP="0003187B">
      <w:pPr>
        <w:jc w:val="center"/>
        <w:rPr>
          <w:sz w:val="30"/>
          <w:szCs w:val="30"/>
        </w:rPr>
      </w:pPr>
      <w:r>
        <w:rPr>
          <w:rFonts w:hint="eastAsia"/>
          <w:sz w:val="30"/>
          <w:szCs w:val="30"/>
        </w:rPr>
        <w:t>中药熨烫治疗膝关节退行性骨关节炎的循证护理</w:t>
      </w:r>
    </w:p>
    <w:p w:rsidR="0003187B" w:rsidRDefault="0003187B" w:rsidP="0003187B">
      <w:pPr>
        <w:jc w:val="center"/>
        <w:rPr>
          <w:sz w:val="30"/>
          <w:szCs w:val="30"/>
        </w:rPr>
      </w:pPr>
      <w:r>
        <w:rPr>
          <w:rFonts w:hint="eastAsia"/>
          <w:sz w:val="30"/>
          <w:szCs w:val="30"/>
        </w:rPr>
        <w:t>宁夏体检康复保健中心</w:t>
      </w:r>
      <w:r>
        <w:rPr>
          <w:sz w:val="30"/>
          <w:szCs w:val="30"/>
        </w:rPr>
        <w:t xml:space="preserve">  </w:t>
      </w:r>
      <w:r>
        <w:rPr>
          <w:rFonts w:hint="eastAsia"/>
          <w:sz w:val="30"/>
          <w:szCs w:val="30"/>
        </w:rPr>
        <w:t>田淑燕</w:t>
      </w:r>
      <w:r>
        <w:rPr>
          <w:sz w:val="30"/>
          <w:szCs w:val="30"/>
        </w:rPr>
        <w:t xml:space="preserve">  </w:t>
      </w:r>
    </w:p>
    <w:p w:rsidR="0003187B" w:rsidRDefault="0003187B" w:rsidP="0003187B">
      <w:pPr>
        <w:jc w:val="center"/>
        <w:rPr>
          <w:sz w:val="30"/>
          <w:szCs w:val="30"/>
        </w:rPr>
      </w:pPr>
      <w:r>
        <w:rPr>
          <w:rFonts w:hint="eastAsia"/>
          <w:sz w:val="30"/>
          <w:szCs w:val="30"/>
        </w:rPr>
        <w:t>银川市第一人民医院</w:t>
      </w:r>
      <w:r>
        <w:rPr>
          <w:sz w:val="30"/>
          <w:szCs w:val="30"/>
        </w:rPr>
        <w:t xml:space="preserve"> </w:t>
      </w:r>
      <w:r>
        <w:rPr>
          <w:rFonts w:hint="eastAsia"/>
          <w:sz w:val="30"/>
          <w:szCs w:val="30"/>
        </w:rPr>
        <w:t>阮芳</w:t>
      </w:r>
      <w:r>
        <w:rPr>
          <w:sz w:val="30"/>
          <w:szCs w:val="30"/>
        </w:rPr>
        <w:t xml:space="preserve">  </w:t>
      </w:r>
      <w:r>
        <w:rPr>
          <w:rFonts w:hint="eastAsia"/>
          <w:sz w:val="30"/>
          <w:szCs w:val="30"/>
        </w:rPr>
        <w:t>尹玉婷</w:t>
      </w:r>
    </w:p>
    <w:p w:rsidR="0003187B" w:rsidRDefault="0003187B" w:rsidP="0003187B">
      <w:pPr>
        <w:spacing w:line="480" w:lineRule="auto"/>
        <w:rPr>
          <w:sz w:val="24"/>
        </w:rPr>
      </w:pPr>
      <w:r>
        <w:rPr>
          <w:rFonts w:hint="eastAsia"/>
          <w:sz w:val="24"/>
        </w:rPr>
        <w:t>【摘</w:t>
      </w:r>
      <w:r>
        <w:rPr>
          <w:sz w:val="24"/>
        </w:rPr>
        <w:t xml:space="preserve">  </w:t>
      </w:r>
      <w:r>
        <w:rPr>
          <w:rFonts w:hint="eastAsia"/>
          <w:sz w:val="24"/>
        </w:rPr>
        <w:t>要】目的：探析在中药熨烫治疗膝关节退行性骨关节炎中实施循证护理的临床效果。方法：将我单位</w:t>
      </w:r>
      <w:r>
        <w:rPr>
          <w:sz w:val="24"/>
        </w:rPr>
        <w:t>2016</w:t>
      </w:r>
      <w:r>
        <w:rPr>
          <w:rFonts w:hint="eastAsia"/>
          <w:sz w:val="24"/>
        </w:rPr>
        <w:t>年</w:t>
      </w:r>
      <w:r>
        <w:rPr>
          <w:sz w:val="24"/>
        </w:rPr>
        <w:t>8</w:t>
      </w:r>
      <w:r>
        <w:rPr>
          <w:rFonts w:hint="eastAsia"/>
          <w:sz w:val="24"/>
        </w:rPr>
        <w:t>月至</w:t>
      </w:r>
      <w:r>
        <w:rPr>
          <w:sz w:val="24"/>
        </w:rPr>
        <w:t>2018</w:t>
      </w:r>
      <w:r>
        <w:rPr>
          <w:rFonts w:hint="eastAsia"/>
          <w:sz w:val="24"/>
        </w:rPr>
        <w:t>年</w:t>
      </w:r>
      <w:r>
        <w:rPr>
          <w:sz w:val="24"/>
        </w:rPr>
        <w:t>9</w:t>
      </w:r>
      <w:r>
        <w:rPr>
          <w:rFonts w:hint="eastAsia"/>
          <w:sz w:val="24"/>
        </w:rPr>
        <w:t>月期间接受中药熨烫治疗的</w:t>
      </w:r>
      <w:r>
        <w:rPr>
          <w:sz w:val="24"/>
        </w:rPr>
        <w:t>40</w:t>
      </w:r>
      <w:r>
        <w:rPr>
          <w:rFonts w:hint="eastAsia"/>
          <w:sz w:val="24"/>
        </w:rPr>
        <w:t>例膝关节退行性骨关节炎患者选为研究对象，常规组患者实施常规护理，循证组患者实施循证护理，对两组患者的临床疗效及护理满意度进行统计比较。结果：在临床疗效方面，循证组患者总有效率高于常规组患者，数据分别为</w:t>
      </w:r>
      <w:r>
        <w:rPr>
          <w:sz w:val="24"/>
        </w:rPr>
        <w:t>95%</w:t>
      </w:r>
      <w:r>
        <w:rPr>
          <w:rFonts w:hint="eastAsia"/>
          <w:sz w:val="24"/>
        </w:rPr>
        <w:t>、</w:t>
      </w:r>
      <w:r>
        <w:rPr>
          <w:sz w:val="24"/>
        </w:rPr>
        <w:t>80%</w:t>
      </w:r>
      <w:r>
        <w:rPr>
          <w:rFonts w:hint="eastAsia"/>
          <w:sz w:val="24"/>
        </w:rPr>
        <w:t>，对比具有显著性差异（</w:t>
      </w:r>
      <w:r>
        <w:rPr>
          <w:sz w:val="24"/>
        </w:rPr>
        <w:t>P</w:t>
      </w:r>
      <w:r>
        <w:rPr>
          <w:rFonts w:hint="eastAsia"/>
          <w:sz w:val="24"/>
        </w:rPr>
        <w:t>＜</w:t>
      </w:r>
      <w:r>
        <w:rPr>
          <w:sz w:val="24"/>
        </w:rPr>
        <w:t>0.05</w:t>
      </w:r>
      <w:r>
        <w:rPr>
          <w:rFonts w:hint="eastAsia"/>
          <w:sz w:val="24"/>
        </w:rPr>
        <w:t>）。在护理满意度方面，循证组患者高于常规组患者，数据分别为</w:t>
      </w:r>
      <w:r>
        <w:rPr>
          <w:sz w:val="24"/>
        </w:rPr>
        <w:t>95%</w:t>
      </w:r>
      <w:r>
        <w:rPr>
          <w:rFonts w:hint="eastAsia"/>
          <w:sz w:val="24"/>
        </w:rPr>
        <w:t>、</w:t>
      </w:r>
      <w:r>
        <w:rPr>
          <w:sz w:val="24"/>
        </w:rPr>
        <w:t>80%</w:t>
      </w:r>
      <w:r>
        <w:rPr>
          <w:rFonts w:hint="eastAsia"/>
          <w:sz w:val="24"/>
        </w:rPr>
        <w:t>，对比具有显著性差异（</w:t>
      </w:r>
      <w:r>
        <w:rPr>
          <w:sz w:val="24"/>
        </w:rPr>
        <w:t>P</w:t>
      </w:r>
      <w:r>
        <w:rPr>
          <w:rFonts w:hint="eastAsia"/>
          <w:sz w:val="24"/>
        </w:rPr>
        <w:t>＜</w:t>
      </w:r>
      <w:r>
        <w:rPr>
          <w:sz w:val="24"/>
        </w:rPr>
        <w:t>0.05</w:t>
      </w:r>
      <w:r>
        <w:rPr>
          <w:rFonts w:hint="eastAsia"/>
          <w:sz w:val="24"/>
        </w:rPr>
        <w:t>）。结论：给膝关节退行性骨关节炎患者进行中药熨烫治疗中实施循证护理的临床效果更加显著，且患者护理满意度更高，值得临床进一步推广和研究。</w:t>
      </w:r>
    </w:p>
    <w:p w:rsidR="0003187B" w:rsidRDefault="0003187B" w:rsidP="0003187B">
      <w:pPr>
        <w:rPr>
          <w:sz w:val="24"/>
        </w:rPr>
      </w:pPr>
    </w:p>
    <w:p w:rsidR="0003187B" w:rsidRDefault="0003187B" w:rsidP="0003187B">
      <w:pPr>
        <w:rPr>
          <w:sz w:val="24"/>
        </w:rPr>
      </w:pPr>
      <w:r>
        <w:rPr>
          <w:rFonts w:hint="eastAsia"/>
          <w:sz w:val="24"/>
        </w:rPr>
        <w:t>【关键词】膝关节退行性骨关节炎</w:t>
      </w:r>
      <w:r>
        <w:rPr>
          <w:sz w:val="24"/>
        </w:rPr>
        <w:t xml:space="preserve">  </w:t>
      </w:r>
      <w:r>
        <w:rPr>
          <w:rFonts w:hint="eastAsia"/>
          <w:sz w:val="24"/>
        </w:rPr>
        <w:t>中药熨烫</w:t>
      </w:r>
      <w:r>
        <w:rPr>
          <w:sz w:val="24"/>
        </w:rPr>
        <w:t xml:space="preserve">  </w:t>
      </w:r>
      <w:r>
        <w:rPr>
          <w:rFonts w:hint="eastAsia"/>
          <w:sz w:val="24"/>
        </w:rPr>
        <w:t>循证护理</w:t>
      </w:r>
    </w:p>
    <w:p w:rsidR="0003187B" w:rsidRDefault="0003187B" w:rsidP="0003187B">
      <w:pPr>
        <w:rPr>
          <w:sz w:val="24"/>
        </w:rPr>
      </w:pPr>
    </w:p>
    <w:p w:rsidR="0003187B" w:rsidRDefault="0003187B" w:rsidP="0003187B">
      <w:pPr>
        <w:ind w:firstLineChars="200" w:firstLine="560"/>
        <w:rPr>
          <w:sz w:val="28"/>
          <w:szCs w:val="28"/>
        </w:rPr>
      </w:pPr>
      <w:r>
        <w:rPr>
          <w:rFonts w:hint="eastAsia"/>
          <w:sz w:val="28"/>
          <w:szCs w:val="28"/>
        </w:rPr>
        <w:t>在临床中，膝关节退行性改变较为常见，且多见于中老年群体，临床表现主要为膝关节疼痛、功能障碍等，部分患者伴有关节肿胀、积液等症状，对患者生活质量产生了巨大的影响</w:t>
      </w:r>
      <w:r>
        <w:rPr>
          <w:sz w:val="28"/>
          <w:szCs w:val="28"/>
          <w:vertAlign w:val="superscript"/>
        </w:rPr>
        <w:t>[1]</w:t>
      </w:r>
      <w:r>
        <w:rPr>
          <w:rFonts w:hint="eastAsia"/>
          <w:sz w:val="28"/>
          <w:szCs w:val="28"/>
        </w:rPr>
        <w:t>。因此，膝关节退行性骨关节炎的治疗与护理非常重要。</w:t>
      </w:r>
      <w:r>
        <w:rPr>
          <w:sz w:val="28"/>
          <w:szCs w:val="28"/>
        </w:rPr>
        <w:t>2016</w:t>
      </w:r>
      <w:r>
        <w:rPr>
          <w:rFonts w:hint="eastAsia"/>
          <w:sz w:val="28"/>
          <w:szCs w:val="28"/>
        </w:rPr>
        <w:t>年</w:t>
      </w:r>
      <w:r>
        <w:rPr>
          <w:sz w:val="28"/>
          <w:szCs w:val="28"/>
        </w:rPr>
        <w:t>8</w:t>
      </w:r>
      <w:r>
        <w:rPr>
          <w:rFonts w:hint="eastAsia"/>
          <w:sz w:val="28"/>
          <w:szCs w:val="28"/>
        </w:rPr>
        <w:t>月至</w:t>
      </w:r>
      <w:r>
        <w:rPr>
          <w:sz w:val="28"/>
          <w:szCs w:val="28"/>
        </w:rPr>
        <w:t>2018</w:t>
      </w:r>
      <w:r>
        <w:rPr>
          <w:rFonts w:hint="eastAsia"/>
          <w:sz w:val="28"/>
          <w:szCs w:val="28"/>
        </w:rPr>
        <w:t>年</w:t>
      </w:r>
      <w:r>
        <w:rPr>
          <w:sz w:val="28"/>
          <w:szCs w:val="28"/>
        </w:rPr>
        <w:t>9</w:t>
      </w:r>
      <w:r>
        <w:rPr>
          <w:rFonts w:hint="eastAsia"/>
          <w:sz w:val="28"/>
          <w:szCs w:val="28"/>
        </w:rPr>
        <w:t>月期间，在单位开展了中药熨烫治疗膝关节退行性骨关节炎时应用循证护理的研究，现将研究情况报道如下：</w:t>
      </w:r>
    </w:p>
    <w:p w:rsidR="0003187B" w:rsidRDefault="0003187B" w:rsidP="0003187B">
      <w:pPr>
        <w:rPr>
          <w:sz w:val="28"/>
          <w:szCs w:val="28"/>
        </w:rPr>
      </w:pPr>
      <w:r>
        <w:rPr>
          <w:sz w:val="28"/>
          <w:szCs w:val="28"/>
        </w:rPr>
        <w:t>1.</w:t>
      </w:r>
      <w:r>
        <w:rPr>
          <w:rFonts w:hint="eastAsia"/>
          <w:sz w:val="28"/>
          <w:szCs w:val="28"/>
        </w:rPr>
        <w:t>资料与方法</w:t>
      </w:r>
    </w:p>
    <w:p w:rsidR="0003187B" w:rsidRDefault="0003187B" w:rsidP="0003187B">
      <w:pPr>
        <w:rPr>
          <w:sz w:val="28"/>
          <w:szCs w:val="28"/>
        </w:rPr>
      </w:pPr>
      <w:r>
        <w:rPr>
          <w:sz w:val="28"/>
          <w:szCs w:val="28"/>
        </w:rPr>
        <w:t xml:space="preserve">1.1 </w:t>
      </w:r>
      <w:r>
        <w:rPr>
          <w:rFonts w:hint="eastAsia"/>
          <w:sz w:val="28"/>
          <w:szCs w:val="28"/>
        </w:rPr>
        <w:t>一般资料</w:t>
      </w:r>
    </w:p>
    <w:p w:rsidR="0003187B" w:rsidRDefault="0003187B" w:rsidP="0003187B">
      <w:pPr>
        <w:ind w:firstLineChars="300" w:firstLine="840"/>
        <w:rPr>
          <w:sz w:val="28"/>
          <w:szCs w:val="28"/>
        </w:rPr>
      </w:pPr>
      <w:r>
        <w:rPr>
          <w:rFonts w:hint="eastAsia"/>
          <w:sz w:val="28"/>
          <w:szCs w:val="28"/>
        </w:rPr>
        <w:t>将我单位</w:t>
      </w:r>
      <w:r>
        <w:rPr>
          <w:sz w:val="28"/>
          <w:szCs w:val="28"/>
        </w:rPr>
        <w:t>2016</w:t>
      </w:r>
      <w:r>
        <w:rPr>
          <w:rFonts w:hint="eastAsia"/>
          <w:sz w:val="28"/>
          <w:szCs w:val="28"/>
        </w:rPr>
        <w:t>年</w:t>
      </w:r>
      <w:r>
        <w:rPr>
          <w:sz w:val="28"/>
          <w:szCs w:val="28"/>
        </w:rPr>
        <w:t>8</w:t>
      </w:r>
      <w:r>
        <w:rPr>
          <w:rFonts w:hint="eastAsia"/>
          <w:sz w:val="28"/>
          <w:szCs w:val="28"/>
        </w:rPr>
        <w:t>月至</w:t>
      </w:r>
      <w:r>
        <w:rPr>
          <w:sz w:val="28"/>
          <w:szCs w:val="28"/>
        </w:rPr>
        <w:t>2018</w:t>
      </w:r>
      <w:r>
        <w:rPr>
          <w:rFonts w:hint="eastAsia"/>
          <w:sz w:val="28"/>
          <w:szCs w:val="28"/>
        </w:rPr>
        <w:t>年</w:t>
      </w:r>
      <w:r>
        <w:rPr>
          <w:sz w:val="28"/>
          <w:szCs w:val="28"/>
        </w:rPr>
        <w:t>9</w:t>
      </w:r>
      <w:r>
        <w:rPr>
          <w:rFonts w:hint="eastAsia"/>
          <w:sz w:val="28"/>
          <w:szCs w:val="28"/>
        </w:rPr>
        <w:t>月期间接受中药熨烫治疗的</w:t>
      </w:r>
      <w:r>
        <w:rPr>
          <w:sz w:val="28"/>
          <w:szCs w:val="28"/>
        </w:rPr>
        <w:lastRenderedPageBreak/>
        <w:t>40</w:t>
      </w:r>
      <w:r>
        <w:rPr>
          <w:rFonts w:hint="eastAsia"/>
          <w:sz w:val="28"/>
          <w:szCs w:val="28"/>
        </w:rPr>
        <w:t>例膝关节退行性骨关节炎患者选为研究对象，均符合《骨关节炎诊治指南》</w:t>
      </w:r>
      <w:r>
        <w:rPr>
          <w:sz w:val="28"/>
          <w:szCs w:val="28"/>
          <w:vertAlign w:val="superscript"/>
        </w:rPr>
        <w:t>[2]</w:t>
      </w:r>
      <w:r>
        <w:rPr>
          <w:rFonts w:hint="eastAsia"/>
          <w:sz w:val="28"/>
          <w:szCs w:val="28"/>
        </w:rPr>
        <w:t>的诊断标准。依照数字奇偶法分为常规组、循证组，常规组中男、女各</w:t>
      </w:r>
      <w:r>
        <w:rPr>
          <w:sz w:val="28"/>
          <w:szCs w:val="28"/>
        </w:rPr>
        <w:t>11</w:t>
      </w:r>
      <w:r>
        <w:rPr>
          <w:rFonts w:hint="eastAsia"/>
          <w:sz w:val="28"/>
          <w:szCs w:val="28"/>
        </w:rPr>
        <w:t>例、</w:t>
      </w:r>
      <w:r>
        <w:rPr>
          <w:sz w:val="28"/>
          <w:szCs w:val="28"/>
        </w:rPr>
        <w:t>9</w:t>
      </w:r>
      <w:r>
        <w:rPr>
          <w:rFonts w:hint="eastAsia"/>
          <w:sz w:val="28"/>
          <w:szCs w:val="28"/>
        </w:rPr>
        <w:t>例，年龄范围</w:t>
      </w:r>
      <w:r>
        <w:rPr>
          <w:sz w:val="28"/>
          <w:szCs w:val="28"/>
        </w:rPr>
        <w:t>63</w:t>
      </w:r>
      <w:r>
        <w:rPr>
          <w:rFonts w:hint="eastAsia"/>
          <w:sz w:val="28"/>
          <w:szCs w:val="28"/>
        </w:rPr>
        <w:t>～</w:t>
      </w:r>
      <w:r>
        <w:rPr>
          <w:sz w:val="28"/>
          <w:szCs w:val="28"/>
        </w:rPr>
        <w:t>88</w:t>
      </w:r>
      <w:r>
        <w:rPr>
          <w:rFonts w:hint="eastAsia"/>
          <w:sz w:val="28"/>
          <w:szCs w:val="28"/>
        </w:rPr>
        <w:t>（</w:t>
      </w:r>
      <w:r>
        <w:rPr>
          <w:sz w:val="28"/>
          <w:szCs w:val="28"/>
        </w:rPr>
        <w:t>71.6±16.5</w:t>
      </w:r>
      <w:r>
        <w:rPr>
          <w:rFonts w:hint="eastAsia"/>
          <w:sz w:val="28"/>
          <w:szCs w:val="28"/>
        </w:rPr>
        <w:t>）岁；循证组中男、女各</w:t>
      </w:r>
      <w:r>
        <w:rPr>
          <w:sz w:val="28"/>
          <w:szCs w:val="28"/>
        </w:rPr>
        <w:t>10</w:t>
      </w:r>
      <w:r>
        <w:rPr>
          <w:rFonts w:hint="eastAsia"/>
          <w:sz w:val="28"/>
          <w:szCs w:val="28"/>
        </w:rPr>
        <w:t>例、</w:t>
      </w:r>
      <w:r>
        <w:rPr>
          <w:sz w:val="28"/>
          <w:szCs w:val="28"/>
        </w:rPr>
        <w:t>10</w:t>
      </w:r>
      <w:r>
        <w:rPr>
          <w:rFonts w:hint="eastAsia"/>
          <w:sz w:val="28"/>
          <w:szCs w:val="28"/>
        </w:rPr>
        <w:t>例，年龄范围</w:t>
      </w:r>
      <w:r>
        <w:rPr>
          <w:sz w:val="28"/>
          <w:szCs w:val="28"/>
        </w:rPr>
        <w:t>63</w:t>
      </w:r>
      <w:r>
        <w:rPr>
          <w:rFonts w:hint="eastAsia"/>
          <w:sz w:val="28"/>
          <w:szCs w:val="28"/>
        </w:rPr>
        <w:t>～</w:t>
      </w:r>
      <w:r>
        <w:rPr>
          <w:sz w:val="28"/>
          <w:szCs w:val="28"/>
        </w:rPr>
        <w:t>87</w:t>
      </w:r>
      <w:r>
        <w:rPr>
          <w:rFonts w:hint="eastAsia"/>
          <w:sz w:val="28"/>
          <w:szCs w:val="28"/>
        </w:rPr>
        <w:t>（</w:t>
      </w:r>
      <w:r>
        <w:rPr>
          <w:sz w:val="28"/>
          <w:szCs w:val="28"/>
        </w:rPr>
        <w:t>74.1±12.9</w:t>
      </w:r>
      <w:r>
        <w:rPr>
          <w:rFonts w:hint="eastAsia"/>
          <w:sz w:val="28"/>
          <w:szCs w:val="28"/>
        </w:rPr>
        <w:t>）岁。两组患者一般资料进行统计处理，比较不具显著性差异（</w:t>
      </w:r>
      <w:r>
        <w:rPr>
          <w:sz w:val="28"/>
          <w:szCs w:val="28"/>
        </w:rPr>
        <w:t>P</w:t>
      </w:r>
      <w:r>
        <w:rPr>
          <w:rFonts w:hint="eastAsia"/>
          <w:sz w:val="28"/>
          <w:szCs w:val="28"/>
        </w:rPr>
        <w:t>＞</w:t>
      </w:r>
      <w:r>
        <w:rPr>
          <w:sz w:val="28"/>
          <w:szCs w:val="28"/>
        </w:rPr>
        <w:t>0.05</w:t>
      </w:r>
      <w:r>
        <w:rPr>
          <w:rFonts w:hint="eastAsia"/>
          <w:sz w:val="28"/>
          <w:szCs w:val="28"/>
        </w:rPr>
        <w:t>）。</w:t>
      </w:r>
    </w:p>
    <w:p w:rsidR="0003187B" w:rsidRDefault="0003187B" w:rsidP="0003187B">
      <w:pPr>
        <w:rPr>
          <w:sz w:val="28"/>
          <w:szCs w:val="28"/>
        </w:rPr>
      </w:pPr>
      <w:r>
        <w:rPr>
          <w:sz w:val="28"/>
          <w:szCs w:val="28"/>
        </w:rPr>
        <w:t xml:space="preserve">1.2 </w:t>
      </w:r>
      <w:r>
        <w:rPr>
          <w:rFonts w:hint="eastAsia"/>
          <w:sz w:val="28"/>
          <w:szCs w:val="28"/>
        </w:rPr>
        <w:t>方法</w:t>
      </w:r>
    </w:p>
    <w:p w:rsidR="0003187B" w:rsidRDefault="0003187B" w:rsidP="0003187B">
      <w:pPr>
        <w:rPr>
          <w:sz w:val="28"/>
          <w:szCs w:val="28"/>
        </w:rPr>
      </w:pPr>
      <w:r>
        <w:rPr>
          <w:sz w:val="28"/>
          <w:szCs w:val="28"/>
        </w:rPr>
        <w:t xml:space="preserve">1.2.1 </w:t>
      </w:r>
      <w:r>
        <w:rPr>
          <w:rFonts w:hint="eastAsia"/>
          <w:sz w:val="28"/>
          <w:szCs w:val="28"/>
        </w:rPr>
        <w:t>治疗方法</w:t>
      </w:r>
    </w:p>
    <w:p w:rsidR="0003187B" w:rsidRDefault="0003187B" w:rsidP="0003187B">
      <w:pPr>
        <w:ind w:firstLineChars="300" w:firstLine="840"/>
        <w:rPr>
          <w:sz w:val="28"/>
          <w:szCs w:val="28"/>
        </w:rPr>
      </w:pPr>
      <w:r>
        <w:rPr>
          <w:rFonts w:hint="eastAsia"/>
          <w:sz w:val="28"/>
          <w:szCs w:val="28"/>
        </w:rPr>
        <w:t>两组患者均给予中药熨烫治疗，使用中药熨烫药：宁夏中医研究院研制的筋骨痛消液。将浸满药液的大块纱布敷于患膝，通过远红外治疗仪加热，对病变部位进行中药熨烫，</w:t>
      </w:r>
      <w:r>
        <w:rPr>
          <w:sz w:val="28"/>
          <w:szCs w:val="28"/>
        </w:rPr>
        <w:t>1</w:t>
      </w:r>
      <w:r>
        <w:rPr>
          <w:rFonts w:hint="eastAsia"/>
          <w:sz w:val="28"/>
          <w:szCs w:val="28"/>
        </w:rPr>
        <w:t>次</w:t>
      </w:r>
      <w:r>
        <w:rPr>
          <w:sz w:val="28"/>
          <w:szCs w:val="28"/>
        </w:rPr>
        <w:t>/</w:t>
      </w:r>
      <w:r>
        <w:rPr>
          <w:rFonts w:hint="eastAsia"/>
          <w:sz w:val="28"/>
          <w:szCs w:val="28"/>
        </w:rPr>
        <w:t>天，</w:t>
      </w:r>
      <w:r>
        <w:rPr>
          <w:sz w:val="28"/>
          <w:szCs w:val="28"/>
        </w:rPr>
        <w:t>40</w:t>
      </w:r>
      <w:r>
        <w:rPr>
          <w:rFonts w:hint="eastAsia"/>
          <w:sz w:val="28"/>
          <w:szCs w:val="28"/>
        </w:rPr>
        <w:t>分</w:t>
      </w:r>
      <w:r>
        <w:rPr>
          <w:sz w:val="28"/>
          <w:szCs w:val="28"/>
        </w:rPr>
        <w:t>/</w:t>
      </w:r>
      <w:r>
        <w:rPr>
          <w:rFonts w:hint="eastAsia"/>
          <w:sz w:val="28"/>
          <w:szCs w:val="28"/>
        </w:rPr>
        <w:t>次，每天一次，连续治疗</w:t>
      </w:r>
      <w:r>
        <w:rPr>
          <w:sz w:val="28"/>
          <w:szCs w:val="28"/>
        </w:rPr>
        <w:t>2</w:t>
      </w:r>
      <w:r>
        <w:rPr>
          <w:rFonts w:hint="eastAsia"/>
          <w:sz w:val="28"/>
          <w:szCs w:val="28"/>
        </w:rPr>
        <w:t>周。</w:t>
      </w:r>
    </w:p>
    <w:p w:rsidR="0003187B" w:rsidRDefault="0003187B" w:rsidP="0003187B">
      <w:pPr>
        <w:rPr>
          <w:sz w:val="28"/>
          <w:szCs w:val="28"/>
        </w:rPr>
      </w:pPr>
      <w:r>
        <w:rPr>
          <w:sz w:val="28"/>
          <w:szCs w:val="28"/>
        </w:rPr>
        <w:t xml:space="preserve">1.2.2 </w:t>
      </w:r>
      <w:r>
        <w:rPr>
          <w:rFonts w:hint="eastAsia"/>
          <w:sz w:val="28"/>
          <w:szCs w:val="28"/>
        </w:rPr>
        <w:t>护理方法</w:t>
      </w:r>
    </w:p>
    <w:p w:rsidR="0003187B" w:rsidRDefault="0003187B" w:rsidP="0003187B">
      <w:pPr>
        <w:ind w:firstLineChars="200" w:firstLine="560"/>
        <w:rPr>
          <w:sz w:val="28"/>
          <w:szCs w:val="28"/>
        </w:rPr>
      </w:pPr>
      <w:r>
        <w:rPr>
          <w:rFonts w:hint="eastAsia"/>
          <w:sz w:val="28"/>
          <w:szCs w:val="28"/>
        </w:rPr>
        <w:t>常规组患者实施常规护理，即严格按照医嘱执行护理操作。循证组患者实施循证护理，即组建循证护理小组，寻找临床实践问题，之后进行文献检索，给予循证支持，制定切实可行的护理措施。内容如下：①心理护理：向患者介绍有关疾病的知识，给予患者针对性心理疏导，以此调节患者不良情绪，帮助患者树立治疗信心。②健康宣教：向患者进行健康宣教，让患者正确认知疾病，并认识到过度负重、过度活动均为禁忌，同时避免受湿、受凉，以此预防疾病。③饮食护理：指导患者多食用富含钙的食物，限制脂肪的摄入，同时可以多食用一些富含热量、蛋白、矿物质、维生素的低脂食物，禁食生冷油腻的食物。</w:t>
      </w:r>
    </w:p>
    <w:p w:rsidR="0003187B" w:rsidRDefault="0003187B" w:rsidP="0003187B">
      <w:pPr>
        <w:rPr>
          <w:sz w:val="28"/>
          <w:szCs w:val="28"/>
        </w:rPr>
      </w:pPr>
      <w:r>
        <w:rPr>
          <w:sz w:val="28"/>
          <w:szCs w:val="28"/>
        </w:rPr>
        <w:lastRenderedPageBreak/>
        <w:t xml:space="preserve">1.3 </w:t>
      </w:r>
      <w:r>
        <w:rPr>
          <w:rFonts w:hint="eastAsia"/>
          <w:sz w:val="28"/>
          <w:szCs w:val="28"/>
        </w:rPr>
        <w:t>观察指标</w:t>
      </w:r>
    </w:p>
    <w:p w:rsidR="0003187B" w:rsidRDefault="0003187B" w:rsidP="0003187B">
      <w:pPr>
        <w:ind w:firstLineChars="200" w:firstLine="560"/>
        <w:rPr>
          <w:sz w:val="28"/>
          <w:szCs w:val="28"/>
        </w:rPr>
      </w:pPr>
      <w:r>
        <w:rPr>
          <w:rFonts w:hint="eastAsia"/>
          <w:sz w:val="28"/>
          <w:szCs w:val="28"/>
        </w:rPr>
        <w:t>对两组患者的临床疗效及护理满意度进行统计比较。采用自拟问卷对患者护理满意度进行评估，总分为</w:t>
      </w:r>
      <w:r>
        <w:rPr>
          <w:sz w:val="28"/>
          <w:szCs w:val="28"/>
        </w:rPr>
        <w:t>100</w:t>
      </w:r>
      <w:r>
        <w:rPr>
          <w:rFonts w:hint="eastAsia"/>
          <w:sz w:val="28"/>
          <w:szCs w:val="28"/>
        </w:rPr>
        <w:t>分，非常满意＞</w:t>
      </w:r>
      <w:r>
        <w:rPr>
          <w:sz w:val="28"/>
          <w:szCs w:val="28"/>
        </w:rPr>
        <w:t>85</w:t>
      </w:r>
      <w:r>
        <w:rPr>
          <w:rFonts w:hint="eastAsia"/>
          <w:sz w:val="28"/>
          <w:szCs w:val="28"/>
        </w:rPr>
        <w:t>分，一般满意</w:t>
      </w:r>
      <w:r>
        <w:rPr>
          <w:sz w:val="28"/>
          <w:szCs w:val="28"/>
        </w:rPr>
        <w:t>60</w:t>
      </w:r>
      <w:r>
        <w:rPr>
          <w:rFonts w:hint="eastAsia"/>
          <w:sz w:val="28"/>
          <w:szCs w:val="28"/>
        </w:rPr>
        <w:t>～</w:t>
      </w:r>
      <w:r>
        <w:rPr>
          <w:sz w:val="28"/>
          <w:szCs w:val="28"/>
        </w:rPr>
        <w:t>85</w:t>
      </w:r>
      <w:r>
        <w:rPr>
          <w:rFonts w:hint="eastAsia"/>
          <w:sz w:val="28"/>
          <w:szCs w:val="28"/>
        </w:rPr>
        <w:t>分，不满意＜</w:t>
      </w:r>
      <w:r>
        <w:rPr>
          <w:sz w:val="28"/>
          <w:szCs w:val="28"/>
        </w:rPr>
        <w:t>60</w:t>
      </w:r>
      <w:r>
        <w:rPr>
          <w:rFonts w:hint="eastAsia"/>
          <w:sz w:val="28"/>
          <w:szCs w:val="28"/>
        </w:rPr>
        <w:t>分，护理满意度</w:t>
      </w:r>
      <w:r>
        <w:rPr>
          <w:sz w:val="28"/>
          <w:szCs w:val="28"/>
        </w:rPr>
        <w:t>=</w:t>
      </w:r>
      <w:r>
        <w:rPr>
          <w:rFonts w:hint="eastAsia"/>
          <w:sz w:val="28"/>
          <w:szCs w:val="28"/>
        </w:rPr>
        <w:t>非常满意率</w:t>
      </w:r>
      <w:r>
        <w:rPr>
          <w:sz w:val="28"/>
          <w:szCs w:val="28"/>
        </w:rPr>
        <w:t>+</w:t>
      </w:r>
      <w:r>
        <w:rPr>
          <w:rFonts w:hint="eastAsia"/>
          <w:sz w:val="28"/>
          <w:szCs w:val="28"/>
        </w:rPr>
        <w:t>一般满意率。</w:t>
      </w:r>
    </w:p>
    <w:p w:rsidR="0003187B" w:rsidRDefault="0003187B" w:rsidP="0003187B">
      <w:pPr>
        <w:rPr>
          <w:sz w:val="28"/>
          <w:szCs w:val="28"/>
        </w:rPr>
      </w:pPr>
      <w:r>
        <w:rPr>
          <w:sz w:val="28"/>
          <w:szCs w:val="28"/>
        </w:rPr>
        <w:t xml:space="preserve">1.4 </w:t>
      </w:r>
      <w:r>
        <w:rPr>
          <w:rFonts w:hint="eastAsia"/>
          <w:sz w:val="28"/>
          <w:szCs w:val="28"/>
        </w:rPr>
        <w:t>临床疗效判定标准</w:t>
      </w:r>
    </w:p>
    <w:p w:rsidR="0003187B" w:rsidRDefault="0003187B" w:rsidP="0003187B">
      <w:pPr>
        <w:ind w:firstLineChars="200" w:firstLine="560"/>
        <w:rPr>
          <w:sz w:val="28"/>
          <w:szCs w:val="28"/>
        </w:rPr>
      </w:pPr>
      <w:r>
        <w:rPr>
          <w:rFonts w:hint="eastAsia"/>
          <w:sz w:val="28"/>
          <w:szCs w:val="28"/>
        </w:rPr>
        <w:t>参照《骨与关节损伤疾病的诊断及功能评定标准》对患者临床疗效予以判定，即对患者关节屈曲度、关节肿胀程度、步行远近及是否自由上下楼梯进行评分，</w:t>
      </w:r>
      <w:r>
        <w:rPr>
          <w:sz w:val="28"/>
          <w:szCs w:val="28"/>
        </w:rPr>
        <w:t>80</w:t>
      </w:r>
      <w:r>
        <w:rPr>
          <w:rFonts w:hint="eastAsia"/>
          <w:sz w:val="28"/>
          <w:szCs w:val="28"/>
        </w:rPr>
        <w:t>～</w:t>
      </w:r>
      <w:r>
        <w:rPr>
          <w:sz w:val="28"/>
          <w:szCs w:val="28"/>
        </w:rPr>
        <w:t>100</w:t>
      </w:r>
      <w:r>
        <w:rPr>
          <w:rFonts w:hint="eastAsia"/>
          <w:sz w:val="28"/>
          <w:szCs w:val="28"/>
        </w:rPr>
        <w:t>分为轻度，</w:t>
      </w:r>
      <w:r>
        <w:rPr>
          <w:sz w:val="28"/>
          <w:szCs w:val="28"/>
        </w:rPr>
        <w:t>60</w:t>
      </w:r>
      <w:r>
        <w:rPr>
          <w:rFonts w:hint="eastAsia"/>
          <w:sz w:val="28"/>
          <w:szCs w:val="28"/>
        </w:rPr>
        <w:t>～</w:t>
      </w:r>
      <w:r>
        <w:rPr>
          <w:sz w:val="28"/>
          <w:szCs w:val="28"/>
        </w:rPr>
        <w:t>79</w:t>
      </w:r>
      <w:r>
        <w:rPr>
          <w:rFonts w:hint="eastAsia"/>
          <w:sz w:val="28"/>
          <w:szCs w:val="28"/>
        </w:rPr>
        <w:t>分为中度，</w:t>
      </w:r>
      <w:r>
        <w:rPr>
          <w:sz w:val="28"/>
          <w:szCs w:val="28"/>
        </w:rPr>
        <w:t>40</w:t>
      </w:r>
      <w:r>
        <w:rPr>
          <w:rFonts w:hint="eastAsia"/>
          <w:sz w:val="28"/>
          <w:szCs w:val="28"/>
        </w:rPr>
        <w:t>～</w:t>
      </w:r>
      <w:r>
        <w:rPr>
          <w:sz w:val="28"/>
          <w:szCs w:val="28"/>
        </w:rPr>
        <w:t>59</w:t>
      </w:r>
      <w:r>
        <w:rPr>
          <w:rFonts w:hint="eastAsia"/>
          <w:sz w:val="28"/>
          <w:szCs w:val="28"/>
        </w:rPr>
        <w:t>分为重度，＜</w:t>
      </w:r>
      <w:r>
        <w:rPr>
          <w:sz w:val="28"/>
          <w:szCs w:val="28"/>
        </w:rPr>
        <w:t>40</w:t>
      </w:r>
      <w:r>
        <w:rPr>
          <w:rFonts w:hint="eastAsia"/>
          <w:sz w:val="28"/>
          <w:szCs w:val="28"/>
        </w:rPr>
        <w:t>分为非常严重。疗效积分</w:t>
      </w:r>
      <w:r>
        <w:rPr>
          <w:sz w:val="28"/>
          <w:szCs w:val="28"/>
        </w:rPr>
        <w:t>=</w:t>
      </w:r>
      <w:r>
        <w:rPr>
          <w:rFonts w:hint="eastAsia"/>
          <w:sz w:val="28"/>
          <w:szCs w:val="28"/>
        </w:rPr>
        <w:t>（治疗后积分</w:t>
      </w:r>
      <w:r>
        <w:rPr>
          <w:sz w:val="28"/>
          <w:szCs w:val="28"/>
        </w:rPr>
        <w:t>-</w:t>
      </w:r>
      <w:r>
        <w:rPr>
          <w:rFonts w:hint="eastAsia"/>
          <w:sz w:val="28"/>
          <w:szCs w:val="28"/>
        </w:rPr>
        <w:t>治疗前积分）</w:t>
      </w:r>
      <w:r>
        <w:rPr>
          <w:sz w:val="28"/>
          <w:szCs w:val="28"/>
        </w:rPr>
        <w:t>/</w:t>
      </w:r>
      <w:r>
        <w:rPr>
          <w:rFonts w:hint="eastAsia"/>
          <w:sz w:val="28"/>
          <w:szCs w:val="28"/>
        </w:rPr>
        <w:t>治疗后积分</w:t>
      </w:r>
      <w:r>
        <w:rPr>
          <w:sz w:val="28"/>
          <w:szCs w:val="28"/>
        </w:rPr>
        <w:t>×100%</w:t>
      </w:r>
      <w:r>
        <w:rPr>
          <w:rFonts w:hint="eastAsia"/>
          <w:sz w:val="28"/>
          <w:szCs w:val="28"/>
        </w:rPr>
        <w:t>。疗效判定：疗效积分＞</w:t>
      </w:r>
      <w:r>
        <w:rPr>
          <w:sz w:val="28"/>
          <w:szCs w:val="28"/>
        </w:rPr>
        <w:t>65%</w:t>
      </w:r>
      <w:r>
        <w:rPr>
          <w:rFonts w:hint="eastAsia"/>
          <w:sz w:val="28"/>
          <w:szCs w:val="28"/>
        </w:rPr>
        <w:t>为基本痊愈，疗效积分</w:t>
      </w:r>
      <w:r>
        <w:rPr>
          <w:sz w:val="28"/>
          <w:szCs w:val="28"/>
        </w:rPr>
        <w:t>46</w:t>
      </w:r>
      <w:r>
        <w:rPr>
          <w:rFonts w:hint="eastAsia"/>
          <w:sz w:val="28"/>
          <w:szCs w:val="28"/>
        </w:rPr>
        <w:t>～</w:t>
      </w:r>
      <w:r>
        <w:rPr>
          <w:sz w:val="28"/>
          <w:szCs w:val="28"/>
        </w:rPr>
        <w:t>65%</w:t>
      </w:r>
      <w:r>
        <w:rPr>
          <w:rFonts w:hint="eastAsia"/>
          <w:sz w:val="28"/>
          <w:szCs w:val="28"/>
        </w:rPr>
        <w:t>为显效，疗效积分</w:t>
      </w:r>
      <w:r>
        <w:rPr>
          <w:sz w:val="28"/>
          <w:szCs w:val="28"/>
        </w:rPr>
        <w:t>25</w:t>
      </w:r>
      <w:r>
        <w:rPr>
          <w:rFonts w:hint="eastAsia"/>
          <w:sz w:val="28"/>
          <w:szCs w:val="28"/>
        </w:rPr>
        <w:t>～</w:t>
      </w:r>
      <w:r>
        <w:rPr>
          <w:sz w:val="28"/>
          <w:szCs w:val="28"/>
        </w:rPr>
        <w:t>45%</w:t>
      </w:r>
      <w:r>
        <w:rPr>
          <w:rFonts w:hint="eastAsia"/>
          <w:sz w:val="28"/>
          <w:szCs w:val="28"/>
        </w:rPr>
        <w:t>为有效，疗效积分＜</w:t>
      </w:r>
      <w:r>
        <w:rPr>
          <w:sz w:val="28"/>
          <w:szCs w:val="28"/>
        </w:rPr>
        <w:t>25%</w:t>
      </w:r>
      <w:r>
        <w:rPr>
          <w:rFonts w:hint="eastAsia"/>
          <w:sz w:val="28"/>
          <w:szCs w:val="28"/>
        </w:rPr>
        <w:t>为无效。临床总有效率</w:t>
      </w:r>
      <w:r>
        <w:rPr>
          <w:sz w:val="28"/>
          <w:szCs w:val="28"/>
        </w:rPr>
        <w:t>=</w:t>
      </w:r>
      <w:r>
        <w:rPr>
          <w:rFonts w:hint="eastAsia"/>
          <w:sz w:val="28"/>
          <w:szCs w:val="28"/>
        </w:rPr>
        <w:t>基本痊愈率</w:t>
      </w:r>
      <w:r>
        <w:rPr>
          <w:sz w:val="28"/>
          <w:szCs w:val="28"/>
        </w:rPr>
        <w:t>+</w:t>
      </w:r>
      <w:r>
        <w:rPr>
          <w:rFonts w:hint="eastAsia"/>
          <w:sz w:val="28"/>
          <w:szCs w:val="28"/>
        </w:rPr>
        <w:t>显效率</w:t>
      </w:r>
      <w:r>
        <w:rPr>
          <w:sz w:val="28"/>
          <w:szCs w:val="28"/>
        </w:rPr>
        <w:t>+</w:t>
      </w:r>
      <w:r>
        <w:rPr>
          <w:rFonts w:hint="eastAsia"/>
          <w:sz w:val="28"/>
          <w:szCs w:val="28"/>
        </w:rPr>
        <w:t>有效率</w:t>
      </w:r>
      <w:r>
        <w:rPr>
          <w:sz w:val="28"/>
          <w:szCs w:val="28"/>
          <w:vertAlign w:val="superscript"/>
        </w:rPr>
        <w:t>[2]</w:t>
      </w:r>
      <w:r>
        <w:rPr>
          <w:rFonts w:hint="eastAsia"/>
          <w:sz w:val="28"/>
          <w:szCs w:val="28"/>
        </w:rPr>
        <w:t>。</w:t>
      </w:r>
    </w:p>
    <w:p w:rsidR="0003187B" w:rsidRDefault="0003187B" w:rsidP="0003187B">
      <w:pPr>
        <w:rPr>
          <w:sz w:val="28"/>
          <w:szCs w:val="28"/>
        </w:rPr>
      </w:pPr>
      <w:r>
        <w:rPr>
          <w:sz w:val="28"/>
          <w:szCs w:val="28"/>
        </w:rPr>
        <w:t xml:space="preserve">1.5 </w:t>
      </w:r>
      <w:r>
        <w:rPr>
          <w:rFonts w:hint="eastAsia"/>
          <w:sz w:val="28"/>
          <w:szCs w:val="28"/>
        </w:rPr>
        <w:t>统计学方法</w:t>
      </w:r>
    </w:p>
    <w:p w:rsidR="0003187B" w:rsidRDefault="0003187B" w:rsidP="0003187B">
      <w:pPr>
        <w:ind w:firstLineChars="200" w:firstLine="560"/>
        <w:rPr>
          <w:sz w:val="28"/>
          <w:szCs w:val="28"/>
        </w:rPr>
      </w:pPr>
      <w:r>
        <w:rPr>
          <w:rFonts w:hint="eastAsia"/>
          <w:sz w:val="28"/>
          <w:szCs w:val="28"/>
        </w:rPr>
        <w:t>运用</w:t>
      </w:r>
      <w:r>
        <w:rPr>
          <w:sz w:val="28"/>
          <w:szCs w:val="28"/>
        </w:rPr>
        <w:t>excel</w:t>
      </w:r>
      <w:r>
        <w:rPr>
          <w:rFonts w:hint="eastAsia"/>
          <w:sz w:val="28"/>
          <w:szCs w:val="28"/>
        </w:rPr>
        <w:t>中的统计函数对两组患者观察数据进行统计处理，用百分率表示计数资料，即临床总有效率、护理满意度，并对数据实施卡方检验，如果比较结果</w:t>
      </w:r>
      <w:r>
        <w:rPr>
          <w:sz w:val="28"/>
          <w:szCs w:val="28"/>
        </w:rPr>
        <w:t>P</w:t>
      </w:r>
      <w:r>
        <w:rPr>
          <w:rFonts w:hint="eastAsia"/>
          <w:sz w:val="28"/>
          <w:szCs w:val="28"/>
        </w:rPr>
        <w:t>＜</w:t>
      </w:r>
      <w:r>
        <w:rPr>
          <w:sz w:val="28"/>
          <w:szCs w:val="28"/>
        </w:rPr>
        <w:t>0.05</w:t>
      </w:r>
      <w:r>
        <w:rPr>
          <w:rFonts w:hint="eastAsia"/>
          <w:sz w:val="28"/>
          <w:szCs w:val="28"/>
        </w:rPr>
        <w:t>，说明两组具有显著性差异。</w:t>
      </w:r>
    </w:p>
    <w:p w:rsidR="0003187B" w:rsidRDefault="0003187B" w:rsidP="0003187B">
      <w:pPr>
        <w:rPr>
          <w:sz w:val="28"/>
          <w:szCs w:val="28"/>
        </w:rPr>
      </w:pPr>
      <w:r>
        <w:rPr>
          <w:sz w:val="28"/>
          <w:szCs w:val="28"/>
        </w:rPr>
        <w:t>2.</w:t>
      </w:r>
      <w:r>
        <w:rPr>
          <w:rFonts w:hint="eastAsia"/>
          <w:sz w:val="28"/>
          <w:szCs w:val="28"/>
        </w:rPr>
        <w:t>结果</w:t>
      </w:r>
    </w:p>
    <w:p w:rsidR="0003187B" w:rsidRDefault="0003187B" w:rsidP="0003187B">
      <w:pPr>
        <w:rPr>
          <w:sz w:val="28"/>
          <w:szCs w:val="28"/>
        </w:rPr>
      </w:pPr>
      <w:r>
        <w:rPr>
          <w:sz w:val="28"/>
          <w:szCs w:val="28"/>
        </w:rPr>
        <w:t xml:space="preserve">2.1 </w:t>
      </w:r>
      <w:r>
        <w:rPr>
          <w:rFonts w:hint="eastAsia"/>
          <w:sz w:val="28"/>
          <w:szCs w:val="28"/>
        </w:rPr>
        <w:t>比较两组患者的临床疗效</w:t>
      </w:r>
    </w:p>
    <w:p w:rsidR="0003187B" w:rsidRDefault="0003187B" w:rsidP="0003187B">
      <w:pPr>
        <w:ind w:firstLineChars="200" w:firstLine="560"/>
        <w:rPr>
          <w:sz w:val="28"/>
          <w:szCs w:val="28"/>
        </w:rPr>
      </w:pPr>
      <w:r>
        <w:rPr>
          <w:rFonts w:hint="eastAsia"/>
          <w:sz w:val="28"/>
          <w:szCs w:val="28"/>
        </w:rPr>
        <w:t>在临床疗效方面，循证组患者总有效率高于常规组患者，数据分别为</w:t>
      </w:r>
      <w:r>
        <w:rPr>
          <w:sz w:val="28"/>
          <w:szCs w:val="28"/>
        </w:rPr>
        <w:t>95%</w:t>
      </w:r>
      <w:r>
        <w:rPr>
          <w:rFonts w:hint="eastAsia"/>
          <w:sz w:val="28"/>
          <w:szCs w:val="28"/>
        </w:rPr>
        <w:t>、</w:t>
      </w:r>
      <w:r>
        <w:rPr>
          <w:sz w:val="28"/>
          <w:szCs w:val="28"/>
        </w:rPr>
        <w:t>80%</w:t>
      </w:r>
      <w:r>
        <w:rPr>
          <w:rFonts w:hint="eastAsia"/>
          <w:sz w:val="28"/>
          <w:szCs w:val="28"/>
        </w:rPr>
        <w:t>，对比具有显著性差异（</w:t>
      </w:r>
      <w:r>
        <w:rPr>
          <w:sz w:val="28"/>
          <w:szCs w:val="28"/>
        </w:rPr>
        <w:t>P</w:t>
      </w:r>
      <w:r>
        <w:rPr>
          <w:rFonts w:hint="eastAsia"/>
          <w:sz w:val="28"/>
          <w:szCs w:val="28"/>
        </w:rPr>
        <w:t>＜</w:t>
      </w:r>
      <w:r>
        <w:rPr>
          <w:sz w:val="28"/>
          <w:szCs w:val="28"/>
        </w:rPr>
        <w:t>0.05</w:t>
      </w:r>
      <w:r>
        <w:rPr>
          <w:rFonts w:hint="eastAsia"/>
          <w:sz w:val="28"/>
          <w:szCs w:val="28"/>
        </w:rPr>
        <w:t>），数据详见表</w:t>
      </w:r>
      <w:r>
        <w:rPr>
          <w:sz w:val="28"/>
          <w:szCs w:val="28"/>
        </w:rPr>
        <w:t>1</w:t>
      </w:r>
      <w:r>
        <w:rPr>
          <w:rFonts w:hint="eastAsia"/>
          <w:sz w:val="28"/>
          <w:szCs w:val="28"/>
        </w:rPr>
        <w:t>。</w:t>
      </w:r>
    </w:p>
    <w:p w:rsidR="0003187B" w:rsidRDefault="0003187B" w:rsidP="0003187B">
      <w:pPr>
        <w:rPr>
          <w:sz w:val="28"/>
          <w:szCs w:val="28"/>
        </w:rPr>
      </w:pPr>
    </w:p>
    <w:p w:rsidR="0003187B" w:rsidRDefault="0003187B" w:rsidP="0003187B">
      <w:pPr>
        <w:rPr>
          <w:sz w:val="24"/>
        </w:rPr>
      </w:pPr>
      <w:r>
        <w:rPr>
          <w:rFonts w:hint="eastAsia"/>
          <w:sz w:val="24"/>
        </w:rPr>
        <w:lastRenderedPageBreak/>
        <w:t>表</w:t>
      </w:r>
      <w:r>
        <w:rPr>
          <w:sz w:val="24"/>
        </w:rPr>
        <w:t xml:space="preserve">1  </w:t>
      </w:r>
      <w:r>
        <w:rPr>
          <w:rFonts w:hint="eastAsia"/>
          <w:sz w:val="24"/>
        </w:rPr>
        <w:t>比较两组患者的临床疗效</w:t>
      </w:r>
      <w:r>
        <w:rPr>
          <w:sz w:val="24"/>
        </w:rPr>
        <w:t>[n</w:t>
      </w:r>
      <w:r>
        <w:rPr>
          <w:rFonts w:hint="eastAsia"/>
          <w:sz w:val="24"/>
        </w:rPr>
        <w:t>（</w:t>
      </w:r>
      <w:r>
        <w:rPr>
          <w:sz w:val="24"/>
        </w:rPr>
        <w:t>%</w:t>
      </w:r>
      <w:r>
        <w:rPr>
          <w:rFonts w:hint="eastAsia"/>
          <w:sz w:val="24"/>
        </w:rPr>
        <w:t>）</w:t>
      </w:r>
      <w:r>
        <w:rPr>
          <w:sz w:val="24"/>
        </w:rPr>
        <w:t>]</w:t>
      </w:r>
    </w:p>
    <w:tbl>
      <w:tblPr>
        <w:tblW w:w="0" w:type="auto"/>
        <w:tblBorders>
          <w:top w:val="single" w:sz="4" w:space="0" w:color="auto"/>
          <w:left w:val="single" w:sz="4" w:space="0" w:color="auto"/>
          <w:bottom w:val="single" w:sz="4" w:space="0" w:color="auto"/>
          <w:right w:val="single" w:sz="4" w:space="0" w:color="auto"/>
          <w:insideV w:val="single" w:sz="4" w:space="0" w:color="auto"/>
        </w:tblBorders>
        <w:tblLook w:val="04A0" w:firstRow="1" w:lastRow="0" w:firstColumn="1" w:lastColumn="0" w:noHBand="0" w:noVBand="1"/>
      </w:tblPr>
      <w:tblGrid>
        <w:gridCol w:w="3012"/>
        <w:gridCol w:w="1710"/>
        <w:gridCol w:w="1365"/>
        <w:gridCol w:w="1095"/>
        <w:gridCol w:w="1340"/>
      </w:tblGrid>
      <w:tr w:rsidR="0003187B" w:rsidTr="0003187B">
        <w:trPr>
          <w:trHeight w:val="659"/>
        </w:trPr>
        <w:tc>
          <w:tcPr>
            <w:tcW w:w="3012" w:type="dxa"/>
            <w:tcBorders>
              <w:top w:val="single" w:sz="4" w:space="0" w:color="auto"/>
              <w:left w:val="nil"/>
              <w:bottom w:val="single" w:sz="4" w:space="0" w:color="auto"/>
              <w:right w:val="nil"/>
            </w:tcBorders>
            <w:hideMark/>
          </w:tcPr>
          <w:p w:rsidR="0003187B" w:rsidRDefault="0003187B">
            <w:pPr>
              <w:rPr>
                <w:sz w:val="24"/>
              </w:rPr>
            </w:pPr>
            <w:r>
              <w:rPr>
                <w:rFonts w:hint="eastAsia"/>
                <w:sz w:val="24"/>
              </w:rPr>
              <w:t>组别</w:t>
            </w:r>
          </w:p>
        </w:tc>
        <w:tc>
          <w:tcPr>
            <w:tcW w:w="1710" w:type="dxa"/>
            <w:tcBorders>
              <w:top w:val="single" w:sz="4" w:space="0" w:color="auto"/>
              <w:left w:val="nil"/>
              <w:bottom w:val="single" w:sz="4" w:space="0" w:color="auto"/>
              <w:right w:val="nil"/>
            </w:tcBorders>
            <w:hideMark/>
          </w:tcPr>
          <w:p w:rsidR="0003187B" w:rsidRDefault="0003187B">
            <w:pPr>
              <w:rPr>
                <w:sz w:val="24"/>
              </w:rPr>
            </w:pPr>
            <w:r>
              <w:rPr>
                <w:rFonts w:hint="eastAsia"/>
                <w:sz w:val="24"/>
              </w:rPr>
              <w:t>基本治愈</w:t>
            </w:r>
          </w:p>
        </w:tc>
        <w:tc>
          <w:tcPr>
            <w:tcW w:w="1365" w:type="dxa"/>
            <w:tcBorders>
              <w:top w:val="single" w:sz="4" w:space="0" w:color="auto"/>
              <w:left w:val="nil"/>
              <w:bottom w:val="single" w:sz="4" w:space="0" w:color="auto"/>
              <w:right w:val="nil"/>
            </w:tcBorders>
            <w:hideMark/>
          </w:tcPr>
          <w:p w:rsidR="0003187B" w:rsidRDefault="0003187B">
            <w:pPr>
              <w:rPr>
                <w:sz w:val="24"/>
              </w:rPr>
            </w:pPr>
            <w:r>
              <w:rPr>
                <w:rFonts w:hint="eastAsia"/>
                <w:sz w:val="24"/>
              </w:rPr>
              <w:t>显效</w:t>
            </w:r>
          </w:p>
        </w:tc>
        <w:tc>
          <w:tcPr>
            <w:tcW w:w="1095" w:type="dxa"/>
            <w:tcBorders>
              <w:top w:val="single" w:sz="4" w:space="0" w:color="auto"/>
              <w:left w:val="nil"/>
              <w:bottom w:val="single" w:sz="4" w:space="0" w:color="auto"/>
              <w:right w:val="nil"/>
            </w:tcBorders>
            <w:hideMark/>
          </w:tcPr>
          <w:p w:rsidR="0003187B" w:rsidRDefault="0003187B">
            <w:pPr>
              <w:rPr>
                <w:sz w:val="24"/>
              </w:rPr>
            </w:pPr>
            <w:r>
              <w:rPr>
                <w:rFonts w:hint="eastAsia"/>
                <w:sz w:val="24"/>
              </w:rPr>
              <w:t>无效</w:t>
            </w:r>
          </w:p>
        </w:tc>
        <w:tc>
          <w:tcPr>
            <w:tcW w:w="1340" w:type="dxa"/>
            <w:tcBorders>
              <w:top w:val="single" w:sz="4" w:space="0" w:color="auto"/>
              <w:left w:val="nil"/>
              <w:bottom w:val="single" w:sz="4" w:space="0" w:color="auto"/>
              <w:right w:val="nil"/>
            </w:tcBorders>
            <w:hideMark/>
          </w:tcPr>
          <w:p w:rsidR="0003187B" w:rsidRDefault="0003187B">
            <w:pPr>
              <w:rPr>
                <w:sz w:val="24"/>
              </w:rPr>
            </w:pPr>
            <w:r>
              <w:rPr>
                <w:rFonts w:hint="eastAsia"/>
                <w:sz w:val="24"/>
              </w:rPr>
              <w:t>总有效率</w:t>
            </w:r>
          </w:p>
        </w:tc>
      </w:tr>
      <w:tr w:rsidR="0003187B" w:rsidTr="0003187B">
        <w:tc>
          <w:tcPr>
            <w:tcW w:w="3012" w:type="dxa"/>
            <w:tcBorders>
              <w:top w:val="single" w:sz="4" w:space="0" w:color="auto"/>
              <w:left w:val="nil"/>
              <w:bottom w:val="nil"/>
              <w:right w:val="nil"/>
            </w:tcBorders>
            <w:hideMark/>
          </w:tcPr>
          <w:p w:rsidR="0003187B" w:rsidRDefault="0003187B">
            <w:pPr>
              <w:rPr>
                <w:sz w:val="24"/>
              </w:rPr>
            </w:pPr>
            <w:r>
              <w:rPr>
                <w:rFonts w:hint="eastAsia"/>
                <w:sz w:val="24"/>
              </w:rPr>
              <w:t>循证组（</w:t>
            </w:r>
            <w:r>
              <w:rPr>
                <w:sz w:val="24"/>
              </w:rPr>
              <w:t>n=20</w:t>
            </w:r>
            <w:r>
              <w:rPr>
                <w:rFonts w:hint="eastAsia"/>
                <w:sz w:val="24"/>
              </w:rPr>
              <w:t>）</w:t>
            </w:r>
          </w:p>
        </w:tc>
        <w:tc>
          <w:tcPr>
            <w:tcW w:w="1710" w:type="dxa"/>
            <w:tcBorders>
              <w:top w:val="single" w:sz="4" w:space="0" w:color="auto"/>
              <w:left w:val="nil"/>
              <w:bottom w:val="nil"/>
              <w:right w:val="nil"/>
            </w:tcBorders>
            <w:hideMark/>
          </w:tcPr>
          <w:p w:rsidR="0003187B" w:rsidRDefault="0003187B">
            <w:pPr>
              <w:rPr>
                <w:sz w:val="24"/>
              </w:rPr>
            </w:pPr>
            <w:r>
              <w:rPr>
                <w:sz w:val="24"/>
              </w:rPr>
              <w:t>3(15)</w:t>
            </w:r>
          </w:p>
        </w:tc>
        <w:tc>
          <w:tcPr>
            <w:tcW w:w="1365" w:type="dxa"/>
            <w:tcBorders>
              <w:top w:val="single" w:sz="4" w:space="0" w:color="auto"/>
              <w:left w:val="nil"/>
              <w:bottom w:val="nil"/>
              <w:right w:val="nil"/>
            </w:tcBorders>
            <w:hideMark/>
          </w:tcPr>
          <w:p w:rsidR="0003187B" w:rsidRDefault="0003187B">
            <w:pPr>
              <w:rPr>
                <w:sz w:val="24"/>
              </w:rPr>
            </w:pPr>
            <w:r>
              <w:rPr>
                <w:sz w:val="24"/>
              </w:rPr>
              <w:t>16(80)</w:t>
            </w:r>
          </w:p>
        </w:tc>
        <w:tc>
          <w:tcPr>
            <w:tcW w:w="1095" w:type="dxa"/>
            <w:tcBorders>
              <w:top w:val="single" w:sz="4" w:space="0" w:color="auto"/>
              <w:left w:val="nil"/>
              <w:bottom w:val="nil"/>
              <w:right w:val="nil"/>
            </w:tcBorders>
            <w:hideMark/>
          </w:tcPr>
          <w:p w:rsidR="0003187B" w:rsidRDefault="0003187B">
            <w:pPr>
              <w:rPr>
                <w:sz w:val="24"/>
              </w:rPr>
            </w:pPr>
            <w:r>
              <w:rPr>
                <w:sz w:val="24"/>
              </w:rPr>
              <w:t>1(5)</w:t>
            </w:r>
          </w:p>
        </w:tc>
        <w:tc>
          <w:tcPr>
            <w:tcW w:w="1340" w:type="dxa"/>
            <w:tcBorders>
              <w:top w:val="single" w:sz="4" w:space="0" w:color="auto"/>
              <w:left w:val="nil"/>
              <w:bottom w:val="nil"/>
              <w:right w:val="nil"/>
            </w:tcBorders>
            <w:hideMark/>
          </w:tcPr>
          <w:p w:rsidR="0003187B" w:rsidRDefault="0003187B">
            <w:pPr>
              <w:rPr>
                <w:sz w:val="24"/>
              </w:rPr>
            </w:pPr>
            <w:r>
              <w:rPr>
                <w:sz w:val="24"/>
              </w:rPr>
              <w:t>19(95)</w:t>
            </w:r>
          </w:p>
        </w:tc>
      </w:tr>
      <w:tr w:rsidR="0003187B" w:rsidTr="0003187B">
        <w:tc>
          <w:tcPr>
            <w:tcW w:w="3012" w:type="dxa"/>
            <w:tcBorders>
              <w:top w:val="nil"/>
              <w:left w:val="nil"/>
              <w:bottom w:val="nil"/>
              <w:right w:val="nil"/>
            </w:tcBorders>
            <w:hideMark/>
          </w:tcPr>
          <w:p w:rsidR="0003187B" w:rsidRDefault="0003187B">
            <w:pPr>
              <w:rPr>
                <w:sz w:val="24"/>
              </w:rPr>
            </w:pPr>
            <w:r>
              <w:rPr>
                <w:rFonts w:hint="eastAsia"/>
                <w:sz w:val="24"/>
              </w:rPr>
              <w:t>常规组（</w:t>
            </w:r>
            <w:r>
              <w:rPr>
                <w:sz w:val="24"/>
              </w:rPr>
              <w:t>n=20</w:t>
            </w:r>
            <w:r>
              <w:rPr>
                <w:rFonts w:hint="eastAsia"/>
                <w:sz w:val="24"/>
              </w:rPr>
              <w:t>）</w:t>
            </w:r>
          </w:p>
        </w:tc>
        <w:tc>
          <w:tcPr>
            <w:tcW w:w="1710" w:type="dxa"/>
            <w:tcBorders>
              <w:top w:val="nil"/>
              <w:left w:val="nil"/>
              <w:bottom w:val="nil"/>
              <w:right w:val="nil"/>
            </w:tcBorders>
            <w:hideMark/>
          </w:tcPr>
          <w:p w:rsidR="0003187B" w:rsidRDefault="0003187B">
            <w:pPr>
              <w:rPr>
                <w:sz w:val="24"/>
              </w:rPr>
            </w:pPr>
            <w:r>
              <w:rPr>
                <w:sz w:val="24"/>
              </w:rPr>
              <w:t>1(5)</w:t>
            </w:r>
          </w:p>
        </w:tc>
        <w:tc>
          <w:tcPr>
            <w:tcW w:w="1365" w:type="dxa"/>
            <w:tcBorders>
              <w:top w:val="nil"/>
              <w:left w:val="nil"/>
              <w:bottom w:val="nil"/>
              <w:right w:val="nil"/>
            </w:tcBorders>
            <w:hideMark/>
          </w:tcPr>
          <w:p w:rsidR="0003187B" w:rsidRDefault="0003187B">
            <w:pPr>
              <w:rPr>
                <w:sz w:val="24"/>
              </w:rPr>
            </w:pPr>
            <w:r>
              <w:rPr>
                <w:sz w:val="24"/>
              </w:rPr>
              <w:t>15(75)</w:t>
            </w:r>
          </w:p>
        </w:tc>
        <w:tc>
          <w:tcPr>
            <w:tcW w:w="1095" w:type="dxa"/>
            <w:tcBorders>
              <w:top w:val="nil"/>
              <w:left w:val="nil"/>
              <w:bottom w:val="nil"/>
              <w:right w:val="nil"/>
            </w:tcBorders>
            <w:hideMark/>
          </w:tcPr>
          <w:p w:rsidR="0003187B" w:rsidRDefault="0003187B">
            <w:pPr>
              <w:rPr>
                <w:sz w:val="24"/>
              </w:rPr>
            </w:pPr>
            <w:r>
              <w:rPr>
                <w:sz w:val="24"/>
              </w:rPr>
              <w:t>4(20)</w:t>
            </w:r>
          </w:p>
        </w:tc>
        <w:tc>
          <w:tcPr>
            <w:tcW w:w="1340" w:type="dxa"/>
            <w:tcBorders>
              <w:top w:val="nil"/>
              <w:left w:val="nil"/>
              <w:bottom w:val="nil"/>
              <w:right w:val="nil"/>
            </w:tcBorders>
            <w:hideMark/>
          </w:tcPr>
          <w:p w:rsidR="0003187B" w:rsidRDefault="0003187B">
            <w:pPr>
              <w:rPr>
                <w:sz w:val="24"/>
              </w:rPr>
            </w:pPr>
            <w:r>
              <w:rPr>
                <w:sz w:val="24"/>
              </w:rPr>
              <w:t>16(80)</w:t>
            </w:r>
          </w:p>
        </w:tc>
      </w:tr>
      <w:tr w:rsidR="0003187B" w:rsidTr="0003187B">
        <w:trPr>
          <w:trHeight w:val="579"/>
        </w:trPr>
        <w:tc>
          <w:tcPr>
            <w:tcW w:w="3012" w:type="dxa"/>
            <w:tcBorders>
              <w:top w:val="nil"/>
              <w:left w:val="nil"/>
              <w:bottom w:val="nil"/>
              <w:right w:val="nil"/>
            </w:tcBorders>
            <w:hideMark/>
          </w:tcPr>
          <w:p w:rsidR="0003187B" w:rsidRDefault="0003187B">
            <w:pPr>
              <w:rPr>
                <w:sz w:val="24"/>
              </w:rPr>
            </w:pPr>
            <w:r>
              <w:rPr>
                <w:sz w:val="24"/>
              </w:rPr>
              <w:t>X</w:t>
            </w:r>
            <w:r>
              <w:rPr>
                <w:sz w:val="24"/>
                <w:vertAlign w:val="superscript"/>
              </w:rPr>
              <w:t>2</w:t>
            </w:r>
          </w:p>
        </w:tc>
        <w:tc>
          <w:tcPr>
            <w:tcW w:w="1710" w:type="dxa"/>
            <w:tcBorders>
              <w:top w:val="nil"/>
              <w:left w:val="nil"/>
              <w:bottom w:val="nil"/>
              <w:right w:val="nil"/>
            </w:tcBorders>
          </w:tcPr>
          <w:p w:rsidR="0003187B" w:rsidRDefault="0003187B">
            <w:pPr>
              <w:rPr>
                <w:sz w:val="24"/>
              </w:rPr>
            </w:pPr>
          </w:p>
        </w:tc>
        <w:tc>
          <w:tcPr>
            <w:tcW w:w="1365" w:type="dxa"/>
            <w:tcBorders>
              <w:top w:val="nil"/>
              <w:left w:val="nil"/>
              <w:bottom w:val="nil"/>
              <w:right w:val="nil"/>
            </w:tcBorders>
          </w:tcPr>
          <w:p w:rsidR="0003187B" w:rsidRDefault="0003187B">
            <w:pPr>
              <w:rPr>
                <w:sz w:val="24"/>
              </w:rPr>
            </w:pPr>
          </w:p>
        </w:tc>
        <w:tc>
          <w:tcPr>
            <w:tcW w:w="1095" w:type="dxa"/>
            <w:tcBorders>
              <w:top w:val="nil"/>
              <w:left w:val="nil"/>
              <w:bottom w:val="nil"/>
              <w:right w:val="nil"/>
            </w:tcBorders>
          </w:tcPr>
          <w:p w:rsidR="0003187B" w:rsidRDefault="0003187B">
            <w:pPr>
              <w:rPr>
                <w:sz w:val="24"/>
              </w:rPr>
            </w:pPr>
          </w:p>
        </w:tc>
        <w:tc>
          <w:tcPr>
            <w:tcW w:w="1340" w:type="dxa"/>
            <w:tcBorders>
              <w:top w:val="nil"/>
              <w:left w:val="nil"/>
              <w:bottom w:val="nil"/>
              <w:right w:val="nil"/>
            </w:tcBorders>
            <w:hideMark/>
          </w:tcPr>
          <w:p w:rsidR="0003187B" w:rsidRDefault="0003187B">
            <w:pPr>
              <w:rPr>
                <w:sz w:val="24"/>
              </w:rPr>
            </w:pPr>
            <w:r>
              <w:rPr>
                <w:sz w:val="24"/>
              </w:rPr>
              <w:t>8.043</w:t>
            </w:r>
          </w:p>
        </w:tc>
      </w:tr>
      <w:tr w:rsidR="0003187B" w:rsidTr="0003187B">
        <w:tc>
          <w:tcPr>
            <w:tcW w:w="3012" w:type="dxa"/>
            <w:tcBorders>
              <w:top w:val="nil"/>
              <w:left w:val="nil"/>
              <w:bottom w:val="single" w:sz="4" w:space="0" w:color="auto"/>
              <w:right w:val="nil"/>
            </w:tcBorders>
            <w:hideMark/>
          </w:tcPr>
          <w:p w:rsidR="0003187B" w:rsidRDefault="0003187B">
            <w:pPr>
              <w:rPr>
                <w:sz w:val="24"/>
              </w:rPr>
            </w:pPr>
            <w:r>
              <w:rPr>
                <w:sz w:val="24"/>
              </w:rPr>
              <w:t>p</w:t>
            </w:r>
          </w:p>
        </w:tc>
        <w:tc>
          <w:tcPr>
            <w:tcW w:w="1710" w:type="dxa"/>
            <w:tcBorders>
              <w:top w:val="nil"/>
              <w:left w:val="nil"/>
              <w:bottom w:val="single" w:sz="4" w:space="0" w:color="auto"/>
              <w:right w:val="nil"/>
            </w:tcBorders>
          </w:tcPr>
          <w:p w:rsidR="0003187B" w:rsidRDefault="0003187B">
            <w:pPr>
              <w:rPr>
                <w:sz w:val="24"/>
              </w:rPr>
            </w:pPr>
          </w:p>
        </w:tc>
        <w:tc>
          <w:tcPr>
            <w:tcW w:w="1365" w:type="dxa"/>
            <w:tcBorders>
              <w:top w:val="nil"/>
              <w:left w:val="nil"/>
              <w:bottom w:val="single" w:sz="4" w:space="0" w:color="auto"/>
              <w:right w:val="nil"/>
            </w:tcBorders>
          </w:tcPr>
          <w:p w:rsidR="0003187B" w:rsidRDefault="0003187B">
            <w:pPr>
              <w:rPr>
                <w:sz w:val="24"/>
              </w:rPr>
            </w:pPr>
          </w:p>
        </w:tc>
        <w:tc>
          <w:tcPr>
            <w:tcW w:w="1095" w:type="dxa"/>
            <w:tcBorders>
              <w:top w:val="nil"/>
              <w:left w:val="nil"/>
              <w:bottom w:val="single" w:sz="4" w:space="0" w:color="auto"/>
              <w:right w:val="nil"/>
            </w:tcBorders>
          </w:tcPr>
          <w:p w:rsidR="0003187B" w:rsidRDefault="0003187B">
            <w:pPr>
              <w:rPr>
                <w:sz w:val="24"/>
              </w:rPr>
            </w:pPr>
          </w:p>
        </w:tc>
        <w:tc>
          <w:tcPr>
            <w:tcW w:w="1340" w:type="dxa"/>
            <w:tcBorders>
              <w:top w:val="nil"/>
              <w:left w:val="nil"/>
              <w:bottom w:val="single" w:sz="4" w:space="0" w:color="auto"/>
              <w:right w:val="nil"/>
            </w:tcBorders>
            <w:hideMark/>
          </w:tcPr>
          <w:p w:rsidR="0003187B" w:rsidRDefault="0003187B">
            <w:pPr>
              <w:rPr>
                <w:sz w:val="24"/>
              </w:rPr>
            </w:pPr>
            <w:r>
              <w:rPr>
                <w:sz w:val="24"/>
              </w:rPr>
              <w:t>0.0047</w:t>
            </w:r>
          </w:p>
        </w:tc>
      </w:tr>
    </w:tbl>
    <w:p w:rsidR="0003187B" w:rsidRDefault="0003187B" w:rsidP="0003187B">
      <w:pPr>
        <w:rPr>
          <w:sz w:val="24"/>
        </w:rPr>
      </w:pPr>
    </w:p>
    <w:p w:rsidR="0003187B" w:rsidRDefault="0003187B" w:rsidP="0003187B">
      <w:pPr>
        <w:rPr>
          <w:sz w:val="28"/>
          <w:szCs w:val="28"/>
        </w:rPr>
      </w:pPr>
      <w:r>
        <w:rPr>
          <w:sz w:val="28"/>
          <w:szCs w:val="28"/>
        </w:rPr>
        <w:t xml:space="preserve">2.2 </w:t>
      </w:r>
      <w:r>
        <w:rPr>
          <w:rFonts w:hint="eastAsia"/>
          <w:sz w:val="28"/>
          <w:szCs w:val="28"/>
        </w:rPr>
        <w:t>比较两组患者的护理满意度</w:t>
      </w:r>
    </w:p>
    <w:p w:rsidR="0003187B" w:rsidRDefault="0003187B" w:rsidP="0003187B">
      <w:pPr>
        <w:jc w:val="left"/>
        <w:rPr>
          <w:sz w:val="28"/>
          <w:szCs w:val="28"/>
        </w:rPr>
      </w:pPr>
      <w:r>
        <w:rPr>
          <w:rFonts w:hint="eastAsia"/>
          <w:sz w:val="28"/>
          <w:szCs w:val="28"/>
        </w:rPr>
        <w:t>循证组高于常规组，数据分别为</w:t>
      </w:r>
      <w:r>
        <w:rPr>
          <w:sz w:val="28"/>
          <w:szCs w:val="28"/>
        </w:rPr>
        <w:t>95</w:t>
      </w:r>
      <w:r>
        <w:rPr>
          <w:rFonts w:ascii="宋体" w:hAnsi="宋体" w:cs="宋体" w:hint="eastAsia"/>
          <w:sz w:val="28"/>
          <w:szCs w:val="28"/>
        </w:rPr>
        <w:t>％，</w:t>
      </w:r>
      <w:r>
        <w:rPr>
          <w:sz w:val="28"/>
          <w:szCs w:val="28"/>
        </w:rPr>
        <w:t>80</w:t>
      </w:r>
      <w:r>
        <w:rPr>
          <w:rFonts w:ascii="宋体" w:hAnsi="宋体" w:cs="宋体" w:hint="eastAsia"/>
          <w:sz w:val="28"/>
          <w:szCs w:val="28"/>
        </w:rPr>
        <w:t>％</w:t>
      </w:r>
      <w:r>
        <w:rPr>
          <w:rFonts w:hint="eastAsia"/>
          <w:sz w:val="28"/>
          <w:szCs w:val="28"/>
        </w:rPr>
        <w:t>，对比具有显著差异（</w:t>
      </w:r>
      <w:r>
        <w:rPr>
          <w:sz w:val="28"/>
          <w:szCs w:val="28"/>
        </w:rPr>
        <w:t>p&lt;0.05</w:t>
      </w:r>
      <w:r>
        <w:rPr>
          <w:rFonts w:hint="eastAsia"/>
          <w:sz w:val="28"/>
          <w:szCs w:val="28"/>
        </w:rPr>
        <w:t>），数据详见表</w:t>
      </w:r>
      <w:r>
        <w:rPr>
          <w:sz w:val="28"/>
          <w:szCs w:val="28"/>
        </w:rPr>
        <w:t>2</w:t>
      </w:r>
      <w:r>
        <w:rPr>
          <w:rFonts w:hint="eastAsia"/>
          <w:sz w:val="28"/>
          <w:szCs w:val="28"/>
        </w:rPr>
        <w:t>。</w:t>
      </w:r>
    </w:p>
    <w:p w:rsidR="0003187B" w:rsidRDefault="0003187B" w:rsidP="0003187B">
      <w:pPr>
        <w:rPr>
          <w:sz w:val="24"/>
        </w:rPr>
      </w:pPr>
      <w:r>
        <w:rPr>
          <w:rFonts w:hint="eastAsia"/>
          <w:sz w:val="24"/>
        </w:rPr>
        <w:t>表</w:t>
      </w:r>
      <w:r>
        <w:rPr>
          <w:sz w:val="24"/>
        </w:rPr>
        <w:t>2</w:t>
      </w:r>
      <w:r>
        <w:rPr>
          <w:rFonts w:hint="eastAsia"/>
          <w:sz w:val="24"/>
        </w:rPr>
        <w:t>比较两组患者的护理满意度</w:t>
      </w:r>
      <w:r>
        <w:rPr>
          <w:sz w:val="24"/>
        </w:rPr>
        <w:t>[n</w:t>
      </w:r>
      <w:r>
        <w:rPr>
          <w:rFonts w:hint="eastAsia"/>
          <w:sz w:val="24"/>
        </w:rPr>
        <w:t>（</w:t>
      </w:r>
      <w:r>
        <w:rPr>
          <w:sz w:val="24"/>
        </w:rPr>
        <w:t>%</w:t>
      </w:r>
      <w:r>
        <w:rPr>
          <w:rFonts w:hint="eastAsia"/>
          <w:sz w:val="24"/>
        </w:rPr>
        <w:t>）</w:t>
      </w:r>
      <w:r>
        <w:rPr>
          <w:sz w:val="24"/>
        </w:rPr>
        <w:t>]</w:t>
      </w:r>
    </w:p>
    <w:tbl>
      <w:tblPr>
        <w:tblW w:w="0" w:type="auto"/>
        <w:tblLook w:val="04A0" w:firstRow="1" w:lastRow="0" w:firstColumn="1" w:lastColumn="0" w:noHBand="0" w:noVBand="1"/>
      </w:tblPr>
      <w:tblGrid>
        <w:gridCol w:w="2142"/>
        <w:gridCol w:w="2100"/>
        <w:gridCol w:w="1605"/>
        <w:gridCol w:w="1365"/>
        <w:gridCol w:w="1310"/>
      </w:tblGrid>
      <w:tr w:rsidR="0003187B" w:rsidTr="0003187B">
        <w:trPr>
          <w:trHeight w:val="553"/>
        </w:trPr>
        <w:tc>
          <w:tcPr>
            <w:tcW w:w="2142" w:type="dxa"/>
            <w:tcBorders>
              <w:top w:val="single" w:sz="4" w:space="0" w:color="auto"/>
              <w:left w:val="nil"/>
              <w:bottom w:val="single" w:sz="4" w:space="0" w:color="auto"/>
              <w:right w:val="nil"/>
            </w:tcBorders>
            <w:hideMark/>
          </w:tcPr>
          <w:p w:rsidR="0003187B" w:rsidRDefault="0003187B">
            <w:pPr>
              <w:rPr>
                <w:sz w:val="24"/>
              </w:rPr>
            </w:pPr>
            <w:r>
              <w:rPr>
                <w:rFonts w:hint="eastAsia"/>
                <w:sz w:val="24"/>
              </w:rPr>
              <w:t>组别</w:t>
            </w:r>
          </w:p>
        </w:tc>
        <w:tc>
          <w:tcPr>
            <w:tcW w:w="2100" w:type="dxa"/>
            <w:tcBorders>
              <w:top w:val="single" w:sz="4" w:space="0" w:color="auto"/>
              <w:left w:val="nil"/>
              <w:bottom w:val="single" w:sz="4" w:space="0" w:color="auto"/>
              <w:right w:val="nil"/>
            </w:tcBorders>
            <w:hideMark/>
          </w:tcPr>
          <w:p w:rsidR="0003187B" w:rsidRDefault="0003187B">
            <w:pPr>
              <w:rPr>
                <w:sz w:val="24"/>
              </w:rPr>
            </w:pPr>
            <w:r>
              <w:rPr>
                <w:rFonts w:hint="eastAsia"/>
                <w:sz w:val="24"/>
              </w:rPr>
              <w:t>非常满意</w:t>
            </w:r>
          </w:p>
        </w:tc>
        <w:tc>
          <w:tcPr>
            <w:tcW w:w="1605" w:type="dxa"/>
            <w:tcBorders>
              <w:top w:val="single" w:sz="4" w:space="0" w:color="auto"/>
              <w:left w:val="nil"/>
              <w:bottom w:val="single" w:sz="4" w:space="0" w:color="auto"/>
              <w:right w:val="nil"/>
            </w:tcBorders>
            <w:hideMark/>
          </w:tcPr>
          <w:p w:rsidR="0003187B" w:rsidRDefault="0003187B">
            <w:pPr>
              <w:rPr>
                <w:sz w:val="24"/>
              </w:rPr>
            </w:pPr>
            <w:r>
              <w:rPr>
                <w:rFonts w:hint="eastAsia"/>
                <w:sz w:val="24"/>
              </w:rPr>
              <w:t>一般满意</w:t>
            </w:r>
          </w:p>
        </w:tc>
        <w:tc>
          <w:tcPr>
            <w:tcW w:w="1365" w:type="dxa"/>
            <w:tcBorders>
              <w:top w:val="single" w:sz="4" w:space="0" w:color="auto"/>
              <w:left w:val="nil"/>
              <w:bottom w:val="single" w:sz="4" w:space="0" w:color="auto"/>
              <w:right w:val="nil"/>
            </w:tcBorders>
            <w:hideMark/>
          </w:tcPr>
          <w:p w:rsidR="0003187B" w:rsidRDefault="0003187B">
            <w:pPr>
              <w:rPr>
                <w:sz w:val="24"/>
              </w:rPr>
            </w:pPr>
            <w:r>
              <w:rPr>
                <w:rFonts w:hint="eastAsia"/>
                <w:sz w:val="24"/>
              </w:rPr>
              <w:t>不满意</w:t>
            </w:r>
          </w:p>
        </w:tc>
        <w:tc>
          <w:tcPr>
            <w:tcW w:w="1310" w:type="dxa"/>
            <w:tcBorders>
              <w:top w:val="single" w:sz="4" w:space="0" w:color="auto"/>
              <w:left w:val="nil"/>
              <w:bottom w:val="single" w:sz="4" w:space="0" w:color="auto"/>
              <w:right w:val="nil"/>
            </w:tcBorders>
            <w:hideMark/>
          </w:tcPr>
          <w:p w:rsidR="0003187B" w:rsidRDefault="0003187B">
            <w:pPr>
              <w:rPr>
                <w:sz w:val="24"/>
              </w:rPr>
            </w:pPr>
            <w:r>
              <w:rPr>
                <w:rFonts w:hint="eastAsia"/>
                <w:sz w:val="24"/>
              </w:rPr>
              <w:t>满意度</w:t>
            </w:r>
          </w:p>
        </w:tc>
      </w:tr>
      <w:tr w:rsidR="0003187B" w:rsidTr="0003187B">
        <w:tc>
          <w:tcPr>
            <w:tcW w:w="2142" w:type="dxa"/>
            <w:tcBorders>
              <w:top w:val="single" w:sz="4" w:space="0" w:color="auto"/>
              <w:left w:val="nil"/>
              <w:bottom w:val="nil"/>
              <w:right w:val="nil"/>
            </w:tcBorders>
            <w:hideMark/>
          </w:tcPr>
          <w:p w:rsidR="0003187B" w:rsidRDefault="0003187B">
            <w:pPr>
              <w:rPr>
                <w:sz w:val="24"/>
              </w:rPr>
            </w:pPr>
            <w:r>
              <w:rPr>
                <w:rFonts w:hint="eastAsia"/>
                <w:sz w:val="24"/>
              </w:rPr>
              <w:t>循证组（</w:t>
            </w:r>
            <w:r>
              <w:rPr>
                <w:sz w:val="24"/>
              </w:rPr>
              <w:t>n=20</w:t>
            </w:r>
            <w:r>
              <w:rPr>
                <w:rFonts w:hint="eastAsia"/>
                <w:sz w:val="24"/>
              </w:rPr>
              <w:t>）</w:t>
            </w:r>
          </w:p>
        </w:tc>
        <w:tc>
          <w:tcPr>
            <w:tcW w:w="2100" w:type="dxa"/>
            <w:tcBorders>
              <w:top w:val="single" w:sz="4" w:space="0" w:color="auto"/>
              <w:left w:val="nil"/>
              <w:bottom w:val="nil"/>
              <w:right w:val="nil"/>
            </w:tcBorders>
            <w:hideMark/>
          </w:tcPr>
          <w:p w:rsidR="0003187B" w:rsidRDefault="0003187B">
            <w:pPr>
              <w:rPr>
                <w:sz w:val="24"/>
              </w:rPr>
            </w:pPr>
            <w:r>
              <w:rPr>
                <w:sz w:val="24"/>
              </w:rPr>
              <w:t>3(15)</w:t>
            </w:r>
          </w:p>
        </w:tc>
        <w:tc>
          <w:tcPr>
            <w:tcW w:w="1605" w:type="dxa"/>
            <w:tcBorders>
              <w:top w:val="single" w:sz="4" w:space="0" w:color="auto"/>
              <w:left w:val="nil"/>
              <w:bottom w:val="nil"/>
              <w:right w:val="nil"/>
            </w:tcBorders>
            <w:hideMark/>
          </w:tcPr>
          <w:p w:rsidR="0003187B" w:rsidRDefault="0003187B">
            <w:pPr>
              <w:rPr>
                <w:sz w:val="24"/>
              </w:rPr>
            </w:pPr>
            <w:r>
              <w:rPr>
                <w:sz w:val="24"/>
              </w:rPr>
              <w:t>16(80)</w:t>
            </w:r>
          </w:p>
        </w:tc>
        <w:tc>
          <w:tcPr>
            <w:tcW w:w="1365" w:type="dxa"/>
            <w:tcBorders>
              <w:top w:val="single" w:sz="4" w:space="0" w:color="auto"/>
              <w:left w:val="nil"/>
              <w:bottom w:val="nil"/>
              <w:right w:val="nil"/>
            </w:tcBorders>
            <w:hideMark/>
          </w:tcPr>
          <w:p w:rsidR="0003187B" w:rsidRDefault="0003187B">
            <w:pPr>
              <w:rPr>
                <w:sz w:val="24"/>
              </w:rPr>
            </w:pPr>
            <w:r>
              <w:rPr>
                <w:sz w:val="24"/>
              </w:rPr>
              <w:t>1(5)</w:t>
            </w:r>
          </w:p>
        </w:tc>
        <w:tc>
          <w:tcPr>
            <w:tcW w:w="1310" w:type="dxa"/>
            <w:tcBorders>
              <w:top w:val="single" w:sz="4" w:space="0" w:color="auto"/>
              <w:left w:val="nil"/>
              <w:bottom w:val="nil"/>
              <w:right w:val="nil"/>
            </w:tcBorders>
            <w:hideMark/>
          </w:tcPr>
          <w:p w:rsidR="0003187B" w:rsidRDefault="0003187B">
            <w:pPr>
              <w:rPr>
                <w:sz w:val="24"/>
              </w:rPr>
            </w:pPr>
            <w:r>
              <w:rPr>
                <w:sz w:val="24"/>
              </w:rPr>
              <w:t>19(95)</w:t>
            </w:r>
          </w:p>
        </w:tc>
      </w:tr>
      <w:tr w:rsidR="0003187B" w:rsidTr="0003187B">
        <w:tc>
          <w:tcPr>
            <w:tcW w:w="2142" w:type="dxa"/>
            <w:hideMark/>
          </w:tcPr>
          <w:p w:rsidR="0003187B" w:rsidRDefault="0003187B">
            <w:pPr>
              <w:rPr>
                <w:sz w:val="24"/>
              </w:rPr>
            </w:pPr>
            <w:r>
              <w:rPr>
                <w:rFonts w:hint="eastAsia"/>
                <w:sz w:val="24"/>
              </w:rPr>
              <w:t>常规组（</w:t>
            </w:r>
            <w:r>
              <w:rPr>
                <w:sz w:val="24"/>
              </w:rPr>
              <w:t>n=20</w:t>
            </w:r>
            <w:r>
              <w:rPr>
                <w:rFonts w:hint="eastAsia"/>
                <w:sz w:val="24"/>
              </w:rPr>
              <w:t>）</w:t>
            </w:r>
          </w:p>
        </w:tc>
        <w:tc>
          <w:tcPr>
            <w:tcW w:w="2100" w:type="dxa"/>
            <w:hideMark/>
          </w:tcPr>
          <w:p w:rsidR="0003187B" w:rsidRDefault="0003187B">
            <w:pPr>
              <w:rPr>
                <w:sz w:val="24"/>
              </w:rPr>
            </w:pPr>
            <w:r>
              <w:rPr>
                <w:sz w:val="24"/>
              </w:rPr>
              <w:t>1(5)</w:t>
            </w:r>
          </w:p>
        </w:tc>
        <w:tc>
          <w:tcPr>
            <w:tcW w:w="1605" w:type="dxa"/>
            <w:hideMark/>
          </w:tcPr>
          <w:p w:rsidR="0003187B" w:rsidRDefault="0003187B">
            <w:pPr>
              <w:rPr>
                <w:sz w:val="24"/>
              </w:rPr>
            </w:pPr>
            <w:r>
              <w:rPr>
                <w:sz w:val="24"/>
              </w:rPr>
              <w:t>15(75)</w:t>
            </w:r>
          </w:p>
        </w:tc>
        <w:tc>
          <w:tcPr>
            <w:tcW w:w="1365" w:type="dxa"/>
            <w:hideMark/>
          </w:tcPr>
          <w:p w:rsidR="0003187B" w:rsidRDefault="0003187B">
            <w:pPr>
              <w:rPr>
                <w:sz w:val="24"/>
              </w:rPr>
            </w:pPr>
            <w:r>
              <w:rPr>
                <w:sz w:val="24"/>
              </w:rPr>
              <w:t>4(20)</w:t>
            </w:r>
          </w:p>
        </w:tc>
        <w:tc>
          <w:tcPr>
            <w:tcW w:w="1310" w:type="dxa"/>
            <w:hideMark/>
          </w:tcPr>
          <w:p w:rsidR="0003187B" w:rsidRDefault="0003187B">
            <w:pPr>
              <w:rPr>
                <w:sz w:val="24"/>
              </w:rPr>
            </w:pPr>
            <w:r>
              <w:rPr>
                <w:sz w:val="24"/>
              </w:rPr>
              <w:t>16(80)</w:t>
            </w:r>
          </w:p>
        </w:tc>
      </w:tr>
      <w:tr w:rsidR="0003187B" w:rsidTr="0003187B">
        <w:tc>
          <w:tcPr>
            <w:tcW w:w="2142" w:type="dxa"/>
            <w:hideMark/>
          </w:tcPr>
          <w:p w:rsidR="0003187B" w:rsidRDefault="0003187B">
            <w:pPr>
              <w:rPr>
                <w:sz w:val="24"/>
              </w:rPr>
            </w:pPr>
            <w:r>
              <w:rPr>
                <w:sz w:val="24"/>
              </w:rPr>
              <w:t>X</w:t>
            </w:r>
            <w:r>
              <w:rPr>
                <w:sz w:val="24"/>
                <w:vertAlign w:val="superscript"/>
              </w:rPr>
              <w:t>2</w:t>
            </w:r>
          </w:p>
        </w:tc>
        <w:tc>
          <w:tcPr>
            <w:tcW w:w="2100" w:type="dxa"/>
          </w:tcPr>
          <w:p w:rsidR="0003187B" w:rsidRDefault="0003187B">
            <w:pPr>
              <w:rPr>
                <w:sz w:val="24"/>
              </w:rPr>
            </w:pPr>
          </w:p>
        </w:tc>
        <w:tc>
          <w:tcPr>
            <w:tcW w:w="1605" w:type="dxa"/>
          </w:tcPr>
          <w:p w:rsidR="0003187B" w:rsidRDefault="0003187B">
            <w:pPr>
              <w:rPr>
                <w:sz w:val="24"/>
              </w:rPr>
            </w:pPr>
          </w:p>
        </w:tc>
        <w:tc>
          <w:tcPr>
            <w:tcW w:w="1365" w:type="dxa"/>
          </w:tcPr>
          <w:p w:rsidR="0003187B" w:rsidRDefault="0003187B">
            <w:pPr>
              <w:rPr>
                <w:sz w:val="24"/>
              </w:rPr>
            </w:pPr>
          </w:p>
        </w:tc>
        <w:tc>
          <w:tcPr>
            <w:tcW w:w="1310" w:type="dxa"/>
            <w:hideMark/>
          </w:tcPr>
          <w:p w:rsidR="0003187B" w:rsidRDefault="0003187B">
            <w:pPr>
              <w:rPr>
                <w:sz w:val="24"/>
              </w:rPr>
            </w:pPr>
            <w:r>
              <w:rPr>
                <w:sz w:val="24"/>
              </w:rPr>
              <w:t>9.167</w:t>
            </w:r>
          </w:p>
        </w:tc>
      </w:tr>
      <w:tr w:rsidR="0003187B" w:rsidTr="0003187B">
        <w:trPr>
          <w:trHeight w:val="324"/>
        </w:trPr>
        <w:tc>
          <w:tcPr>
            <w:tcW w:w="2142" w:type="dxa"/>
            <w:tcBorders>
              <w:top w:val="nil"/>
              <w:left w:val="nil"/>
              <w:bottom w:val="single" w:sz="4" w:space="0" w:color="auto"/>
              <w:right w:val="nil"/>
            </w:tcBorders>
            <w:hideMark/>
          </w:tcPr>
          <w:p w:rsidR="0003187B" w:rsidRDefault="0003187B">
            <w:pPr>
              <w:rPr>
                <w:sz w:val="24"/>
              </w:rPr>
            </w:pPr>
            <w:r>
              <w:rPr>
                <w:sz w:val="24"/>
              </w:rPr>
              <w:t>p</w:t>
            </w:r>
          </w:p>
        </w:tc>
        <w:tc>
          <w:tcPr>
            <w:tcW w:w="2100" w:type="dxa"/>
            <w:tcBorders>
              <w:top w:val="nil"/>
              <w:left w:val="nil"/>
              <w:bottom w:val="single" w:sz="4" w:space="0" w:color="auto"/>
              <w:right w:val="nil"/>
            </w:tcBorders>
          </w:tcPr>
          <w:p w:rsidR="0003187B" w:rsidRDefault="0003187B">
            <w:pPr>
              <w:rPr>
                <w:sz w:val="24"/>
              </w:rPr>
            </w:pPr>
          </w:p>
        </w:tc>
        <w:tc>
          <w:tcPr>
            <w:tcW w:w="1605" w:type="dxa"/>
            <w:tcBorders>
              <w:top w:val="nil"/>
              <w:left w:val="nil"/>
              <w:bottom w:val="single" w:sz="4" w:space="0" w:color="auto"/>
              <w:right w:val="nil"/>
            </w:tcBorders>
          </w:tcPr>
          <w:p w:rsidR="0003187B" w:rsidRDefault="0003187B">
            <w:pPr>
              <w:rPr>
                <w:sz w:val="24"/>
              </w:rPr>
            </w:pPr>
          </w:p>
        </w:tc>
        <w:tc>
          <w:tcPr>
            <w:tcW w:w="1365" w:type="dxa"/>
            <w:tcBorders>
              <w:top w:val="nil"/>
              <w:left w:val="nil"/>
              <w:bottom w:val="single" w:sz="4" w:space="0" w:color="auto"/>
              <w:right w:val="nil"/>
            </w:tcBorders>
          </w:tcPr>
          <w:p w:rsidR="0003187B" w:rsidRDefault="0003187B">
            <w:pPr>
              <w:rPr>
                <w:sz w:val="24"/>
              </w:rPr>
            </w:pPr>
          </w:p>
        </w:tc>
        <w:tc>
          <w:tcPr>
            <w:tcW w:w="1310" w:type="dxa"/>
            <w:tcBorders>
              <w:top w:val="nil"/>
              <w:left w:val="nil"/>
              <w:bottom w:val="single" w:sz="4" w:space="0" w:color="auto"/>
              <w:right w:val="nil"/>
            </w:tcBorders>
            <w:hideMark/>
          </w:tcPr>
          <w:p w:rsidR="0003187B" w:rsidRDefault="0003187B">
            <w:pPr>
              <w:rPr>
                <w:sz w:val="24"/>
              </w:rPr>
            </w:pPr>
            <w:r>
              <w:rPr>
                <w:sz w:val="24"/>
              </w:rPr>
              <w:t>0.002</w:t>
            </w:r>
          </w:p>
        </w:tc>
      </w:tr>
    </w:tbl>
    <w:p w:rsidR="0003187B" w:rsidRDefault="0003187B" w:rsidP="0003187B">
      <w:pPr>
        <w:rPr>
          <w:sz w:val="24"/>
        </w:rPr>
      </w:pPr>
    </w:p>
    <w:p w:rsidR="0003187B" w:rsidRDefault="0003187B" w:rsidP="0003187B">
      <w:pPr>
        <w:rPr>
          <w:sz w:val="28"/>
          <w:szCs w:val="28"/>
        </w:rPr>
      </w:pPr>
    </w:p>
    <w:p w:rsidR="0003187B" w:rsidRDefault="0003187B" w:rsidP="0003187B">
      <w:pPr>
        <w:rPr>
          <w:sz w:val="28"/>
          <w:szCs w:val="28"/>
        </w:rPr>
      </w:pPr>
      <w:r>
        <w:rPr>
          <w:sz w:val="28"/>
          <w:szCs w:val="28"/>
        </w:rPr>
        <w:t>3.</w:t>
      </w:r>
      <w:r>
        <w:rPr>
          <w:rFonts w:hint="eastAsia"/>
          <w:sz w:val="28"/>
          <w:szCs w:val="28"/>
        </w:rPr>
        <w:t>讨论</w:t>
      </w:r>
    </w:p>
    <w:p w:rsidR="0003187B" w:rsidRDefault="0003187B" w:rsidP="0003187B">
      <w:pPr>
        <w:ind w:firstLineChars="200" w:firstLine="560"/>
        <w:rPr>
          <w:rFonts w:ascii="宋体" w:hAnsi="宋体" w:cs="宋体"/>
          <w:sz w:val="28"/>
          <w:szCs w:val="28"/>
        </w:rPr>
      </w:pPr>
      <w:r>
        <w:rPr>
          <w:rFonts w:hint="eastAsia"/>
          <w:sz w:val="28"/>
          <w:szCs w:val="28"/>
        </w:rPr>
        <w:t>从中医学角度分析，膝关节退行性骨关节炎属于</w:t>
      </w:r>
      <w:r>
        <w:rPr>
          <w:sz w:val="28"/>
          <w:szCs w:val="28"/>
        </w:rPr>
        <w:t>“</w:t>
      </w:r>
      <w:r>
        <w:rPr>
          <w:rFonts w:hint="eastAsia"/>
          <w:sz w:val="28"/>
          <w:szCs w:val="28"/>
        </w:rPr>
        <w:t>痹症</w:t>
      </w:r>
      <w:r>
        <w:rPr>
          <w:sz w:val="28"/>
          <w:szCs w:val="28"/>
        </w:rPr>
        <w:t>”</w:t>
      </w:r>
      <w:r>
        <w:rPr>
          <w:rFonts w:hint="eastAsia"/>
          <w:sz w:val="28"/>
          <w:szCs w:val="28"/>
        </w:rPr>
        <w:t>的范畴，本次研究的</w:t>
      </w:r>
      <w:r>
        <w:rPr>
          <w:sz w:val="28"/>
          <w:szCs w:val="28"/>
        </w:rPr>
        <w:t>40</w:t>
      </w:r>
      <w:r>
        <w:rPr>
          <w:rFonts w:hint="eastAsia"/>
          <w:sz w:val="28"/>
          <w:szCs w:val="28"/>
        </w:rPr>
        <w:t>例患者年龄偏大，其病机主要为肝肾亏虚、寒湿痹阻、瘀血阻络。临床治疗应以温经散寒、祛风通络等为主</w:t>
      </w:r>
      <w:r>
        <w:rPr>
          <w:sz w:val="28"/>
          <w:szCs w:val="28"/>
          <w:vertAlign w:val="superscript"/>
        </w:rPr>
        <w:t>[3]</w:t>
      </w:r>
      <w:r>
        <w:rPr>
          <w:rFonts w:hint="eastAsia"/>
          <w:sz w:val="28"/>
          <w:szCs w:val="28"/>
        </w:rPr>
        <w:t>。筋骨痛消液中续断、血竭、桃仁、红花等具有通瘀止痛、温经通络、活血化瘀的作用</w:t>
      </w:r>
      <w:r>
        <w:rPr>
          <w:sz w:val="28"/>
          <w:szCs w:val="28"/>
          <w:vertAlign w:val="superscript"/>
        </w:rPr>
        <w:t>[3]</w:t>
      </w:r>
      <w:r>
        <w:rPr>
          <w:rFonts w:hint="eastAsia"/>
          <w:sz w:val="28"/>
          <w:szCs w:val="28"/>
        </w:rPr>
        <w:t>。辅助远红外线照射，可有效减轻患者疼痛症状，取得良好的治疗效果。</w:t>
      </w:r>
      <w:r>
        <w:rPr>
          <w:rFonts w:ascii="宋体" w:hAnsi="宋体" w:cs="宋体" w:hint="eastAsia"/>
          <w:sz w:val="28"/>
          <w:szCs w:val="28"/>
          <w:shd w:val="clear" w:color="auto" w:fill="FFFFFF"/>
        </w:rPr>
        <w:t>循证护理是受循证医学的影响而产生的护理观念，是在护理学科发生巨大的变化，开展</w:t>
      </w:r>
      <w:hyperlink r:id="rId5" w:tgtFrame="https://zhidao.baidu.com/question/_blank" w:history="1">
        <w:r>
          <w:rPr>
            <w:rStyle w:val="a3"/>
            <w:rFonts w:ascii="宋体" w:hAnsi="宋体" w:cs="宋体" w:hint="eastAsia"/>
            <w:color w:val="auto"/>
            <w:sz w:val="28"/>
            <w:szCs w:val="28"/>
            <w:u w:val="none"/>
            <w:shd w:val="clear" w:color="auto" w:fill="FFFFFF"/>
          </w:rPr>
          <w:t>以病人为中心</w:t>
        </w:r>
      </w:hyperlink>
      <w:r>
        <w:rPr>
          <w:rFonts w:ascii="宋体" w:hAnsi="宋体" w:cs="宋体" w:hint="eastAsia"/>
          <w:sz w:val="28"/>
          <w:szCs w:val="28"/>
          <w:shd w:val="clear" w:color="auto" w:fill="FFFFFF"/>
        </w:rPr>
        <w:t>的</w:t>
      </w:r>
      <w:hyperlink r:id="rId6" w:tgtFrame="https://zhidao.baidu.com/question/_blank" w:history="1">
        <w:r>
          <w:rPr>
            <w:rStyle w:val="a3"/>
            <w:rFonts w:ascii="宋体" w:hAnsi="宋体" w:cs="宋体" w:hint="eastAsia"/>
            <w:color w:val="auto"/>
            <w:sz w:val="28"/>
            <w:szCs w:val="28"/>
            <w:u w:val="none"/>
            <w:shd w:val="clear" w:color="auto" w:fill="FFFFFF"/>
          </w:rPr>
          <w:t>整体护理</w:t>
        </w:r>
      </w:hyperlink>
      <w:r>
        <w:rPr>
          <w:rFonts w:ascii="宋体" w:hAnsi="宋体" w:cs="宋体" w:hint="eastAsia"/>
          <w:sz w:val="28"/>
          <w:szCs w:val="28"/>
          <w:shd w:val="clear" w:color="auto" w:fill="FFFFFF"/>
        </w:rPr>
        <w:t>后出现的。是用</w:t>
      </w:r>
      <w:hyperlink r:id="rId7" w:tgtFrame="https://zhidao.baidu.com/question/_blank" w:history="1">
        <w:r>
          <w:rPr>
            <w:rStyle w:val="a3"/>
            <w:rFonts w:ascii="宋体" w:hAnsi="宋体" w:cs="宋体" w:hint="eastAsia"/>
            <w:color w:val="auto"/>
            <w:sz w:val="28"/>
            <w:szCs w:val="28"/>
            <w:u w:val="none"/>
            <w:shd w:val="clear" w:color="auto" w:fill="FFFFFF"/>
          </w:rPr>
          <w:t>批判性思维</w:t>
        </w:r>
      </w:hyperlink>
      <w:r>
        <w:rPr>
          <w:rFonts w:ascii="宋体" w:hAnsi="宋体" w:cs="宋体" w:hint="eastAsia"/>
          <w:sz w:val="28"/>
          <w:szCs w:val="28"/>
          <w:shd w:val="clear" w:color="auto" w:fill="FFFFFF"/>
        </w:rPr>
        <w:t>寻求最佳护理行为，实施全面护理质量改进程序、以最低的成本提供最优质的服务等的护理方式</w:t>
      </w:r>
      <w:r>
        <w:rPr>
          <w:sz w:val="28"/>
          <w:szCs w:val="28"/>
          <w:vertAlign w:val="superscript"/>
        </w:rPr>
        <w:t>[4]</w:t>
      </w:r>
      <w:r>
        <w:rPr>
          <w:rFonts w:ascii="宋体" w:hAnsi="宋体" w:cs="宋体" w:hint="eastAsia"/>
          <w:sz w:val="28"/>
          <w:szCs w:val="28"/>
          <w:shd w:val="clear" w:color="auto" w:fill="FFFFFF"/>
        </w:rPr>
        <w:t>。</w:t>
      </w:r>
      <w:r>
        <w:rPr>
          <w:rFonts w:ascii="宋体" w:hAnsi="宋体" w:cs="宋体" w:hint="eastAsia"/>
          <w:sz w:val="28"/>
          <w:szCs w:val="28"/>
        </w:rPr>
        <w:t>在中药熨烫的治疗基础</w:t>
      </w:r>
      <w:r>
        <w:rPr>
          <w:rFonts w:ascii="宋体" w:hAnsi="宋体" w:cs="宋体" w:hint="eastAsia"/>
          <w:sz w:val="28"/>
          <w:szCs w:val="28"/>
        </w:rPr>
        <w:lastRenderedPageBreak/>
        <w:t>上实施循证护理，能够进一步调节患者情绪，使患者积极、乐观的面对治疗；同时增加对疾病的了解，积极配合治疗与护理，提高了</w:t>
      </w:r>
      <w:r>
        <w:rPr>
          <w:rFonts w:ascii="宋体" w:hAnsi="宋体" w:cs="宋体" w:hint="eastAsia"/>
          <w:sz w:val="28"/>
          <w:szCs w:val="28"/>
          <w:shd w:val="clear" w:color="auto" w:fill="FFFFFF"/>
        </w:rPr>
        <w:t>自我管理和护理依从性</w:t>
      </w:r>
      <w:r>
        <w:rPr>
          <w:rFonts w:ascii="宋体" w:hAnsi="宋体" w:cs="宋体" w:hint="eastAsia"/>
          <w:sz w:val="28"/>
          <w:szCs w:val="28"/>
        </w:rPr>
        <w:t>；此外，通过饮食指导，可保证患者营养充足，增强患者体质，有助于患者早日康复。</w:t>
      </w:r>
    </w:p>
    <w:p w:rsidR="0003187B" w:rsidRDefault="0003187B" w:rsidP="0003187B">
      <w:pPr>
        <w:ind w:firstLineChars="200" w:firstLine="560"/>
        <w:rPr>
          <w:rFonts w:hint="eastAsia"/>
          <w:sz w:val="28"/>
          <w:szCs w:val="28"/>
        </w:rPr>
      </w:pPr>
      <w:r>
        <w:rPr>
          <w:rFonts w:hint="eastAsia"/>
          <w:sz w:val="28"/>
          <w:szCs w:val="28"/>
        </w:rPr>
        <w:t>本文研究结果显示：在临床总有效率、护理满意度方面，循证组患者显著高于常规组患者（</w:t>
      </w:r>
      <w:r>
        <w:rPr>
          <w:sz w:val="28"/>
          <w:szCs w:val="28"/>
        </w:rPr>
        <w:t>P</w:t>
      </w:r>
      <w:r>
        <w:rPr>
          <w:rFonts w:hint="eastAsia"/>
          <w:sz w:val="28"/>
          <w:szCs w:val="28"/>
        </w:rPr>
        <w:t>＜</w:t>
      </w:r>
      <w:r>
        <w:rPr>
          <w:sz w:val="28"/>
          <w:szCs w:val="28"/>
        </w:rPr>
        <w:t>0.05</w:t>
      </w:r>
      <w:r>
        <w:rPr>
          <w:rFonts w:hint="eastAsia"/>
          <w:sz w:val="28"/>
          <w:szCs w:val="28"/>
        </w:rPr>
        <w:t>），与相关文献报道</w:t>
      </w:r>
      <w:r>
        <w:rPr>
          <w:sz w:val="28"/>
          <w:szCs w:val="28"/>
        </w:rPr>
        <w:t>[5]</w:t>
      </w:r>
      <w:r>
        <w:rPr>
          <w:rFonts w:hint="eastAsia"/>
          <w:sz w:val="28"/>
          <w:szCs w:val="28"/>
        </w:rPr>
        <w:t>十分相似，由此说明，循证护理的实施效果非常显著，能够满足患者的合理需求，不仅提高了治疗效果，也提高了护理满意度，临床应用价值非常高。综上所述，膝关节退行性骨关节炎患者应用中药熨烫治疗中实施循证护理的临床效果更加显著，且患者护理满意度更高，值得临床进一步应用与借鉴。</w:t>
      </w:r>
    </w:p>
    <w:p w:rsidR="0003187B" w:rsidRDefault="0003187B" w:rsidP="0003187B">
      <w:pPr>
        <w:rPr>
          <w:sz w:val="28"/>
          <w:szCs w:val="28"/>
        </w:rPr>
      </w:pPr>
    </w:p>
    <w:p w:rsidR="0003187B" w:rsidRDefault="0003187B" w:rsidP="0003187B">
      <w:pPr>
        <w:rPr>
          <w:sz w:val="28"/>
          <w:szCs w:val="28"/>
        </w:rPr>
      </w:pPr>
      <w:r>
        <w:rPr>
          <w:rFonts w:hint="eastAsia"/>
          <w:sz w:val="28"/>
          <w:szCs w:val="28"/>
        </w:rPr>
        <w:t>参考文献：</w:t>
      </w:r>
    </w:p>
    <w:p w:rsidR="0003187B" w:rsidRDefault="0003187B" w:rsidP="0003187B">
      <w:pPr>
        <w:spacing w:line="360" w:lineRule="auto"/>
        <w:rPr>
          <w:sz w:val="24"/>
        </w:rPr>
      </w:pPr>
      <w:r>
        <w:rPr>
          <w:sz w:val="24"/>
        </w:rPr>
        <w:t>[1]</w:t>
      </w:r>
      <w:r>
        <w:rPr>
          <w:rFonts w:hint="eastAsia"/>
          <w:sz w:val="24"/>
        </w:rPr>
        <w:t>涂莎，陈志煌，韦嵩，等</w:t>
      </w:r>
      <w:r>
        <w:rPr>
          <w:sz w:val="24"/>
        </w:rPr>
        <w:t>.</w:t>
      </w:r>
      <w:r>
        <w:rPr>
          <w:rFonts w:hint="eastAsia"/>
          <w:sz w:val="24"/>
        </w:rPr>
        <w:t>微创序贯疗法治疗膝关节骨性关节炎疗效观察及护理体会</w:t>
      </w:r>
      <w:r>
        <w:rPr>
          <w:sz w:val="24"/>
        </w:rPr>
        <w:t>[J].</w:t>
      </w:r>
      <w:r>
        <w:rPr>
          <w:rFonts w:hint="eastAsia"/>
          <w:sz w:val="24"/>
        </w:rPr>
        <w:t>河北中医，</w:t>
      </w:r>
      <w:r>
        <w:rPr>
          <w:sz w:val="24"/>
        </w:rPr>
        <w:t>2015</w:t>
      </w:r>
      <w:r>
        <w:rPr>
          <w:rFonts w:hint="eastAsia"/>
          <w:sz w:val="24"/>
        </w:rPr>
        <w:t>，</w:t>
      </w:r>
      <w:r>
        <w:rPr>
          <w:sz w:val="24"/>
        </w:rPr>
        <w:t>37</w:t>
      </w:r>
      <w:r>
        <w:rPr>
          <w:rFonts w:hint="eastAsia"/>
          <w:sz w:val="24"/>
        </w:rPr>
        <w:t>（</w:t>
      </w:r>
      <w:r>
        <w:rPr>
          <w:sz w:val="24"/>
        </w:rPr>
        <w:t>02</w:t>
      </w:r>
      <w:r>
        <w:rPr>
          <w:rFonts w:hint="eastAsia"/>
          <w:sz w:val="24"/>
        </w:rPr>
        <w:t>）：</w:t>
      </w:r>
      <w:r>
        <w:rPr>
          <w:sz w:val="24"/>
        </w:rPr>
        <w:t>279-281.</w:t>
      </w:r>
    </w:p>
    <w:p w:rsidR="0003187B" w:rsidRDefault="0003187B" w:rsidP="0003187B">
      <w:pPr>
        <w:spacing w:line="360" w:lineRule="auto"/>
        <w:rPr>
          <w:sz w:val="24"/>
        </w:rPr>
      </w:pPr>
      <w:r>
        <w:rPr>
          <w:sz w:val="24"/>
        </w:rPr>
        <w:t>[2]</w:t>
      </w:r>
      <w:r>
        <w:rPr>
          <w:rFonts w:hint="eastAsia"/>
          <w:sz w:val="24"/>
        </w:rPr>
        <w:t>中华医学会骨科学分会</w:t>
      </w:r>
      <w:r>
        <w:rPr>
          <w:sz w:val="24"/>
        </w:rPr>
        <w:t>.</w:t>
      </w:r>
      <w:r>
        <w:rPr>
          <w:rFonts w:hint="eastAsia"/>
          <w:sz w:val="24"/>
        </w:rPr>
        <w:t>骨关节炎诊治指南</w:t>
      </w:r>
      <w:r>
        <w:rPr>
          <w:sz w:val="24"/>
        </w:rPr>
        <w:t>[J].</w:t>
      </w:r>
      <w:r>
        <w:rPr>
          <w:rFonts w:hint="eastAsia"/>
          <w:sz w:val="24"/>
        </w:rPr>
        <w:t>中华骨科杂志，</w:t>
      </w:r>
      <w:r>
        <w:rPr>
          <w:sz w:val="24"/>
        </w:rPr>
        <w:t>2007</w:t>
      </w:r>
      <w:r>
        <w:rPr>
          <w:rFonts w:hint="eastAsia"/>
          <w:sz w:val="24"/>
        </w:rPr>
        <w:t>，</w:t>
      </w:r>
      <w:r>
        <w:rPr>
          <w:sz w:val="24"/>
        </w:rPr>
        <w:t>27</w:t>
      </w:r>
      <w:r>
        <w:rPr>
          <w:rFonts w:hint="eastAsia"/>
          <w:sz w:val="24"/>
        </w:rPr>
        <w:t>（</w:t>
      </w:r>
      <w:r>
        <w:rPr>
          <w:sz w:val="24"/>
        </w:rPr>
        <w:t>10</w:t>
      </w:r>
      <w:r>
        <w:rPr>
          <w:rFonts w:hint="eastAsia"/>
          <w:sz w:val="24"/>
        </w:rPr>
        <w:t>）：</w:t>
      </w:r>
      <w:r>
        <w:rPr>
          <w:sz w:val="24"/>
        </w:rPr>
        <w:t>793--796</w:t>
      </w:r>
    </w:p>
    <w:p w:rsidR="0003187B" w:rsidRDefault="0003187B" w:rsidP="0003187B">
      <w:pPr>
        <w:spacing w:line="360" w:lineRule="auto"/>
        <w:rPr>
          <w:sz w:val="24"/>
        </w:rPr>
      </w:pPr>
      <w:r>
        <w:rPr>
          <w:sz w:val="24"/>
        </w:rPr>
        <w:t>[3]</w:t>
      </w:r>
      <w:r>
        <w:rPr>
          <w:rFonts w:hint="eastAsia"/>
          <w:sz w:val="24"/>
        </w:rPr>
        <w:t>李素春</w:t>
      </w:r>
      <w:r>
        <w:rPr>
          <w:sz w:val="24"/>
        </w:rPr>
        <w:t>.</w:t>
      </w:r>
      <w:r>
        <w:rPr>
          <w:rFonts w:hint="eastAsia"/>
          <w:sz w:val="24"/>
        </w:rPr>
        <w:t>冬病夏治穴位贴敷配合督姜灸对寒湿痹阻型痹病患者生活质量的影响</w:t>
      </w:r>
      <w:r>
        <w:rPr>
          <w:sz w:val="24"/>
        </w:rPr>
        <w:t>[J].</w:t>
      </w:r>
      <w:r>
        <w:rPr>
          <w:rFonts w:hint="eastAsia"/>
          <w:sz w:val="24"/>
        </w:rPr>
        <w:t>包头医学，</w:t>
      </w:r>
      <w:r>
        <w:rPr>
          <w:sz w:val="24"/>
        </w:rPr>
        <w:t>2019</w:t>
      </w:r>
      <w:r>
        <w:rPr>
          <w:rFonts w:hint="eastAsia"/>
          <w:sz w:val="24"/>
        </w:rPr>
        <w:t>，</w:t>
      </w:r>
      <w:r>
        <w:rPr>
          <w:sz w:val="24"/>
        </w:rPr>
        <w:t>43</w:t>
      </w:r>
      <w:r>
        <w:rPr>
          <w:rFonts w:hint="eastAsia"/>
          <w:sz w:val="24"/>
        </w:rPr>
        <w:t>（</w:t>
      </w:r>
      <w:r>
        <w:rPr>
          <w:sz w:val="24"/>
        </w:rPr>
        <w:t>01</w:t>
      </w:r>
      <w:r>
        <w:rPr>
          <w:rFonts w:hint="eastAsia"/>
          <w:sz w:val="24"/>
        </w:rPr>
        <w:t>）：</w:t>
      </w:r>
      <w:r>
        <w:rPr>
          <w:sz w:val="24"/>
        </w:rPr>
        <w:t>53--54</w:t>
      </w:r>
    </w:p>
    <w:p w:rsidR="0003187B" w:rsidRDefault="0003187B" w:rsidP="0003187B">
      <w:pPr>
        <w:spacing w:line="360" w:lineRule="auto"/>
        <w:rPr>
          <w:rFonts w:ascii="宋体" w:hAnsi="宋体" w:cs="宋体"/>
          <w:sz w:val="24"/>
        </w:rPr>
      </w:pPr>
      <w:r>
        <w:rPr>
          <w:rFonts w:ascii="宋体" w:hAnsi="宋体" w:cs="宋体" w:hint="eastAsia"/>
          <w:sz w:val="24"/>
        </w:rPr>
        <w:t>[4]李缘婷，郭东群，田莹等循证护理理论在临床实践中的应用进展[J].护理实践与研究，2020，03：57--59</w:t>
      </w:r>
    </w:p>
    <w:p w:rsidR="0003187B" w:rsidRDefault="0003187B" w:rsidP="0003187B">
      <w:pPr>
        <w:spacing w:line="360" w:lineRule="auto"/>
        <w:rPr>
          <w:rFonts w:ascii="宋体" w:hAnsi="宋体" w:cs="宋体" w:hint="eastAsia"/>
          <w:sz w:val="24"/>
        </w:rPr>
      </w:pPr>
      <w:r>
        <w:rPr>
          <w:rFonts w:ascii="宋体" w:hAnsi="宋体" w:cs="宋体" w:hint="eastAsia"/>
          <w:sz w:val="24"/>
        </w:rPr>
        <w:t>[5]刘蕾，李海波，杨丽莎，等.中药热奄包治疗膝关节退行性骨关节炎的循证护理[J].贵阳中医学院学报，2013，35（02）：216-217.</w:t>
      </w:r>
    </w:p>
    <w:p w:rsidR="0003187B" w:rsidRDefault="0003187B" w:rsidP="0003187B">
      <w:pPr>
        <w:spacing w:line="360" w:lineRule="auto"/>
        <w:rPr>
          <w:rFonts w:ascii="宋体" w:hAnsi="宋体" w:cs="宋体" w:hint="eastAsia"/>
          <w:sz w:val="24"/>
        </w:rPr>
      </w:pPr>
    </w:p>
    <w:p w:rsidR="0003187B" w:rsidRDefault="0003187B" w:rsidP="0003187B">
      <w:pPr>
        <w:spacing w:line="360" w:lineRule="auto"/>
        <w:rPr>
          <w:rFonts w:hint="eastAsia"/>
          <w:sz w:val="28"/>
          <w:szCs w:val="28"/>
        </w:rPr>
      </w:pPr>
    </w:p>
    <w:p w:rsidR="0003187B" w:rsidRDefault="0003187B" w:rsidP="0003187B">
      <w:pPr>
        <w:spacing w:line="360" w:lineRule="auto"/>
        <w:rPr>
          <w:sz w:val="28"/>
          <w:szCs w:val="28"/>
        </w:rPr>
      </w:pPr>
      <w:r>
        <w:rPr>
          <w:sz w:val="28"/>
          <w:szCs w:val="28"/>
        </w:rPr>
        <w:lastRenderedPageBreak/>
        <w:tab/>
      </w:r>
    </w:p>
    <w:p w:rsidR="00522B47" w:rsidRDefault="00522B47">
      <w:bookmarkStart w:id="0" w:name="_GoBack"/>
      <w:bookmarkEnd w:id="0"/>
    </w:p>
    <w:sectPr w:rsidR="00522B4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187B"/>
    <w:rsid w:val="0003187B"/>
    <w:rsid w:val="00522B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3187B"/>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semiHidden/>
    <w:unhideWhenUsed/>
    <w:rsid w:val="0003187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3187B"/>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semiHidden/>
    <w:unhideWhenUsed/>
    <w:rsid w:val="0003187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0571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aidu.com/s?wd=%E6%89%B9%E5%88%A4%E6%80%A7%E6%80%9D%E7%BB%B4&amp;tn=SE_PcZhidaonwhc_ngpagmjz&amp;rsv_dl=gh_pc_zhidao"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baidu.com/s?wd=%E6%95%B4%E4%BD%93%E6%8A%A4%E7%90%86&amp;tn=SE_PcZhidaonwhc_ngpagmjz&amp;rsv_dl=gh_pc_zhidao" TargetMode="External"/><Relationship Id="rId5" Type="http://schemas.openxmlformats.org/officeDocument/2006/relationships/hyperlink" Target="https://www.baidu.com/s?wd=%E4%BB%A5%E7%97%85%E4%BA%BA%E4%B8%BA%E4%B8%AD%E5%BF%83&amp;tn=SE_PcZhidaonwhc_ngpagmjz&amp;rsv_dl=gh_pc_zhida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527</Words>
  <Characters>3007</Characters>
  <Application>Microsoft Office Word</Application>
  <DocSecurity>0</DocSecurity>
  <Lines>25</Lines>
  <Paragraphs>7</Paragraphs>
  <ScaleCrop>false</ScaleCrop>
  <Company>Microsoft</Company>
  <LinksUpToDate>false</LinksUpToDate>
  <CharactersWithSpaces>3527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cp:revision>
  <dcterms:created xsi:type="dcterms:W3CDTF">2020-04-07T05:49:00Z</dcterms:created>
  <dcterms:modified xsi:type="dcterms:W3CDTF">2020-04-07T05:50:00Z</dcterms:modified>
</cp:coreProperties>
</file>