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22BF1" w14:textId="11401505" w:rsidR="00EC5FB3" w:rsidRDefault="00FF77FB" w:rsidP="00FF77FB">
      <w:pPr>
        <w:jc w:val="center"/>
        <w:rPr>
          <w:rFonts w:ascii="黑体" w:eastAsia="黑体" w:hAnsi="黑体"/>
          <w:sz w:val="36"/>
          <w:szCs w:val="36"/>
        </w:rPr>
      </w:pPr>
      <w:bookmarkStart w:id="0" w:name="_GoBack"/>
      <w:bookmarkEnd w:id="0"/>
      <w:r w:rsidRPr="00421F84">
        <w:rPr>
          <w:rFonts w:ascii="黑体" w:eastAsia="黑体" w:hAnsi="黑体" w:hint="eastAsia"/>
          <w:sz w:val="36"/>
          <w:szCs w:val="36"/>
        </w:rPr>
        <w:t>直肠神经内分泌肿瘤研究进展</w:t>
      </w:r>
    </w:p>
    <w:p w14:paraId="55536166" w14:textId="0F88C9FB" w:rsidR="00097C84" w:rsidRDefault="00097C84" w:rsidP="00097C84">
      <w:pPr>
        <w:autoSpaceDE w:val="0"/>
        <w:autoSpaceDN w:val="0"/>
        <w:adjustRightInd w:val="0"/>
        <w:jc w:val="center"/>
        <w:rPr>
          <w:rFonts w:ascii="E-BZ+ZBQBRs-2" w:eastAsia="E-BZ+ZBQBRs-2" w:cs="E-BZ+ZBQBRs-2"/>
          <w:kern w:val="0"/>
          <w:sz w:val="12"/>
          <w:szCs w:val="12"/>
        </w:rPr>
      </w:pPr>
      <w:r>
        <w:rPr>
          <w:rFonts w:ascii="AdobeHeitiStd-Regular" w:eastAsia="AdobeHeitiStd-Regular" w:cs="AdobeHeitiStd-Regular" w:hint="eastAsia"/>
          <w:kern w:val="0"/>
          <w:szCs w:val="21"/>
        </w:rPr>
        <w:t>永光，赵贵君</w:t>
      </w:r>
      <w:r w:rsidR="00950640">
        <w:rPr>
          <w:rFonts w:ascii="E-BZ+ZBQBRs-2" w:eastAsia="E-BZ+ZBQBRs-2" w:cs="E-BZ+ZBQBRs-2" w:hint="eastAsia"/>
          <w:kern w:val="0"/>
          <w:sz w:val="12"/>
          <w:szCs w:val="12"/>
        </w:rPr>
        <w:t>*</w:t>
      </w:r>
    </w:p>
    <w:p w14:paraId="31A1E42B" w14:textId="77777777" w:rsidR="00950640" w:rsidRPr="00950640" w:rsidRDefault="00950640" w:rsidP="00950640">
      <w:pPr>
        <w:rPr>
          <w:rFonts w:ascii="黑体" w:eastAsia="黑体" w:hAnsi="黑体"/>
          <w:sz w:val="11"/>
          <w:szCs w:val="11"/>
        </w:rPr>
      </w:pPr>
      <w:r w:rsidRPr="00950640">
        <w:rPr>
          <w:rFonts w:ascii="黑体" w:eastAsia="黑体" w:hAnsi="黑体" w:hint="eastAsia"/>
          <w:sz w:val="11"/>
          <w:szCs w:val="11"/>
        </w:rPr>
        <w:t>作者单位：010000</w:t>
      </w:r>
      <w:r w:rsidRPr="00950640">
        <w:rPr>
          <w:rFonts w:ascii="黑体" w:eastAsia="黑体" w:hAnsi="黑体"/>
          <w:sz w:val="11"/>
          <w:szCs w:val="11"/>
        </w:rPr>
        <w:t xml:space="preserve"> </w:t>
      </w:r>
      <w:r w:rsidRPr="00950640">
        <w:rPr>
          <w:rFonts w:ascii="黑体" w:eastAsia="黑体" w:hAnsi="黑体" w:hint="eastAsia"/>
          <w:sz w:val="11"/>
          <w:szCs w:val="11"/>
        </w:rPr>
        <w:t>呼和浩特市，内蒙古自治区人民医院内镜中心</w:t>
      </w:r>
    </w:p>
    <w:p w14:paraId="53A2DB7E" w14:textId="4304303B" w:rsidR="00FF77FB" w:rsidRPr="008C7E75" w:rsidRDefault="008C7E75" w:rsidP="008C7E75">
      <w:pPr>
        <w:autoSpaceDE w:val="0"/>
        <w:autoSpaceDN w:val="0"/>
        <w:adjustRightInd w:val="0"/>
        <w:jc w:val="left"/>
        <w:rPr>
          <w:rFonts w:ascii="AdobeHeitiStd-Regular" w:eastAsia="AdobeHeitiStd-Regular" w:cs="AdobeHeitiStd-Regular"/>
          <w:kern w:val="0"/>
          <w:sz w:val="18"/>
          <w:szCs w:val="18"/>
        </w:rPr>
      </w:pPr>
      <w:r>
        <w:rPr>
          <w:rFonts w:hint="eastAsia"/>
          <w:szCs w:val="21"/>
        </w:rPr>
        <w:t>【</w:t>
      </w:r>
      <w:r w:rsidR="00FF77FB">
        <w:rPr>
          <w:rFonts w:hint="eastAsia"/>
          <w:szCs w:val="21"/>
        </w:rPr>
        <w:t>摘要</w:t>
      </w:r>
      <w:r>
        <w:rPr>
          <w:rFonts w:hint="eastAsia"/>
          <w:szCs w:val="21"/>
        </w:rPr>
        <w:t>】</w:t>
      </w:r>
      <w:r w:rsidR="00FF77FB">
        <w:rPr>
          <w:rFonts w:hint="eastAsia"/>
          <w:szCs w:val="21"/>
        </w:rPr>
        <w:t>：</w:t>
      </w:r>
      <w:r w:rsidR="002744A0">
        <w:rPr>
          <w:rFonts w:ascii="AdobeHeitiStd-Regular" w:eastAsia="AdobeHeitiStd-Regular" w:cs="AdobeHeitiStd-Regular" w:hint="eastAsia"/>
          <w:kern w:val="0"/>
          <w:sz w:val="18"/>
          <w:szCs w:val="18"/>
        </w:rPr>
        <w:t>直肠神经内分泌肿瘤近年来发病率有明显上升趋势，对健康的危害性逐步为医学界重视</w:t>
      </w:r>
      <w:r w:rsidR="002744A0">
        <w:rPr>
          <w:rFonts w:ascii="SSJ0+ZGDAWc-1" w:eastAsia="SSJ0+ZGDAWc-1" w:cs="SSJ0+ZGDAWc-1" w:hint="eastAsia"/>
          <w:kern w:val="0"/>
          <w:sz w:val="18"/>
          <w:szCs w:val="18"/>
        </w:rPr>
        <w:t>。</w:t>
      </w:r>
      <w:r w:rsidR="002744A0">
        <w:rPr>
          <w:rFonts w:ascii="AdobeHeitiStd-Regular" w:eastAsia="AdobeHeitiStd-Regular" w:cs="AdobeHeitiStd-Regular" w:hint="eastAsia"/>
          <w:kern w:val="0"/>
          <w:sz w:val="18"/>
          <w:szCs w:val="18"/>
        </w:rPr>
        <w:t>但因其临床特征存在隐匿性，早期难以确诊，漏诊</w:t>
      </w:r>
      <w:r w:rsidR="002744A0">
        <w:rPr>
          <w:rFonts w:ascii="SSJ0+ZGDAWc-1" w:eastAsia="SSJ0+ZGDAWc-1" w:cs="SSJ0+ZGDAWc-1" w:hint="eastAsia"/>
          <w:kern w:val="0"/>
          <w:sz w:val="18"/>
          <w:szCs w:val="18"/>
        </w:rPr>
        <w:t>、</w:t>
      </w:r>
      <w:r w:rsidR="002744A0">
        <w:rPr>
          <w:rFonts w:ascii="AdobeHeitiStd-Regular" w:eastAsia="AdobeHeitiStd-Regular" w:cs="AdobeHeitiStd-Regular" w:hint="eastAsia"/>
          <w:kern w:val="0"/>
          <w:sz w:val="18"/>
          <w:szCs w:val="18"/>
        </w:rPr>
        <w:t>误诊时有发生</w:t>
      </w:r>
      <w:r>
        <w:rPr>
          <w:rFonts w:ascii="AdobeHeitiStd-Regular" w:eastAsia="AdobeHeitiStd-Regular" w:cs="AdobeHeitiStd-Regular" w:hint="eastAsia"/>
          <w:kern w:val="0"/>
          <w:sz w:val="18"/>
          <w:szCs w:val="18"/>
        </w:rPr>
        <w:t>，晚期又有转移性。应引起各专科医生的主意。本文结合最新的研究进展和指南论述如下</w:t>
      </w:r>
      <w:r>
        <w:rPr>
          <w:rFonts w:ascii="SSJ0+ZGDAWc-1" w:eastAsia="SSJ0+ZGDAWc-1" w:cs="SSJ0+ZGDAWc-1" w:hint="eastAsia"/>
          <w:kern w:val="0"/>
          <w:sz w:val="18"/>
          <w:szCs w:val="18"/>
        </w:rPr>
        <w:t>。</w:t>
      </w:r>
    </w:p>
    <w:p w14:paraId="6AE19739" w14:textId="70561B09" w:rsidR="00FF77FB" w:rsidRDefault="008C7E75" w:rsidP="00FF77FB">
      <w:pPr>
        <w:rPr>
          <w:szCs w:val="21"/>
        </w:rPr>
      </w:pPr>
      <w:r>
        <w:rPr>
          <w:rFonts w:hint="eastAsia"/>
          <w:szCs w:val="21"/>
        </w:rPr>
        <w:t>【</w:t>
      </w:r>
      <w:r w:rsidR="00FF77FB">
        <w:rPr>
          <w:rFonts w:hint="eastAsia"/>
          <w:szCs w:val="21"/>
        </w:rPr>
        <w:t>关键词</w:t>
      </w:r>
      <w:r>
        <w:rPr>
          <w:rFonts w:hint="eastAsia"/>
          <w:szCs w:val="21"/>
        </w:rPr>
        <w:t>】</w:t>
      </w:r>
      <w:r w:rsidR="00FF77FB">
        <w:rPr>
          <w:rFonts w:hint="eastAsia"/>
          <w:szCs w:val="21"/>
        </w:rPr>
        <w:t>：</w:t>
      </w:r>
      <w:r>
        <w:rPr>
          <w:rFonts w:hint="eastAsia"/>
          <w:szCs w:val="21"/>
        </w:rPr>
        <w:t>直肠神经内分泌肿瘤；诊断；治疗；预后</w:t>
      </w:r>
    </w:p>
    <w:p w14:paraId="1E2725A6" w14:textId="134FF7B9" w:rsidR="00FF77FB" w:rsidRDefault="00FF77FB" w:rsidP="00FF77FB">
      <w:pPr>
        <w:rPr>
          <w:szCs w:val="21"/>
        </w:rPr>
      </w:pPr>
    </w:p>
    <w:p w14:paraId="7DDF2E6C" w14:textId="548288A0" w:rsidR="008C7E75" w:rsidRDefault="008C7E75" w:rsidP="00FF77FB">
      <w:r>
        <w:rPr>
          <w:rFonts w:ascii="SSJ0+ZGDAWc-1" w:eastAsia="SSJ0+ZGDAWc-1" w:cs="SSJ0+ZGDAWc-1" w:hint="eastAsia"/>
          <w:kern w:val="0"/>
          <w:sz w:val="18"/>
          <w:szCs w:val="18"/>
        </w:rPr>
        <w:t>【</w:t>
      </w:r>
      <w:r>
        <w:rPr>
          <w:rFonts w:ascii="E-HZ+ZGDAWc-6" w:eastAsia="E-HZ+ZGDAWc-6" w:cs="E-HZ+ZGDAWc-6"/>
          <w:kern w:val="0"/>
          <w:sz w:val="18"/>
          <w:szCs w:val="18"/>
        </w:rPr>
        <w:t>Abstract</w:t>
      </w:r>
      <w:r>
        <w:rPr>
          <w:rFonts w:ascii="SSJ0+ZGDAWc-1" w:eastAsia="SSJ0+ZGDAWc-1" w:cs="SSJ0+ZGDAWc-1" w:hint="eastAsia"/>
          <w:kern w:val="0"/>
          <w:sz w:val="18"/>
          <w:szCs w:val="18"/>
        </w:rPr>
        <w:t>】</w:t>
      </w:r>
      <w:r>
        <w:t>The incidence of rectal neuroendocrine tumors has been on the rise in recent years, and the harm to health has been paid more and more attention by the medical profession. However, because of the occult clinical features, it is difficult to be diagnosed in the early stage, missed diagnosis, misdiagnosed, and metastasis in the late stage. It should give rise to the ideas of specialists. This paper discusses the latest research progress and guidelines as follows.</w:t>
      </w:r>
    </w:p>
    <w:p w14:paraId="2EC04E9F" w14:textId="5A163B03" w:rsidR="008C7E75" w:rsidRDefault="008C7E75" w:rsidP="00FF77FB">
      <w:r>
        <w:rPr>
          <w:rFonts w:ascii="SSJ0+ZGDAWc-1" w:eastAsia="SSJ0+ZGDAWc-1" w:cs="SSJ0+ZGDAWc-1" w:hint="eastAsia"/>
          <w:kern w:val="0"/>
          <w:sz w:val="18"/>
          <w:szCs w:val="18"/>
        </w:rPr>
        <w:t>【</w:t>
      </w:r>
      <w:r>
        <w:rPr>
          <w:rFonts w:ascii="E-HZ+ZGDAWc-6" w:eastAsia="E-HZ+ZGDAWc-6" w:cs="E-HZ+ZGDAWc-6"/>
          <w:kern w:val="0"/>
          <w:sz w:val="18"/>
          <w:szCs w:val="18"/>
        </w:rPr>
        <w:t>Key words</w:t>
      </w:r>
      <w:r>
        <w:rPr>
          <w:rFonts w:ascii="SSJ0+ZGDAWc-1" w:eastAsia="SSJ0+ZGDAWc-1" w:cs="SSJ0+ZGDAWc-1" w:hint="eastAsia"/>
          <w:kern w:val="0"/>
          <w:sz w:val="18"/>
          <w:szCs w:val="18"/>
        </w:rPr>
        <w:t>】</w:t>
      </w:r>
      <w:r w:rsidRPr="008C7E75">
        <w:t>Colorectal neuroendocrine tumors; Diagnosis; Treatment; Prognosis</w:t>
      </w:r>
    </w:p>
    <w:p w14:paraId="757A204A" w14:textId="77777777" w:rsidR="00950640" w:rsidRPr="00950640" w:rsidRDefault="00950640" w:rsidP="00FF77FB">
      <w:pPr>
        <w:rPr>
          <w:rFonts w:ascii="黑体" w:eastAsia="黑体" w:hAnsi="黑体"/>
          <w:sz w:val="11"/>
          <w:szCs w:val="11"/>
        </w:rPr>
      </w:pPr>
    </w:p>
    <w:p w14:paraId="3E08AC48" w14:textId="044A1625" w:rsidR="00FF77FB" w:rsidRDefault="00FF77FB" w:rsidP="008C7E75">
      <w:pPr>
        <w:autoSpaceDE w:val="0"/>
        <w:autoSpaceDN w:val="0"/>
        <w:adjustRightInd w:val="0"/>
        <w:ind w:firstLineChars="200" w:firstLine="420"/>
        <w:jc w:val="left"/>
      </w:pPr>
      <w:r w:rsidRPr="00D04EC1">
        <w:t>神经</w:t>
      </w:r>
      <w:r>
        <w:t>内分泌肿瘤（NETs）是由内分泌和神经系统细胞产生的肿瘤。胃肠道NETs占所有NET的60%以上，预计直肠NET占胃肠道NET的12</w:t>
      </w:r>
      <w:r>
        <w:rPr>
          <w:rFonts w:hint="eastAsia"/>
        </w:rPr>
        <w:t>-</w:t>
      </w:r>
      <w:r>
        <w:t>36%</w:t>
      </w:r>
      <w:r w:rsidR="008C7E75" w:rsidRPr="00097C84">
        <w:rPr>
          <w:rFonts w:hint="eastAsia"/>
          <w:sz w:val="10"/>
          <w:szCs w:val="10"/>
        </w:rPr>
        <w:t>【</w:t>
      </w:r>
      <w:r w:rsidRPr="00097C84">
        <w:rPr>
          <w:sz w:val="10"/>
          <w:szCs w:val="10"/>
        </w:rPr>
        <w:t>1</w:t>
      </w:r>
      <w:r w:rsidRPr="00097C84">
        <w:rPr>
          <w:rFonts w:hint="eastAsia"/>
          <w:sz w:val="10"/>
          <w:szCs w:val="10"/>
        </w:rPr>
        <w:t>-</w:t>
      </w:r>
      <w:r w:rsidRPr="00097C84">
        <w:rPr>
          <w:sz w:val="10"/>
          <w:szCs w:val="10"/>
        </w:rPr>
        <w:t>3</w:t>
      </w:r>
      <w:r w:rsidR="008C7E75" w:rsidRPr="00097C84">
        <w:rPr>
          <w:rFonts w:hint="eastAsia"/>
          <w:sz w:val="10"/>
          <w:szCs w:val="10"/>
        </w:rPr>
        <w:t>】</w:t>
      </w:r>
      <w:r>
        <w:t>。</w:t>
      </w:r>
      <w:r>
        <w:rPr>
          <w:rFonts w:hint="eastAsia"/>
        </w:rPr>
        <w:t>直肠神经内分泌肿瘤是一种生长缓慢的低度恶性的神经内分泌肿瘤。</w:t>
      </w:r>
      <w:r w:rsidR="00EC57BA">
        <w:rPr>
          <w:rFonts w:hint="eastAsia"/>
        </w:rPr>
        <w:t>临床上常无特异性表现，一些患者症状为下腹，肛周不适，排便习惯改变</w:t>
      </w:r>
      <w:r w:rsidR="00720A42">
        <w:rPr>
          <w:rFonts w:hint="eastAsia"/>
        </w:rPr>
        <w:t>，直肠出血，不明原因的体重减轻或疼痛</w:t>
      </w:r>
      <w:r w:rsidR="00EC57BA">
        <w:rPr>
          <w:rFonts w:hint="eastAsia"/>
        </w:rPr>
        <w:t>而进行内镜检查</w:t>
      </w:r>
      <w:r w:rsidR="00720A42">
        <w:rPr>
          <w:rFonts w:hint="eastAsia"/>
        </w:rPr>
        <w:t>时</w:t>
      </w:r>
      <w:r w:rsidR="00EC57BA">
        <w:rPr>
          <w:rFonts w:hint="eastAsia"/>
        </w:rPr>
        <w:t>发现4</w:t>
      </w:r>
      <w:r w:rsidR="008C7E75" w:rsidRPr="00097C84">
        <w:rPr>
          <w:rFonts w:hint="eastAsia"/>
          <w:sz w:val="10"/>
          <w:szCs w:val="10"/>
        </w:rPr>
        <w:t>【4】</w:t>
      </w:r>
      <w:r w:rsidR="00EC57BA">
        <w:rPr>
          <w:rFonts w:hint="eastAsia"/>
        </w:rPr>
        <w:t>。</w:t>
      </w:r>
      <w:r w:rsidR="00720A42" w:rsidRPr="00720A42">
        <w:rPr>
          <w:rFonts w:hint="eastAsia"/>
        </w:rPr>
        <w:t>随着内镜技术的进步，其中胃</w:t>
      </w:r>
      <w:r w:rsidR="00720A42" w:rsidRPr="00720A42">
        <w:t xml:space="preserve">( </w:t>
      </w:r>
      <w:r w:rsidR="00720A42" w:rsidRPr="00720A42">
        <w:rPr>
          <w:rFonts w:hint="eastAsia"/>
        </w:rPr>
        <w:t>增长</w:t>
      </w:r>
      <w:r w:rsidR="00720A42" w:rsidRPr="00720A42">
        <w:t xml:space="preserve">15 </w:t>
      </w:r>
      <w:r w:rsidR="00720A42" w:rsidRPr="00720A42">
        <w:rPr>
          <w:rFonts w:hint="eastAsia"/>
        </w:rPr>
        <w:t>倍</w:t>
      </w:r>
      <w:r w:rsidR="00720A42" w:rsidRPr="00720A42">
        <w:t xml:space="preserve">) </w:t>
      </w:r>
      <w:r w:rsidR="00720A42" w:rsidRPr="00720A42">
        <w:rPr>
          <w:rFonts w:hint="eastAsia"/>
        </w:rPr>
        <w:t>和直肠</w:t>
      </w:r>
      <w:r w:rsidR="00720A42" w:rsidRPr="00720A42">
        <w:t xml:space="preserve">( </w:t>
      </w:r>
      <w:r w:rsidR="00720A42" w:rsidRPr="00720A42">
        <w:rPr>
          <w:rFonts w:hint="eastAsia"/>
        </w:rPr>
        <w:t>增长</w:t>
      </w:r>
      <w:r w:rsidR="00720A42" w:rsidRPr="00720A42">
        <w:t xml:space="preserve">8 </w:t>
      </w:r>
      <w:r w:rsidR="00720A42" w:rsidRPr="00720A42">
        <w:rPr>
          <w:rFonts w:hint="eastAsia"/>
        </w:rPr>
        <w:t>倍</w:t>
      </w:r>
      <w:r w:rsidR="00720A42" w:rsidRPr="00720A42">
        <w:t xml:space="preserve">) </w:t>
      </w:r>
      <w:r w:rsidR="00720A42" w:rsidRPr="00720A42">
        <w:rPr>
          <w:rFonts w:hint="eastAsia"/>
        </w:rPr>
        <w:t>的增加最多，成为发病率最高的部位。</w:t>
      </w:r>
      <w:r w:rsidR="00170DA0">
        <w:rPr>
          <w:rFonts w:hint="eastAsia"/>
        </w:rPr>
        <w:t>因为</w:t>
      </w:r>
      <w:r w:rsidR="00720A42" w:rsidRPr="00720A42">
        <w:t xml:space="preserve">NENs </w:t>
      </w:r>
      <w:r w:rsidR="00720A42" w:rsidRPr="00720A42">
        <w:rPr>
          <w:rFonts w:hint="eastAsia"/>
        </w:rPr>
        <w:t>具有侵袭性及转移性，所以最近修订的美国癌症联合会</w:t>
      </w:r>
      <w:r w:rsidR="00720A42" w:rsidRPr="00720A42">
        <w:t xml:space="preserve">( AJCC) </w:t>
      </w:r>
      <w:r w:rsidR="00720A42" w:rsidRPr="00720A42">
        <w:rPr>
          <w:rFonts w:hint="eastAsia"/>
        </w:rPr>
        <w:t>癌症分期指南方针将所有的</w:t>
      </w:r>
      <w:r w:rsidR="00720A42" w:rsidRPr="00720A42">
        <w:t xml:space="preserve">NENs </w:t>
      </w:r>
      <w:r w:rsidR="00720A42" w:rsidRPr="00720A42">
        <w:rPr>
          <w:rFonts w:hint="eastAsia"/>
        </w:rPr>
        <w:t>列</w:t>
      </w:r>
      <w:r w:rsidR="00170DA0">
        <w:rPr>
          <w:rFonts w:hint="eastAsia"/>
        </w:rPr>
        <w:t>入</w:t>
      </w:r>
      <w:r w:rsidR="00720A42" w:rsidRPr="00720A42">
        <w:rPr>
          <w:rFonts w:hint="eastAsia"/>
        </w:rPr>
        <w:t>恶性肿瘤</w:t>
      </w:r>
      <w:r w:rsidR="008C7E75" w:rsidRPr="00097C84">
        <w:rPr>
          <w:rFonts w:hint="eastAsia"/>
          <w:sz w:val="10"/>
          <w:szCs w:val="10"/>
        </w:rPr>
        <w:t>【</w:t>
      </w:r>
      <w:r w:rsidR="00720A42" w:rsidRPr="00097C84">
        <w:rPr>
          <w:rFonts w:hint="eastAsia"/>
          <w:sz w:val="10"/>
          <w:szCs w:val="10"/>
        </w:rPr>
        <w:t>5</w:t>
      </w:r>
      <w:r w:rsidR="008C7E75" w:rsidRPr="00097C84">
        <w:rPr>
          <w:rFonts w:hint="eastAsia"/>
          <w:sz w:val="10"/>
          <w:szCs w:val="10"/>
        </w:rPr>
        <w:t>】</w:t>
      </w:r>
      <w:r w:rsidR="00720A42" w:rsidRPr="00720A42">
        <w:rPr>
          <w:rFonts w:hint="eastAsia"/>
        </w:rPr>
        <w:t>。</w:t>
      </w:r>
    </w:p>
    <w:p w14:paraId="0081F0EE" w14:textId="57A927A7" w:rsidR="00720A42" w:rsidRDefault="00720A42" w:rsidP="008C7E75">
      <w:pPr>
        <w:pStyle w:val="a3"/>
        <w:numPr>
          <w:ilvl w:val="0"/>
          <w:numId w:val="5"/>
        </w:numPr>
        <w:autoSpaceDE w:val="0"/>
        <w:autoSpaceDN w:val="0"/>
        <w:adjustRightInd w:val="0"/>
        <w:ind w:firstLineChars="0"/>
        <w:jc w:val="left"/>
      </w:pPr>
      <w:r>
        <w:rPr>
          <w:rFonts w:hint="eastAsia"/>
        </w:rPr>
        <w:t>分级及分期</w:t>
      </w:r>
    </w:p>
    <w:p w14:paraId="003E5CBA" w14:textId="6A2370E6" w:rsidR="00720A42" w:rsidRDefault="00720A42" w:rsidP="008C7E75">
      <w:pPr>
        <w:autoSpaceDE w:val="0"/>
        <w:autoSpaceDN w:val="0"/>
        <w:adjustRightInd w:val="0"/>
        <w:ind w:firstLineChars="200" w:firstLine="420"/>
        <w:jc w:val="left"/>
      </w:pPr>
      <w:r>
        <w:t>2010年世卫组织提出了分级指南，并根据有丝分裂计数和Ki 67指数将直肠</w:t>
      </w:r>
      <w:r>
        <w:rPr>
          <w:rFonts w:hint="eastAsia"/>
        </w:rPr>
        <w:t>神经内分泌肿瘤</w:t>
      </w:r>
      <w:r>
        <w:t>分为三类：低等级(G1)=&lt;2 mitoses/10个高功率场(HPFs)和≤2%Ki 67指数；中间等级(G2)=2-20</w:t>
      </w:r>
      <w:r w:rsidR="009321A3">
        <w:t xml:space="preserve"> mitoses </w:t>
      </w:r>
      <w:r>
        <w:t>/10 HPFs或3%-20%Ki 67指数；或高级别(G3)=&gt;20 mitoses/10 HPFs OR&gt;20%Ki 67指数</w:t>
      </w:r>
      <w:r w:rsidR="00097C84" w:rsidRPr="00097C84">
        <w:rPr>
          <w:rFonts w:hint="eastAsia"/>
          <w:sz w:val="10"/>
          <w:szCs w:val="10"/>
        </w:rPr>
        <w:t>【</w:t>
      </w:r>
      <w:r w:rsidR="00327DE4" w:rsidRPr="00097C84">
        <w:rPr>
          <w:rFonts w:hint="eastAsia"/>
          <w:sz w:val="10"/>
          <w:szCs w:val="10"/>
        </w:rPr>
        <w:t>6，7</w:t>
      </w:r>
      <w:r w:rsidR="00097C84" w:rsidRPr="00097C84">
        <w:rPr>
          <w:rFonts w:hint="eastAsia"/>
          <w:sz w:val="10"/>
          <w:szCs w:val="10"/>
        </w:rPr>
        <w:t>】</w:t>
      </w:r>
      <w:r w:rsidR="00327DE4">
        <w:rPr>
          <w:rFonts w:hint="eastAsia"/>
        </w:rPr>
        <w:t>。</w:t>
      </w:r>
      <w:r>
        <w:t>美国联合癌症委员会(AJCC)和欧洲神经内分泌肿瘤协会在同一时间框架内发表了相同的肿瘤、淋巴结、转移(TNM)分期建议</w:t>
      </w:r>
      <w:r w:rsidR="009321A3" w:rsidRPr="00097C84">
        <w:rPr>
          <w:rFonts w:hint="eastAsia"/>
          <w:sz w:val="10"/>
          <w:szCs w:val="10"/>
        </w:rPr>
        <w:t>【</w:t>
      </w:r>
      <w:r w:rsidR="00327DE4" w:rsidRPr="00097C84">
        <w:rPr>
          <w:rFonts w:hint="eastAsia"/>
          <w:sz w:val="10"/>
          <w:szCs w:val="10"/>
        </w:rPr>
        <w:t>7</w:t>
      </w:r>
      <w:r w:rsidR="009321A3" w:rsidRPr="00097C84">
        <w:rPr>
          <w:rFonts w:hint="eastAsia"/>
          <w:sz w:val="10"/>
          <w:szCs w:val="10"/>
        </w:rPr>
        <w:t>】</w:t>
      </w:r>
      <w:r>
        <w:t>，并得到北美神经内分泌肿瘤协会的证实。这种TNM分期系统包括肿瘤的大小、深度/浸润和转移扩散(表1</w:t>
      </w:r>
      <w:r w:rsidR="009321A3" w:rsidRPr="00097C84">
        <w:rPr>
          <w:rFonts w:hint="eastAsia"/>
          <w:sz w:val="10"/>
          <w:szCs w:val="10"/>
        </w:rPr>
        <w:t>【</w:t>
      </w:r>
      <w:r w:rsidR="00327DE4" w:rsidRPr="00097C84">
        <w:rPr>
          <w:rFonts w:hint="eastAsia"/>
          <w:sz w:val="10"/>
          <w:szCs w:val="10"/>
        </w:rPr>
        <w:t>8</w:t>
      </w:r>
      <w:r w:rsidR="009321A3" w:rsidRPr="00097C84">
        <w:rPr>
          <w:rFonts w:hint="eastAsia"/>
          <w:sz w:val="10"/>
          <w:szCs w:val="10"/>
        </w:rPr>
        <w:t>】</w:t>
      </w:r>
      <w:r>
        <w:t>。</w:t>
      </w:r>
    </w:p>
    <w:p w14:paraId="51AE0A39" w14:textId="77777777" w:rsidR="00327DE4" w:rsidRPr="00327DE4" w:rsidRDefault="00327DE4" w:rsidP="009321A3">
      <w:pPr>
        <w:widowControl/>
        <w:spacing w:line="340" w:lineRule="auto"/>
        <w:ind w:left="180" w:right="300" w:firstLine="361"/>
        <w:jc w:val="left"/>
        <w:rPr>
          <w:rFonts w:ascii="宋体" w:eastAsia="宋体" w:hAnsi="宋体" w:cs="Arial"/>
          <w:kern w:val="0"/>
          <w:sz w:val="17"/>
          <w:szCs w:val="20"/>
        </w:rPr>
      </w:pPr>
      <w:r w:rsidRPr="00327DE4">
        <w:rPr>
          <w:rFonts w:ascii="宋体" w:eastAsia="宋体" w:hAnsi="宋体" w:cs="Arial"/>
          <w:kern w:val="0"/>
          <w:sz w:val="17"/>
          <w:szCs w:val="20"/>
        </w:rPr>
        <w:t xml:space="preserve">表 </w:t>
      </w:r>
      <w:r w:rsidRPr="00327DE4">
        <w:rPr>
          <w:rFonts w:ascii="Arial" w:eastAsia="Arial" w:hAnsi="Arial" w:cs="Arial"/>
          <w:kern w:val="0"/>
          <w:sz w:val="17"/>
          <w:szCs w:val="20"/>
        </w:rPr>
        <w:t>1</w:t>
      </w:r>
      <w:r w:rsidRPr="00327DE4">
        <w:rPr>
          <w:rFonts w:ascii="宋体" w:eastAsia="宋体" w:hAnsi="宋体" w:cs="Arial"/>
          <w:kern w:val="0"/>
          <w:sz w:val="17"/>
          <w:szCs w:val="20"/>
        </w:rPr>
        <w:t xml:space="preserve"> </w:t>
      </w:r>
      <w:r w:rsidRPr="00327DE4">
        <w:rPr>
          <w:rFonts w:ascii="Arial" w:eastAsia="Arial" w:hAnsi="Arial" w:cs="Arial"/>
          <w:kern w:val="0"/>
          <w:sz w:val="17"/>
          <w:szCs w:val="20"/>
        </w:rPr>
        <w:t>2017</w:t>
      </w:r>
      <w:r w:rsidRPr="00327DE4">
        <w:rPr>
          <w:rFonts w:ascii="宋体" w:eastAsia="宋体" w:hAnsi="宋体" w:cs="Arial"/>
          <w:kern w:val="0"/>
          <w:sz w:val="17"/>
          <w:szCs w:val="20"/>
        </w:rPr>
        <w:t xml:space="preserve"> 美国癌症联合委员会( </w:t>
      </w:r>
      <w:r w:rsidRPr="00327DE4">
        <w:rPr>
          <w:rFonts w:ascii="Arial" w:eastAsia="Arial" w:hAnsi="Arial" w:cs="Arial"/>
          <w:kern w:val="0"/>
          <w:sz w:val="17"/>
          <w:szCs w:val="20"/>
        </w:rPr>
        <w:t>AJCC</w:t>
      </w:r>
      <w:r w:rsidRPr="00327DE4">
        <w:rPr>
          <w:rFonts w:ascii="宋体" w:eastAsia="宋体" w:hAnsi="宋体" w:cs="Arial"/>
          <w:kern w:val="0"/>
          <w:sz w:val="17"/>
          <w:szCs w:val="20"/>
        </w:rPr>
        <w:t xml:space="preserve">) </w:t>
      </w:r>
      <w:r w:rsidRPr="00327DE4">
        <w:rPr>
          <w:rFonts w:ascii="Arial" w:eastAsia="Arial" w:hAnsi="Arial" w:cs="Arial"/>
          <w:kern w:val="0"/>
          <w:sz w:val="17"/>
          <w:szCs w:val="20"/>
        </w:rPr>
        <w:t>/</w:t>
      </w:r>
      <w:r w:rsidRPr="00327DE4">
        <w:rPr>
          <w:rFonts w:ascii="宋体" w:eastAsia="宋体" w:hAnsi="宋体" w:cs="Arial"/>
          <w:kern w:val="0"/>
          <w:sz w:val="17"/>
          <w:szCs w:val="20"/>
        </w:rPr>
        <w:t xml:space="preserve"> 国际抗癌联合会( </w:t>
      </w:r>
      <w:r w:rsidRPr="00327DE4">
        <w:rPr>
          <w:rFonts w:ascii="Arial" w:eastAsia="Arial" w:hAnsi="Arial" w:cs="Arial"/>
          <w:kern w:val="0"/>
          <w:sz w:val="17"/>
          <w:szCs w:val="20"/>
        </w:rPr>
        <w:t>UICC</w:t>
      </w:r>
      <w:r w:rsidRPr="00327DE4">
        <w:rPr>
          <w:rFonts w:ascii="宋体" w:eastAsia="宋体" w:hAnsi="宋体" w:cs="Arial"/>
          <w:kern w:val="0"/>
          <w:sz w:val="17"/>
          <w:szCs w:val="20"/>
        </w:rPr>
        <w:t xml:space="preserve">) 结直肠神经内分泌肿瘤的 </w:t>
      </w:r>
      <w:r w:rsidRPr="00327DE4">
        <w:rPr>
          <w:rFonts w:ascii="Arial" w:eastAsia="Arial" w:hAnsi="Arial" w:cs="Arial"/>
          <w:kern w:val="0"/>
          <w:sz w:val="17"/>
          <w:szCs w:val="20"/>
        </w:rPr>
        <w:t>TNM</w:t>
      </w:r>
      <w:r w:rsidRPr="00327DE4">
        <w:rPr>
          <w:rFonts w:ascii="宋体" w:eastAsia="宋体" w:hAnsi="宋体" w:cs="Arial"/>
          <w:kern w:val="0"/>
          <w:sz w:val="17"/>
          <w:szCs w:val="20"/>
        </w:rPr>
        <w:t xml:space="preserve"> 分期</w:t>
      </w:r>
    </w:p>
    <w:p w14:paraId="1CCB00EE" w14:textId="19BD1CF4" w:rsidR="00327DE4" w:rsidRPr="00327DE4" w:rsidRDefault="00327DE4" w:rsidP="009321A3">
      <w:pPr>
        <w:widowControl/>
        <w:spacing w:line="0" w:lineRule="atLeast"/>
        <w:ind w:left="100"/>
        <w:jc w:val="left"/>
        <w:rPr>
          <w:rFonts w:ascii="宋体" w:eastAsia="宋体" w:hAnsi="宋体" w:cs="Arial"/>
          <w:kern w:val="0"/>
          <w:sz w:val="16"/>
          <w:szCs w:val="20"/>
        </w:rPr>
      </w:pPr>
      <w:r w:rsidRPr="00327DE4">
        <w:rPr>
          <w:rFonts w:ascii="宋体" w:eastAsia="宋体" w:hAnsi="宋体" w:cs="Arial"/>
          <w:noProof/>
          <w:kern w:val="0"/>
          <w:sz w:val="17"/>
          <w:szCs w:val="20"/>
          <w:lang w:bidi="mn-Mong-CN"/>
        </w:rPr>
        <mc:AlternateContent>
          <mc:Choice Requires="wps">
            <w:drawing>
              <wp:anchor distT="0" distB="0" distL="114300" distR="114300" simplePos="0" relativeHeight="251659264" behindDoc="1" locked="0" layoutInCell="0" allowOverlap="1" wp14:anchorId="6F568F14" wp14:editId="19DBA106">
                <wp:simplePos x="0" y="0"/>
                <wp:positionH relativeFrom="column">
                  <wp:posOffset>-6350</wp:posOffset>
                </wp:positionH>
                <wp:positionV relativeFrom="paragraph">
                  <wp:posOffset>2540</wp:posOffset>
                </wp:positionV>
                <wp:extent cx="2980690" cy="0"/>
                <wp:effectExtent l="12700" t="12065" r="6985" b="698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0690" cy="0"/>
                        </a:xfrm>
                        <a:prstGeom prst="line">
                          <a:avLst/>
                        </a:prstGeom>
                        <a:noFill/>
                        <a:ln w="970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345443" id="直接连接符 2"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pt" to="234.2pt,.2pt"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" o:allowincell="f" strokeweight=".2695mm"/>
            </w:pict>
          </mc:Fallback>
        </mc:AlternateContent>
      </w:r>
      <w:r w:rsidRPr="00327DE4">
        <w:rPr>
          <w:rFonts w:ascii="宋体" w:eastAsia="宋体" w:hAnsi="宋体" w:cs="Arial"/>
          <w:kern w:val="0"/>
          <w:sz w:val="16"/>
          <w:szCs w:val="20"/>
        </w:rPr>
        <w:t xml:space="preserve">原发性肿瘤( </w:t>
      </w:r>
      <w:r w:rsidRPr="00327DE4">
        <w:rPr>
          <w:rFonts w:ascii="Arial" w:eastAsia="Arial" w:hAnsi="Arial" w:cs="Arial"/>
          <w:kern w:val="0"/>
          <w:sz w:val="16"/>
          <w:szCs w:val="20"/>
        </w:rPr>
        <w:t>T</w:t>
      </w:r>
      <w:r w:rsidRPr="00327DE4">
        <w:rPr>
          <w:rFonts w:ascii="宋体" w:eastAsia="宋体" w:hAnsi="宋体" w:cs="Arial"/>
          <w:kern w:val="0"/>
          <w:sz w:val="16"/>
          <w:szCs w:val="20"/>
        </w:rPr>
        <w:t>)</w:t>
      </w:r>
    </w:p>
    <w:p w14:paraId="32EF643B" w14:textId="5FF0F1DA" w:rsidR="00327DE4" w:rsidRPr="00327DE4" w:rsidRDefault="00327DE4" w:rsidP="009321A3">
      <w:pPr>
        <w:widowControl/>
        <w:spacing w:line="52" w:lineRule="exact"/>
        <w:jc w:val="left"/>
        <w:rPr>
          <w:rFonts w:ascii="Times New Roman" w:eastAsia="Times New Roman" w:hAnsi="Times New Roman" w:cs="Arial"/>
          <w:kern w:val="0"/>
          <w:sz w:val="20"/>
          <w:szCs w:val="20"/>
        </w:rPr>
      </w:pPr>
      <w:r w:rsidRPr="00327DE4">
        <w:rPr>
          <w:rFonts w:ascii="宋体" w:eastAsia="宋体" w:hAnsi="宋体" w:cs="Arial"/>
          <w:noProof/>
          <w:kern w:val="0"/>
          <w:sz w:val="16"/>
          <w:szCs w:val="20"/>
          <w:lang w:bidi="mn-Mong-CN"/>
        </w:rPr>
        <mc:AlternateContent>
          <mc:Choice Requires="wps">
            <w:drawing>
              <wp:anchor distT="0" distB="0" distL="114300" distR="114300" simplePos="0" relativeHeight="251660288" behindDoc="1" locked="0" layoutInCell="0" allowOverlap="1" wp14:anchorId="66BBE787" wp14:editId="72F945A0">
                <wp:simplePos x="0" y="0"/>
                <wp:positionH relativeFrom="column">
                  <wp:posOffset>-6350</wp:posOffset>
                </wp:positionH>
                <wp:positionV relativeFrom="paragraph">
                  <wp:posOffset>30480</wp:posOffset>
                </wp:positionV>
                <wp:extent cx="2980690" cy="0"/>
                <wp:effectExtent l="12700" t="9525" r="698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0690" cy="0"/>
                        </a:xfrm>
                        <a:prstGeom prst="line">
                          <a:avLst/>
                        </a:prstGeom>
                        <a:noFill/>
                        <a:ln w="415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622792" id="直接连接符 1"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4pt" to="234.2pt,2.4pt"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" o:allowincell="f" strokeweight=".1153mm"/>
            </w:pict>
          </mc:Fallback>
        </mc:AlternateContent>
      </w:r>
    </w:p>
    <w:tbl>
      <w:tblPr>
        <w:tblW w:w="0" w:type="auto"/>
        <w:tblLayout w:type="fixed"/>
        <w:tblCellMar>
          <w:left w:w="0" w:type="dxa"/>
          <w:right w:w="0" w:type="dxa"/>
        </w:tblCellMar>
        <w:tblLook w:val="0000" w:firstRow="0" w:lastRow="0" w:firstColumn="0" w:lastColumn="0" w:noHBand="0" w:noVBand="0"/>
      </w:tblPr>
      <w:tblGrid>
        <w:gridCol w:w="1220"/>
        <w:gridCol w:w="1540"/>
        <w:gridCol w:w="720"/>
        <w:gridCol w:w="1200"/>
      </w:tblGrid>
      <w:tr w:rsidR="00327DE4" w:rsidRPr="00327DE4" w14:paraId="58A02BD5" w14:textId="77777777" w:rsidTr="00286DEB">
        <w:trPr>
          <w:trHeight w:val="205"/>
        </w:trPr>
        <w:tc>
          <w:tcPr>
            <w:tcW w:w="1220" w:type="dxa"/>
            <w:shd w:val="clear" w:color="auto" w:fill="auto"/>
            <w:vAlign w:val="bottom"/>
          </w:tcPr>
          <w:p w14:paraId="24E506FF" w14:textId="77777777" w:rsidR="00327DE4" w:rsidRPr="00327DE4" w:rsidRDefault="00327DE4" w:rsidP="009321A3">
            <w:pPr>
              <w:widowControl/>
              <w:spacing w:line="0" w:lineRule="atLeast"/>
              <w:jc w:val="left"/>
              <w:rPr>
                <w:rFonts w:ascii="宋体" w:eastAsia="宋体" w:hAnsi="宋体" w:cs="Arial"/>
                <w:kern w:val="0"/>
                <w:sz w:val="16"/>
                <w:szCs w:val="20"/>
              </w:rPr>
            </w:pPr>
            <w:r w:rsidRPr="00327DE4">
              <w:rPr>
                <w:rFonts w:ascii="Arial" w:eastAsia="Arial" w:hAnsi="Arial" w:cs="Arial"/>
                <w:kern w:val="0"/>
                <w:sz w:val="16"/>
                <w:szCs w:val="20"/>
              </w:rPr>
              <w:t xml:space="preserve">T </w:t>
            </w:r>
            <w:r w:rsidRPr="00327DE4">
              <w:rPr>
                <w:rFonts w:ascii="宋体" w:eastAsia="宋体" w:hAnsi="宋体" w:cs="Arial"/>
                <w:kern w:val="0"/>
                <w:sz w:val="16"/>
                <w:szCs w:val="20"/>
              </w:rPr>
              <w:t>类</w:t>
            </w:r>
          </w:p>
        </w:tc>
        <w:tc>
          <w:tcPr>
            <w:tcW w:w="1540" w:type="dxa"/>
            <w:shd w:val="clear" w:color="auto" w:fill="auto"/>
            <w:vAlign w:val="bottom"/>
          </w:tcPr>
          <w:p w14:paraId="014A3D22"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Arial" w:eastAsia="Arial" w:hAnsi="Arial" w:cs="Arial"/>
                <w:kern w:val="0"/>
                <w:sz w:val="16"/>
                <w:szCs w:val="20"/>
              </w:rPr>
              <w:t xml:space="preserve">T </w:t>
            </w:r>
            <w:r w:rsidRPr="00327DE4">
              <w:rPr>
                <w:rFonts w:ascii="宋体" w:eastAsia="宋体" w:hAnsi="宋体" w:cs="Arial"/>
                <w:kern w:val="0"/>
                <w:sz w:val="16"/>
                <w:szCs w:val="20"/>
              </w:rPr>
              <w:t>标准</w:t>
            </w:r>
          </w:p>
        </w:tc>
        <w:tc>
          <w:tcPr>
            <w:tcW w:w="720" w:type="dxa"/>
            <w:shd w:val="clear" w:color="auto" w:fill="auto"/>
            <w:vAlign w:val="bottom"/>
          </w:tcPr>
          <w:p w14:paraId="1817E253" w14:textId="77777777" w:rsidR="00327DE4" w:rsidRPr="00327DE4" w:rsidRDefault="00327DE4" w:rsidP="009321A3">
            <w:pPr>
              <w:widowControl/>
              <w:spacing w:line="0" w:lineRule="atLeast"/>
              <w:jc w:val="left"/>
              <w:rPr>
                <w:rFonts w:ascii="Times New Roman" w:eastAsia="Times New Roman" w:hAnsi="Times New Roman" w:cs="Arial"/>
                <w:kern w:val="0"/>
                <w:sz w:val="17"/>
                <w:szCs w:val="20"/>
              </w:rPr>
            </w:pPr>
          </w:p>
        </w:tc>
        <w:tc>
          <w:tcPr>
            <w:tcW w:w="1200" w:type="dxa"/>
            <w:shd w:val="clear" w:color="auto" w:fill="auto"/>
            <w:vAlign w:val="bottom"/>
          </w:tcPr>
          <w:p w14:paraId="67523AA1" w14:textId="77777777" w:rsidR="00327DE4" w:rsidRPr="00327DE4" w:rsidRDefault="00327DE4" w:rsidP="009321A3">
            <w:pPr>
              <w:widowControl/>
              <w:spacing w:line="0" w:lineRule="atLeast"/>
              <w:jc w:val="left"/>
              <w:rPr>
                <w:rFonts w:ascii="Times New Roman" w:eastAsia="Times New Roman" w:hAnsi="Times New Roman" w:cs="Arial"/>
                <w:kern w:val="0"/>
                <w:sz w:val="17"/>
                <w:szCs w:val="20"/>
              </w:rPr>
            </w:pPr>
          </w:p>
        </w:tc>
      </w:tr>
      <w:tr w:rsidR="00327DE4" w:rsidRPr="00327DE4" w14:paraId="15FFC5D7" w14:textId="77777777" w:rsidTr="00286DEB">
        <w:trPr>
          <w:trHeight w:val="239"/>
        </w:trPr>
        <w:tc>
          <w:tcPr>
            <w:tcW w:w="1220" w:type="dxa"/>
            <w:shd w:val="clear" w:color="auto" w:fill="auto"/>
            <w:vAlign w:val="bottom"/>
          </w:tcPr>
          <w:p w14:paraId="13BE7DC6"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TX</w:t>
            </w:r>
          </w:p>
        </w:tc>
        <w:tc>
          <w:tcPr>
            <w:tcW w:w="2260" w:type="dxa"/>
            <w:gridSpan w:val="2"/>
            <w:shd w:val="clear" w:color="auto" w:fill="auto"/>
            <w:vAlign w:val="bottom"/>
          </w:tcPr>
          <w:p w14:paraId="0DEBBDEB"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原发性肿瘤无法评估</w:t>
            </w:r>
          </w:p>
        </w:tc>
        <w:tc>
          <w:tcPr>
            <w:tcW w:w="1200" w:type="dxa"/>
            <w:shd w:val="clear" w:color="auto" w:fill="auto"/>
            <w:vAlign w:val="bottom"/>
          </w:tcPr>
          <w:p w14:paraId="27E1A18F"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108D24C8" w14:textId="77777777" w:rsidTr="00286DEB">
        <w:trPr>
          <w:trHeight w:val="239"/>
        </w:trPr>
        <w:tc>
          <w:tcPr>
            <w:tcW w:w="1220" w:type="dxa"/>
            <w:shd w:val="clear" w:color="auto" w:fill="auto"/>
            <w:vAlign w:val="bottom"/>
          </w:tcPr>
          <w:p w14:paraId="1055893F"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T0</w:t>
            </w:r>
          </w:p>
        </w:tc>
        <w:tc>
          <w:tcPr>
            <w:tcW w:w="1540" w:type="dxa"/>
            <w:shd w:val="clear" w:color="auto" w:fill="auto"/>
            <w:vAlign w:val="bottom"/>
          </w:tcPr>
          <w:p w14:paraId="3C7EFBF2"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无原发肿瘤证据</w:t>
            </w:r>
          </w:p>
        </w:tc>
        <w:tc>
          <w:tcPr>
            <w:tcW w:w="720" w:type="dxa"/>
            <w:shd w:val="clear" w:color="auto" w:fill="auto"/>
            <w:vAlign w:val="bottom"/>
          </w:tcPr>
          <w:p w14:paraId="6E944662"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495D04C7"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4A8AD8D6" w14:textId="77777777" w:rsidTr="00286DEB">
        <w:trPr>
          <w:trHeight w:val="247"/>
        </w:trPr>
        <w:tc>
          <w:tcPr>
            <w:tcW w:w="1220" w:type="dxa"/>
            <w:shd w:val="clear" w:color="auto" w:fill="auto"/>
            <w:vAlign w:val="bottom"/>
          </w:tcPr>
          <w:p w14:paraId="11C8C202"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T1</w:t>
            </w:r>
          </w:p>
        </w:tc>
        <w:tc>
          <w:tcPr>
            <w:tcW w:w="3460" w:type="dxa"/>
            <w:gridSpan w:val="3"/>
            <w:shd w:val="clear" w:color="auto" w:fill="auto"/>
            <w:vAlign w:val="bottom"/>
          </w:tcPr>
          <w:p w14:paraId="5DC786CA" w14:textId="77777777" w:rsidR="00327DE4" w:rsidRPr="00327DE4" w:rsidRDefault="00327DE4" w:rsidP="009321A3">
            <w:pPr>
              <w:widowControl/>
              <w:spacing w:line="0" w:lineRule="atLeast"/>
              <w:ind w:left="200"/>
              <w:jc w:val="left"/>
              <w:rPr>
                <w:rFonts w:ascii="Arial" w:eastAsia="Arial" w:hAnsi="Arial" w:cs="Arial"/>
                <w:kern w:val="0"/>
                <w:sz w:val="16"/>
                <w:szCs w:val="20"/>
              </w:rPr>
            </w:pPr>
            <w:r w:rsidRPr="00327DE4">
              <w:rPr>
                <w:rFonts w:ascii="宋体" w:eastAsia="宋体" w:hAnsi="宋体" w:cs="Arial"/>
                <w:kern w:val="0"/>
                <w:sz w:val="16"/>
                <w:szCs w:val="20"/>
              </w:rPr>
              <w:t>肿瘤浸润至粘膜层或粘膜下层，且直径</w:t>
            </w:r>
            <w:r w:rsidRPr="00327DE4">
              <w:rPr>
                <w:rFonts w:ascii="Arial" w:eastAsia="Arial" w:hAnsi="Arial" w:cs="Arial"/>
                <w:kern w:val="0"/>
                <w:sz w:val="16"/>
                <w:szCs w:val="20"/>
              </w:rPr>
              <w:t>≤2 cm</w:t>
            </w:r>
          </w:p>
        </w:tc>
      </w:tr>
      <w:tr w:rsidR="00327DE4" w:rsidRPr="00327DE4" w14:paraId="1A3A5146" w14:textId="77777777" w:rsidTr="00286DEB">
        <w:trPr>
          <w:trHeight w:val="231"/>
        </w:trPr>
        <w:tc>
          <w:tcPr>
            <w:tcW w:w="1220" w:type="dxa"/>
            <w:shd w:val="clear" w:color="auto" w:fill="auto"/>
            <w:vAlign w:val="bottom"/>
          </w:tcPr>
          <w:p w14:paraId="4BAD6155" w14:textId="77777777" w:rsidR="00327DE4" w:rsidRPr="00327DE4" w:rsidRDefault="00327DE4" w:rsidP="009321A3">
            <w:pPr>
              <w:widowControl/>
              <w:spacing w:line="0" w:lineRule="atLeast"/>
              <w:ind w:left="160"/>
              <w:jc w:val="left"/>
              <w:rPr>
                <w:rFonts w:ascii="Arial" w:eastAsia="Arial" w:hAnsi="Arial" w:cs="Arial"/>
                <w:kern w:val="0"/>
                <w:sz w:val="16"/>
                <w:szCs w:val="20"/>
              </w:rPr>
            </w:pPr>
            <w:r w:rsidRPr="00327DE4">
              <w:rPr>
                <w:rFonts w:ascii="Arial" w:eastAsia="Arial" w:hAnsi="Arial" w:cs="Arial"/>
                <w:kern w:val="0"/>
                <w:sz w:val="16"/>
                <w:szCs w:val="20"/>
              </w:rPr>
              <w:t>T1a</w:t>
            </w:r>
          </w:p>
        </w:tc>
        <w:tc>
          <w:tcPr>
            <w:tcW w:w="1540" w:type="dxa"/>
            <w:shd w:val="clear" w:color="auto" w:fill="auto"/>
            <w:vAlign w:val="bottom"/>
          </w:tcPr>
          <w:p w14:paraId="557BE0AE" w14:textId="77777777" w:rsidR="00327DE4" w:rsidRPr="00327DE4" w:rsidRDefault="00327DE4" w:rsidP="009321A3">
            <w:pPr>
              <w:widowControl/>
              <w:spacing w:line="184" w:lineRule="exact"/>
              <w:ind w:left="200"/>
              <w:jc w:val="left"/>
              <w:rPr>
                <w:rFonts w:ascii="Arial" w:eastAsia="Arial" w:hAnsi="Arial" w:cs="Arial"/>
                <w:kern w:val="0"/>
                <w:sz w:val="16"/>
                <w:szCs w:val="20"/>
              </w:rPr>
            </w:pPr>
            <w:r w:rsidRPr="00327DE4">
              <w:rPr>
                <w:rFonts w:ascii="MS PGothic" w:eastAsia="MS PGothic" w:hAnsi="MS PGothic" w:cs="Arial"/>
                <w:kern w:val="0"/>
                <w:sz w:val="16"/>
                <w:szCs w:val="20"/>
              </w:rPr>
              <w:t>＜</w:t>
            </w:r>
            <w:r w:rsidRPr="00327DE4">
              <w:rPr>
                <w:rFonts w:ascii="Arial" w:eastAsia="Arial" w:hAnsi="Arial" w:cs="Arial"/>
                <w:kern w:val="0"/>
                <w:sz w:val="16"/>
                <w:szCs w:val="20"/>
              </w:rPr>
              <w:t>1 cm</w:t>
            </w:r>
          </w:p>
        </w:tc>
        <w:tc>
          <w:tcPr>
            <w:tcW w:w="720" w:type="dxa"/>
            <w:shd w:val="clear" w:color="auto" w:fill="auto"/>
            <w:vAlign w:val="bottom"/>
          </w:tcPr>
          <w:p w14:paraId="0C675525"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733A2F6D"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0BF12D69" w14:textId="77777777" w:rsidTr="00286DEB">
        <w:trPr>
          <w:trHeight w:val="239"/>
        </w:trPr>
        <w:tc>
          <w:tcPr>
            <w:tcW w:w="1220" w:type="dxa"/>
            <w:shd w:val="clear" w:color="auto" w:fill="auto"/>
            <w:vAlign w:val="bottom"/>
          </w:tcPr>
          <w:p w14:paraId="4A4CBAD4" w14:textId="77777777" w:rsidR="00327DE4" w:rsidRPr="00327DE4" w:rsidRDefault="00327DE4" w:rsidP="009321A3">
            <w:pPr>
              <w:widowControl/>
              <w:spacing w:line="0" w:lineRule="atLeast"/>
              <w:ind w:left="160"/>
              <w:jc w:val="left"/>
              <w:rPr>
                <w:rFonts w:ascii="Arial" w:eastAsia="Arial" w:hAnsi="Arial" w:cs="Arial"/>
                <w:kern w:val="0"/>
                <w:sz w:val="16"/>
                <w:szCs w:val="20"/>
              </w:rPr>
            </w:pPr>
            <w:r w:rsidRPr="00327DE4">
              <w:rPr>
                <w:rFonts w:ascii="Arial" w:eastAsia="Arial" w:hAnsi="Arial" w:cs="Arial"/>
                <w:kern w:val="0"/>
                <w:sz w:val="16"/>
                <w:szCs w:val="20"/>
              </w:rPr>
              <w:t>T1b</w:t>
            </w:r>
          </w:p>
        </w:tc>
        <w:tc>
          <w:tcPr>
            <w:tcW w:w="1540" w:type="dxa"/>
            <w:shd w:val="clear" w:color="auto" w:fill="auto"/>
            <w:vAlign w:val="bottom"/>
          </w:tcPr>
          <w:p w14:paraId="7CA82D08" w14:textId="77777777" w:rsidR="00327DE4" w:rsidRPr="00327DE4" w:rsidRDefault="00327DE4" w:rsidP="009321A3">
            <w:pPr>
              <w:widowControl/>
              <w:spacing w:line="184" w:lineRule="exact"/>
              <w:ind w:left="200"/>
              <w:jc w:val="left"/>
              <w:rPr>
                <w:rFonts w:ascii="Arial" w:eastAsia="Arial" w:hAnsi="Arial" w:cs="Arial"/>
                <w:kern w:val="0"/>
                <w:sz w:val="16"/>
                <w:szCs w:val="20"/>
              </w:rPr>
            </w:pPr>
            <w:r w:rsidRPr="00327DE4">
              <w:rPr>
                <w:rFonts w:ascii="Arial" w:eastAsia="Arial" w:hAnsi="Arial" w:cs="Arial"/>
                <w:kern w:val="0"/>
                <w:sz w:val="16"/>
                <w:szCs w:val="20"/>
              </w:rPr>
              <w:t xml:space="preserve">1 </w:t>
            </w:r>
            <w:r w:rsidRPr="00327DE4">
              <w:rPr>
                <w:rFonts w:ascii="MS PGothic" w:eastAsia="MS PGothic" w:hAnsi="MS PGothic" w:cs="Arial"/>
                <w:kern w:val="0"/>
                <w:sz w:val="16"/>
                <w:szCs w:val="20"/>
              </w:rPr>
              <w:t>～</w:t>
            </w:r>
            <w:r w:rsidRPr="00327DE4">
              <w:rPr>
                <w:rFonts w:ascii="Arial" w:eastAsia="Arial" w:hAnsi="Arial" w:cs="Arial"/>
                <w:kern w:val="0"/>
                <w:sz w:val="16"/>
                <w:szCs w:val="20"/>
              </w:rPr>
              <w:t xml:space="preserve"> 2 cm</w:t>
            </w:r>
          </w:p>
        </w:tc>
        <w:tc>
          <w:tcPr>
            <w:tcW w:w="720" w:type="dxa"/>
            <w:shd w:val="clear" w:color="auto" w:fill="auto"/>
            <w:vAlign w:val="bottom"/>
          </w:tcPr>
          <w:p w14:paraId="5AD479D3"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24527F7A"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67374D1F" w14:textId="77777777" w:rsidTr="00286DEB">
        <w:trPr>
          <w:trHeight w:val="235"/>
        </w:trPr>
        <w:tc>
          <w:tcPr>
            <w:tcW w:w="1220" w:type="dxa"/>
            <w:shd w:val="clear" w:color="auto" w:fill="auto"/>
            <w:vAlign w:val="bottom"/>
          </w:tcPr>
          <w:p w14:paraId="3E67D090"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T2</w:t>
            </w:r>
          </w:p>
        </w:tc>
        <w:tc>
          <w:tcPr>
            <w:tcW w:w="3460" w:type="dxa"/>
            <w:gridSpan w:val="3"/>
            <w:shd w:val="clear" w:color="auto" w:fill="auto"/>
            <w:vAlign w:val="bottom"/>
          </w:tcPr>
          <w:p w14:paraId="2FB8FFBA"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肿瘤浸润至固有肌层或浸润粘膜层或粘膜下</w:t>
            </w:r>
          </w:p>
        </w:tc>
      </w:tr>
      <w:tr w:rsidR="00327DE4" w:rsidRPr="00327DE4" w14:paraId="5A5A4D4C" w14:textId="77777777" w:rsidTr="00286DEB">
        <w:trPr>
          <w:trHeight w:val="248"/>
        </w:trPr>
        <w:tc>
          <w:tcPr>
            <w:tcW w:w="1220" w:type="dxa"/>
            <w:shd w:val="clear" w:color="auto" w:fill="auto"/>
            <w:vAlign w:val="bottom"/>
          </w:tcPr>
          <w:p w14:paraId="4F969433" w14:textId="77777777" w:rsidR="00327DE4" w:rsidRPr="00327DE4" w:rsidRDefault="00327DE4" w:rsidP="009321A3">
            <w:pPr>
              <w:widowControl/>
              <w:spacing w:line="0" w:lineRule="atLeast"/>
              <w:jc w:val="left"/>
              <w:rPr>
                <w:rFonts w:ascii="Times New Roman" w:eastAsia="Times New Roman" w:hAnsi="Times New Roman" w:cs="Arial"/>
                <w:kern w:val="0"/>
                <w:szCs w:val="20"/>
              </w:rPr>
            </w:pPr>
          </w:p>
        </w:tc>
        <w:tc>
          <w:tcPr>
            <w:tcW w:w="1540" w:type="dxa"/>
            <w:shd w:val="clear" w:color="auto" w:fill="auto"/>
            <w:vAlign w:val="bottom"/>
          </w:tcPr>
          <w:p w14:paraId="5EC03E9E" w14:textId="77777777" w:rsidR="00327DE4" w:rsidRPr="00327DE4" w:rsidRDefault="00327DE4" w:rsidP="009321A3">
            <w:pPr>
              <w:widowControl/>
              <w:spacing w:line="194" w:lineRule="exact"/>
              <w:ind w:left="200"/>
              <w:jc w:val="left"/>
              <w:rPr>
                <w:rFonts w:ascii="Arial" w:eastAsia="Arial" w:hAnsi="Arial" w:cs="Arial"/>
                <w:kern w:val="0"/>
                <w:sz w:val="16"/>
                <w:szCs w:val="20"/>
              </w:rPr>
            </w:pPr>
            <w:r w:rsidRPr="00327DE4">
              <w:rPr>
                <w:rFonts w:ascii="宋体" w:eastAsia="宋体" w:hAnsi="宋体" w:cs="Arial"/>
                <w:kern w:val="0"/>
                <w:sz w:val="16"/>
                <w:szCs w:val="20"/>
              </w:rPr>
              <w:t>层且直径</w:t>
            </w:r>
            <w:r w:rsidRPr="00327DE4">
              <w:rPr>
                <w:rFonts w:ascii="MS PGothic" w:eastAsia="MS PGothic" w:hAnsi="MS PGothic" w:cs="Arial"/>
                <w:kern w:val="0"/>
                <w:sz w:val="16"/>
                <w:szCs w:val="20"/>
              </w:rPr>
              <w:t>＞</w:t>
            </w:r>
            <w:r w:rsidRPr="00327DE4">
              <w:rPr>
                <w:rFonts w:ascii="Arial" w:eastAsia="Arial" w:hAnsi="Arial" w:cs="Arial"/>
                <w:kern w:val="0"/>
                <w:sz w:val="16"/>
                <w:szCs w:val="20"/>
              </w:rPr>
              <w:t>2 cm</w:t>
            </w:r>
          </w:p>
        </w:tc>
        <w:tc>
          <w:tcPr>
            <w:tcW w:w="720" w:type="dxa"/>
            <w:shd w:val="clear" w:color="auto" w:fill="auto"/>
            <w:vAlign w:val="bottom"/>
          </w:tcPr>
          <w:p w14:paraId="102F284A" w14:textId="77777777" w:rsidR="00327DE4" w:rsidRPr="00327DE4" w:rsidRDefault="00327DE4" w:rsidP="009321A3">
            <w:pPr>
              <w:widowControl/>
              <w:spacing w:line="0" w:lineRule="atLeast"/>
              <w:jc w:val="left"/>
              <w:rPr>
                <w:rFonts w:ascii="Times New Roman" w:eastAsia="Times New Roman" w:hAnsi="Times New Roman" w:cs="Arial"/>
                <w:kern w:val="0"/>
                <w:szCs w:val="20"/>
              </w:rPr>
            </w:pPr>
          </w:p>
        </w:tc>
        <w:tc>
          <w:tcPr>
            <w:tcW w:w="1200" w:type="dxa"/>
            <w:shd w:val="clear" w:color="auto" w:fill="auto"/>
            <w:vAlign w:val="bottom"/>
          </w:tcPr>
          <w:p w14:paraId="7C296024" w14:textId="77777777" w:rsidR="00327DE4" w:rsidRPr="00327DE4" w:rsidRDefault="00327DE4" w:rsidP="009321A3">
            <w:pPr>
              <w:widowControl/>
              <w:spacing w:line="0" w:lineRule="atLeast"/>
              <w:jc w:val="left"/>
              <w:rPr>
                <w:rFonts w:ascii="Times New Roman" w:eastAsia="Times New Roman" w:hAnsi="Times New Roman" w:cs="Arial"/>
                <w:kern w:val="0"/>
                <w:szCs w:val="20"/>
              </w:rPr>
            </w:pPr>
          </w:p>
        </w:tc>
      </w:tr>
      <w:tr w:rsidR="00327DE4" w:rsidRPr="00327DE4" w14:paraId="57DB2F7C" w14:textId="77777777" w:rsidTr="00286DEB">
        <w:trPr>
          <w:trHeight w:val="233"/>
        </w:trPr>
        <w:tc>
          <w:tcPr>
            <w:tcW w:w="1220" w:type="dxa"/>
            <w:shd w:val="clear" w:color="auto" w:fill="auto"/>
            <w:vAlign w:val="bottom"/>
          </w:tcPr>
          <w:p w14:paraId="55543F24"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T3</w:t>
            </w:r>
          </w:p>
        </w:tc>
        <w:tc>
          <w:tcPr>
            <w:tcW w:w="3460" w:type="dxa"/>
            <w:gridSpan w:val="3"/>
            <w:shd w:val="clear" w:color="auto" w:fill="auto"/>
            <w:vAlign w:val="bottom"/>
          </w:tcPr>
          <w:p w14:paraId="1C071C73"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肿瘤穿透固有肌层至无浆膜覆盖的浆膜下组织</w:t>
            </w:r>
          </w:p>
        </w:tc>
      </w:tr>
      <w:tr w:rsidR="00327DE4" w:rsidRPr="00327DE4" w14:paraId="37CF229E" w14:textId="77777777" w:rsidTr="00286DEB">
        <w:trPr>
          <w:trHeight w:val="235"/>
        </w:trPr>
        <w:tc>
          <w:tcPr>
            <w:tcW w:w="1220" w:type="dxa"/>
            <w:shd w:val="clear" w:color="auto" w:fill="auto"/>
            <w:vAlign w:val="bottom"/>
          </w:tcPr>
          <w:p w14:paraId="0EB97B5F"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T4</w:t>
            </w:r>
          </w:p>
        </w:tc>
        <w:tc>
          <w:tcPr>
            <w:tcW w:w="3460" w:type="dxa"/>
            <w:gridSpan w:val="3"/>
            <w:shd w:val="clear" w:color="auto" w:fill="auto"/>
            <w:vAlign w:val="bottom"/>
          </w:tcPr>
          <w:p w14:paraId="7CBE9E62"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肿瘤浸润脏层腹膜( 浆膜) 或其他器官或相邻</w:t>
            </w:r>
          </w:p>
        </w:tc>
      </w:tr>
      <w:tr w:rsidR="00327DE4" w:rsidRPr="00327DE4" w14:paraId="25ADAC54" w14:textId="77777777" w:rsidTr="00286DEB">
        <w:trPr>
          <w:trHeight w:val="220"/>
        </w:trPr>
        <w:tc>
          <w:tcPr>
            <w:tcW w:w="1220" w:type="dxa"/>
            <w:shd w:val="clear" w:color="auto" w:fill="auto"/>
            <w:vAlign w:val="bottom"/>
          </w:tcPr>
          <w:p w14:paraId="206FDB8C" w14:textId="77777777" w:rsidR="00327DE4" w:rsidRPr="00327DE4" w:rsidRDefault="00327DE4" w:rsidP="009321A3">
            <w:pPr>
              <w:widowControl/>
              <w:spacing w:line="0" w:lineRule="atLeast"/>
              <w:jc w:val="left"/>
              <w:rPr>
                <w:rFonts w:ascii="Times New Roman" w:eastAsia="Times New Roman" w:hAnsi="Times New Roman" w:cs="Arial"/>
                <w:kern w:val="0"/>
                <w:sz w:val="19"/>
                <w:szCs w:val="20"/>
              </w:rPr>
            </w:pPr>
          </w:p>
        </w:tc>
        <w:tc>
          <w:tcPr>
            <w:tcW w:w="1540" w:type="dxa"/>
            <w:shd w:val="clear" w:color="auto" w:fill="auto"/>
            <w:vAlign w:val="bottom"/>
          </w:tcPr>
          <w:p w14:paraId="7E463CA8"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结构</w:t>
            </w:r>
          </w:p>
        </w:tc>
        <w:tc>
          <w:tcPr>
            <w:tcW w:w="720" w:type="dxa"/>
            <w:shd w:val="clear" w:color="auto" w:fill="auto"/>
            <w:vAlign w:val="bottom"/>
          </w:tcPr>
          <w:p w14:paraId="6791FF13" w14:textId="77777777" w:rsidR="00327DE4" w:rsidRPr="00327DE4" w:rsidRDefault="00327DE4" w:rsidP="009321A3">
            <w:pPr>
              <w:widowControl/>
              <w:spacing w:line="0" w:lineRule="atLeast"/>
              <w:jc w:val="left"/>
              <w:rPr>
                <w:rFonts w:ascii="Times New Roman" w:eastAsia="Times New Roman" w:hAnsi="Times New Roman" w:cs="Arial"/>
                <w:kern w:val="0"/>
                <w:sz w:val="19"/>
                <w:szCs w:val="20"/>
              </w:rPr>
            </w:pPr>
          </w:p>
        </w:tc>
        <w:tc>
          <w:tcPr>
            <w:tcW w:w="1200" w:type="dxa"/>
            <w:shd w:val="clear" w:color="auto" w:fill="auto"/>
            <w:vAlign w:val="bottom"/>
          </w:tcPr>
          <w:p w14:paraId="66F37A74" w14:textId="77777777" w:rsidR="00327DE4" w:rsidRPr="00327DE4" w:rsidRDefault="00327DE4" w:rsidP="009321A3">
            <w:pPr>
              <w:widowControl/>
              <w:spacing w:line="0" w:lineRule="atLeast"/>
              <w:jc w:val="left"/>
              <w:rPr>
                <w:rFonts w:ascii="Times New Roman" w:eastAsia="Times New Roman" w:hAnsi="Times New Roman" w:cs="Arial"/>
                <w:kern w:val="0"/>
                <w:sz w:val="19"/>
                <w:szCs w:val="20"/>
              </w:rPr>
            </w:pPr>
          </w:p>
        </w:tc>
      </w:tr>
      <w:tr w:rsidR="00327DE4" w:rsidRPr="00327DE4" w14:paraId="78AE937B" w14:textId="77777777" w:rsidTr="00286DEB">
        <w:trPr>
          <w:trHeight w:val="49"/>
        </w:trPr>
        <w:tc>
          <w:tcPr>
            <w:tcW w:w="1220" w:type="dxa"/>
            <w:tcBorders>
              <w:bottom w:val="single" w:sz="8" w:space="0" w:color="auto"/>
            </w:tcBorders>
            <w:shd w:val="clear" w:color="auto" w:fill="auto"/>
            <w:vAlign w:val="bottom"/>
          </w:tcPr>
          <w:p w14:paraId="12B8D37B" w14:textId="77777777" w:rsidR="00327DE4" w:rsidRPr="00327DE4" w:rsidRDefault="00327DE4" w:rsidP="009321A3">
            <w:pPr>
              <w:widowControl/>
              <w:spacing w:line="0" w:lineRule="atLeast"/>
              <w:jc w:val="left"/>
              <w:rPr>
                <w:rFonts w:ascii="Times New Roman" w:eastAsia="Times New Roman" w:hAnsi="Times New Roman" w:cs="Arial"/>
                <w:kern w:val="0"/>
                <w:sz w:val="4"/>
                <w:szCs w:val="20"/>
              </w:rPr>
            </w:pPr>
          </w:p>
        </w:tc>
        <w:tc>
          <w:tcPr>
            <w:tcW w:w="1540" w:type="dxa"/>
            <w:tcBorders>
              <w:bottom w:val="single" w:sz="8" w:space="0" w:color="auto"/>
            </w:tcBorders>
            <w:shd w:val="clear" w:color="auto" w:fill="auto"/>
            <w:vAlign w:val="bottom"/>
          </w:tcPr>
          <w:p w14:paraId="5795DBAA" w14:textId="77777777" w:rsidR="00327DE4" w:rsidRPr="00327DE4" w:rsidRDefault="00327DE4" w:rsidP="009321A3">
            <w:pPr>
              <w:widowControl/>
              <w:spacing w:line="0" w:lineRule="atLeast"/>
              <w:jc w:val="left"/>
              <w:rPr>
                <w:rFonts w:ascii="Times New Roman" w:eastAsia="Times New Roman" w:hAnsi="Times New Roman" w:cs="Arial"/>
                <w:kern w:val="0"/>
                <w:sz w:val="4"/>
                <w:szCs w:val="20"/>
              </w:rPr>
            </w:pPr>
          </w:p>
        </w:tc>
        <w:tc>
          <w:tcPr>
            <w:tcW w:w="720" w:type="dxa"/>
            <w:tcBorders>
              <w:bottom w:val="single" w:sz="8" w:space="0" w:color="auto"/>
            </w:tcBorders>
            <w:shd w:val="clear" w:color="auto" w:fill="auto"/>
            <w:vAlign w:val="bottom"/>
          </w:tcPr>
          <w:p w14:paraId="2B18FBA0" w14:textId="77777777" w:rsidR="00327DE4" w:rsidRPr="00327DE4" w:rsidRDefault="00327DE4" w:rsidP="009321A3">
            <w:pPr>
              <w:widowControl/>
              <w:spacing w:line="0" w:lineRule="atLeast"/>
              <w:jc w:val="left"/>
              <w:rPr>
                <w:rFonts w:ascii="Times New Roman" w:eastAsia="Times New Roman" w:hAnsi="Times New Roman" w:cs="Arial"/>
                <w:kern w:val="0"/>
                <w:sz w:val="4"/>
                <w:szCs w:val="20"/>
              </w:rPr>
            </w:pPr>
          </w:p>
        </w:tc>
        <w:tc>
          <w:tcPr>
            <w:tcW w:w="1200" w:type="dxa"/>
            <w:tcBorders>
              <w:bottom w:val="single" w:sz="8" w:space="0" w:color="auto"/>
            </w:tcBorders>
            <w:shd w:val="clear" w:color="auto" w:fill="auto"/>
            <w:vAlign w:val="bottom"/>
          </w:tcPr>
          <w:p w14:paraId="7879EE0E" w14:textId="77777777" w:rsidR="00327DE4" w:rsidRPr="00327DE4" w:rsidRDefault="00327DE4" w:rsidP="009321A3">
            <w:pPr>
              <w:widowControl/>
              <w:spacing w:line="0" w:lineRule="atLeast"/>
              <w:jc w:val="left"/>
              <w:rPr>
                <w:rFonts w:ascii="Times New Roman" w:eastAsia="Times New Roman" w:hAnsi="Times New Roman" w:cs="Arial"/>
                <w:kern w:val="0"/>
                <w:sz w:val="4"/>
                <w:szCs w:val="20"/>
              </w:rPr>
            </w:pPr>
          </w:p>
        </w:tc>
      </w:tr>
      <w:tr w:rsidR="00327DE4" w:rsidRPr="00327DE4" w14:paraId="56CE7E96" w14:textId="77777777" w:rsidTr="00286DEB">
        <w:trPr>
          <w:trHeight w:val="192"/>
        </w:trPr>
        <w:tc>
          <w:tcPr>
            <w:tcW w:w="1220" w:type="dxa"/>
            <w:shd w:val="clear" w:color="auto" w:fill="auto"/>
            <w:vAlign w:val="bottom"/>
          </w:tcPr>
          <w:p w14:paraId="5C5CD463" w14:textId="77777777" w:rsidR="00327DE4" w:rsidRPr="00327DE4" w:rsidRDefault="00327DE4" w:rsidP="009321A3">
            <w:pPr>
              <w:widowControl/>
              <w:spacing w:line="192" w:lineRule="exact"/>
              <w:jc w:val="left"/>
              <w:rPr>
                <w:rFonts w:ascii="宋体" w:eastAsia="宋体" w:hAnsi="宋体" w:cs="Arial"/>
                <w:kern w:val="0"/>
                <w:sz w:val="16"/>
                <w:szCs w:val="20"/>
              </w:rPr>
            </w:pPr>
            <w:r w:rsidRPr="00327DE4">
              <w:rPr>
                <w:rFonts w:ascii="宋体" w:eastAsia="宋体" w:hAnsi="宋体" w:cs="Arial"/>
                <w:kern w:val="0"/>
                <w:sz w:val="16"/>
                <w:szCs w:val="20"/>
              </w:rPr>
              <w:lastRenderedPageBreak/>
              <w:t xml:space="preserve">区域淋巴结( </w:t>
            </w:r>
            <w:r w:rsidRPr="00327DE4">
              <w:rPr>
                <w:rFonts w:ascii="Arial" w:eastAsia="Arial" w:hAnsi="Arial" w:cs="Arial"/>
                <w:kern w:val="0"/>
                <w:sz w:val="16"/>
                <w:szCs w:val="20"/>
              </w:rPr>
              <w:t>N</w:t>
            </w:r>
            <w:r w:rsidRPr="00327DE4">
              <w:rPr>
                <w:rFonts w:ascii="宋体" w:eastAsia="宋体" w:hAnsi="宋体" w:cs="Arial"/>
                <w:kern w:val="0"/>
                <w:sz w:val="16"/>
                <w:szCs w:val="20"/>
              </w:rPr>
              <w:t>)</w:t>
            </w:r>
          </w:p>
        </w:tc>
        <w:tc>
          <w:tcPr>
            <w:tcW w:w="1540" w:type="dxa"/>
            <w:shd w:val="clear" w:color="auto" w:fill="auto"/>
            <w:vAlign w:val="bottom"/>
          </w:tcPr>
          <w:p w14:paraId="704CB9CC" w14:textId="77777777" w:rsidR="00327DE4" w:rsidRPr="00327DE4" w:rsidRDefault="00327DE4" w:rsidP="009321A3">
            <w:pPr>
              <w:widowControl/>
              <w:spacing w:line="0" w:lineRule="atLeast"/>
              <w:jc w:val="left"/>
              <w:rPr>
                <w:rFonts w:ascii="Times New Roman" w:eastAsia="Times New Roman" w:hAnsi="Times New Roman" w:cs="Arial"/>
                <w:kern w:val="0"/>
                <w:sz w:val="16"/>
                <w:szCs w:val="20"/>
              </w:rPr>
            </w:pPr>
          </w:p>
        </w:tc>
        <w:tc>
          <w:tcPr>
            <w:tcW w:w="720" w:type="dxa"/>
            <w:shd w:val="clear" w:color="auto" w:fill="auto"/>
            <w:vAlign w:val="bottom"/>
          </w:tcPr>
          <w:p w14:paraId="4A80AD29" w14:textId="77777777" w:rsidR="00327DE4" w:rsidRPr="00327DE4" w:rsidRDefault="00327DE4" w:rsidP="009321A3">
            <w:pPr>
              <w:widowControl/>
              <w:spacing w:line="0" w:lineRule="atLeast"/>
              <w:jc w:val="left"/>
              <w:rPr>
                <w:rFonts w:ascii="Times New Roman" w:eastAsia="Times New Roman" w:hAnsi="Times New Roman" w:cs="Arial"/>
                <w:kern w:val="0"/>
                <w:sz w:val="16"/>
                <w:szCs w:val="20"/>
              </w:rPr>
            </w:pPr>
          </w:p>
        </w:tc>
        <w:tc>
          <w:tcPr>
            <w:tcW w:w="1200" w:type="dxa"/>
            <w:shd w:val="clear" w:color="auto" w:fill="auto"/>
            <w:vAlign w:val="bottom"/>
          </w:tcPr>
          <w:p w14:paraId="457FE705" w14:textId="77777777" w:rsidR="00327DE4" w:rsidRPr="00327DE4" w:rsidRDefault="00327DE4" w:rsidP="009321A3">
            <w:pPr>
              <w:widowControl/>
              <w:spacing w:line="0" w:lineRule="atLeast"/>
              <w:jc w:val="left"/>
              <w:rPr>
                <w:rFonts w:ascii="Times New Roman" w:eastAsia="Times New Roman" w:hAnsi="Times New Roman" w:cs="Arial"/>
                <w:kern w:val="0"/>
                <w:sz w:val="16"/>
                <w:szCs w:val="20"/>
              </w:rPr>
            </w:pPr>
          </w:p>
        </w:tc>
      </w:tr>
      <w:tr w:rsidR="00327DE4" w:rsidRPr="00327DE4" w14:paraId="4DCCF91D" w14:textId="77777777" w:rsidTr="00286DEB">
        <w:trPr>
          <w:trHeight w:val="239"/>
        </w:trPr>
        <w:tc>
          <w:tcPr>
            <w:tcW w:w="1220" w:type="dxa"/>
            <w:shd w:val="clear" w:color="auto" w:fill="auto"/>
            <w:vAlign w:val="bottom"/>
          </w:tcPr>
          <w:p w14:paraId="4ADB1D2E" w14:textId="77777777" w:rsidR="00327DE4" w:rsidRPr="00327DE4" w:rsidRDefault="00327DE4" w:rsidP="009321A3">
            <w:pPr>
              <w:widowControl/>
              <w:spacing w:line="0" w:lineRule="atLeast"/>
              <w:jc w:val="left"/>
              <w:rPr>
                <w:rFonts w:ascii="宋体" w:eastAsia="宋体" w:hAnsi="宋体" w:cs="Arial"/>
                <w:kern w:val="0"/>
                <w:sz w:val="16"/>
                <w:szCs w:val="20"/>
              </w:rPr>
            </w:pPr>
            <w:r w:rsidRPr="00327DE4">
              <w:rPr>
                <w:rFonts w:ascii="Arial" w:eastAsia="Arial" w:hAnsi="Arial" w:cs="Arial"/>
                <w:kern w:val="0"/>
                <w:sz w:val="16"/>
                <w:szCs w:val="20"/>
              </w:rPr>
              <w:t xml:space="preserve">N </w:t>
            </w:r>
            <w:r w:rsidRPr="00327DE4">
              <w:rPr>
                <w:rFonts w:ascii="宋体" w:eastAsia="宋体" w:hAnsi="宋体" w:cs="Arial"/>
                <w:kern w:val="0"/>
                <w:sz w:val="16"/>
                <w:szCs w:val="20"/>
              </w:rPr>
              <w:t>类</w:t>
            </w:r>
          </w:p>
        </w:tc>
        <w:tc>
          <w:tcPr>
            <w:tcW w:w="1540" w:type="dxa"/>
            <w:shd w:val="clear" w:color="auto" w:fill="auto"/>
            <w:vAlign w:val="bottom"/>
          </w:tcPr>
          <w:p w14:paraId="52FB3BA3"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Arial" w:eastAsia="Arial" w:hAnsi="Arial" w:cs="Arial"/>
                <w:kern w:val="0"/>
                <w:sz w:val="16"/>
                <w:szCs w:val="20"/>
              </w:rPr>
              <w:t xml:space="preserve">N </w:t>
            </w:r>
            <w:r w:rsidRPr="00327DE4">
              <w:rPr>
                <w:rFonts w:ascii="宋体" w:eastAsia="宋体" w:hAnsi="宋体" w:cs="Arial"/>
                <w:kern w:val="0"/>
                <w:sz w:val="16"/>
                <w:szCs w:val="20"/>
              </w:rPr>
              <w:t>标准</w:t>
            </w:r>
          </w:p>
        </w:tc>
        <w:tc>
          <w:tcPr>
            <w:tcW w:w="720" w:type="dxa"/>
            <w:shd w:val="clear" w:color="auto" w:fill="auto"/>
            <w:vAlign w:val="bottom"/>
          </w:tcPr>
          <w:p w14:paraId="0B2BB276"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266A0EF8"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70652832" w14:textId="77777777" w:rsidTr="00286DEB">
        <w:trPr>
          <w:trHeight w:val="239"/>
        </w:trPr>
        <w:tc>
          <w:tcPr>
            <w:tcW w:w="1220" w:type="dxa"/>
            <w:shd w:val="clear" w:color="auto" w:fill="auto"/>
            <w:vAlign w:val="bottom"/>
          </w:tcPr>
          <w:p w14:paraId="4B7DB024"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NX</w:t>
            </w:r>
          </w:p>
        </w:tc>
        <w:tc>
          <w:tcPr>
            <w:tcW w:w="2260" w:type="dxa"/>
            <w:gridSpan w:val="2"/>
            <w:shd w:val="clear" w:color="auto" w:fill="auto"/>
            <w:vAlign w:val="bottom"/>
          </w:tcPr>
          <w:p w14:paraId="2FDB306B"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区域淋巴结无法评估</w:t>
            </w:r>
          </w:p>
        </w:tc>
        <w:tc>
          <w:tcPr>
            <w:tcW w:w="1200" w:type="dxa"/>
            <w:shd w:val="clear" w:color="auto" w:fill="auto"/>
            <w:vAlign w:val="bottom"/>
          </w:tcPr>
          <w:p w14:paraId="06DD3C76"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4E657809" w14:textId="77777777" w:rsidTr="00286DEB">
        <w:trPr>
          <w:trHeight w:val="239"/>
        </w:trPr>
        <w:tc>
          <w:tcPr>
            <w:tcW w:w="1220" w:type="dxa"/>
            <w:shd w:val="clear" w:color="auto" w:fill="auto"/>
            <w:vAlign w:val="bottom"/>
          </w:tcPr>
          <w:p w14:paraId="73C4023E"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N0</w:t>
            </w:r>
          </w:p>
        </w:tc>
        <w:tc>
          <w:tcPr>
            <w:tcW w:w="1540" w:type="dxa"/>
            <w:shd w:val="clear" w:color="auto" w:fill="auto"/>
            <w:vAlign w:val="bottom"/>
          </w:tcPr>
          <w:p w14:paraId="4196FCEF"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区域淋巴结无转移</w:t>
            </w:r>
          </w:p>
        </w:tc>
        <w:tc>
          <w:tcPr>
            <w:tcW w:w="720" w:type="dxa"/>
            <w:shd w:val="clear" w:color="auto" w:fill="auto"/>
            <w:vAlign w:val="bottom"/>
          </w:tcPr>
          <w:p w14:paraId="587232C4"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30127028"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29FDFF5A" w14:textId="77777777" w:rsidTr="00286DEB">
        <w:trPr>
          <w:trHeight w:val="239"/>
        </w:trPr>
        <w:tc>
          <w:tcPr>
            <w:tcW w:w="1220" w:type="dxa"/>
            <w:shd w:val="clear" w:color="auto" w:fill="auto"/>
            <w:vAlign w:val="bottom"/>
          </w:tcPr>
          <w:p w14:paraId="25BAD261"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N1</w:t>
            </w:r>
          </w:p>
        </w:tc>
        <w:tc>
          <w:tcPr>
            <w:tcW w:w="1540" w:type="dxa"/>
            <w:shd w:val="clear" w:color="auto" w:fill="auto"/>
            <w:vAlign w:val="bottom"/>
          </w:tcPr>
          <w:p w14:paraId="0B25964D"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区域淋巴结有转移</w:t>
            </w:r>
          </w:p>
        </w:tc>
        <w:tc>
          <w:tcPr>
            <w:tcW w:w="720" w:type="dxa"/>
            <w:shd w:val="clear" w:color="auto" w:fill="auto"/>
            <w:vAlign w:val="bottom"/>
          </w:tcPr>
          <w:p w14:paraId="3C03D141"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797F76D0"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64689B76" w14:textId="77777777" w:rsidTr="00286DEB">
        <w:trPr>
          <w:trHeight w:val="28"/>
        </w:trPr>
        <w:tc>
          <w:tcPr>
            <w:tcW w:w="1220" w:type="dxa"/>
            <w:tcBorders>
              <w:bottom w:val="single" w:sz="8" w:space="0" w:color="auto"/>
            </w:tcBorders>
            <w:shd w:val="clear" w:color="auto" w:fill="auto"/>
            <w:vAlign w:val="bottom"/>
          </w:tcPr>
          <w:p w14:paraId="1039E7DB"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c>
          <w:tcPr>
            <w:tcW w:w="1540" w:type="dxa"/>
            <w:tcBorders>
              <w:bottom w:val="single" w:sz="8" w:space="0" w:color="auto"/>
            </w:tcBorders>
            <w:shd w:val="clear" w:color="auto" w:fill="auto"/>
            <w:vAlign w:val="bottom"/>
          </w:tcPr>
          <w:p w14:paraId="18806CF7"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c>
          <w:tcPr>
            <w:tcW w:w="720" w:type="dxa"/>
            <w:tcBorders>
              <w:bottom w:val="single" w:sz="8" w:space="0" w:color="auto"/>
            </w:tcBorders>
            <w:shd w:val="clear" w:color="auto" w:fill="auto"/>
            <w:vAlign w:val="bottom"/>
          </w:tcPr>
          <w:p w14:paraId="11E1003F"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c>
          <w:tcPr>
            <w:tcW w:w="1200" w:type="dxa"/>
            <w:tcBorders>
              <w:bottom w:val="single" w:sz="8" w:space="0" w:color="auto"/>
            </w:tcBorders>
            <w:shd w:val="clear" w:color="auto" w:fill="auto"/>
            <w:vAlign w:val="bottom"/>
          </w:tcPr>
          <w:p w14:paraId="7FD3336B"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r>
      <w:tr w:rsidR="00327DE4" w:rsidRPr="00327DE4" w14:paraId="5F39DBBE" w14:textId="77777777" w:rsidTr="00286DEB">
        <w:trPr>
          <w:trHeight w:val="191"/>
        </w:trPr>
        <w:tc>
          <w:tcPr>
            <w:tcW w:w="1220" w:type="dxa"/>
            <w:shd w:val="clear" w:color="auto" w:fill="auto"/>
            <w:vAlign w:val="bottom"/>
          </w:tcPr>
          <w:p w14:paraId="1C20E6FE" w14:textId="77777777" w:rsidR="00327DE4" w:rsidRPr="00327DE4" w:rsidRDefault="00327DE4" w:rsidP="009321A3">
            <w:pPr>
              <w:widowControl/>
              <w:spacing w:line="191" w:lineRule="exact"/>
              <w:jc w:val="left"/>
              <w:rPr>
                <w:rFonts w:ascii="宋体" w:eastAsia="宋体" w:hAnsi="宋体" w:cs="Arial"/>
                <w:kern w:val="0"/>
                <w:sz w:val="16"/>
                <w:szCs w:val="20"/>
              </w:rPr>
            </w:pPr>
            <w:r w:rsidRPr="00327DE4">
              <w:rPr>
                <w:rFonts w:ascii="宋体" w:eastAsia="宋体" w:hAnsi="宋体" w:cs="Arial"/>
                <w:kern w:val="0"/>
                <w:sz w:val="16"/>
                <w:szCs w:val="20"/>
              </w:rPr>
              <w:t xml:space="preserve">远处转移( </w:t>
            </w:r>
            <w:r w:rsidRPr="00327DE4">
              <w:rPr>
                <w:rFonts w:ascii="Arial" w:eastAsia="Arial" w:hAnsi="Arial" w:cs="Arial"/>
                <w:kern w:val="0"/>
                <w:sz w:val="16"/>
                <w:szCs w:val="20"/>
              </w:rPr>
              <w:t>M</w:t>
            </w:r>
            <w:r w:rsidRPr="00327DE4">
              <w:rPr>
                <w:rFonts w:ascii="宋体" w:eastAsia="宋体" w:hAnsi="宋体" w:cs="Arial"/>
                <w:kern w:val="0"/>
                <w:sz w:val="16"/>
                <w:szCs w:val="20"/>
              </w:rPr>
              <w:t>)</w:t>
            </w:r>
          </w:p>
        </w:tc>
        <w:tc>
          <w:tcPr>
            <w:tcW w:w="1540" w:type="dxa"/>
            <w:shd w:val="clear" w:color="auto" w:fill="auto"/>
            <w:vAlign w:val="bottom"/>
          </w:tcPr>
          <w:p w14:paraId="354A720B" w14:textId="77777777" w:rsidR="00327DE4" w:rsidRPr="00327DE4" w:rsidRDefault="00327DE4" w:rsidP="009321A3">
            <w:pPr>
              <w:widowControl/>
              <w:spacing w:line="0" w:lineRule="atLeast"/>
              <w:jc w:val="left"/>
              <w:rPr>
                <w:rFonts w:ascii="Times New Roman" w:eastAsia="Times New Roman" w:hAnsi="Times New Roman" w:cs="Arial"/>
                <w:kern w:val="0"/>
                <w:sz w:val="16"/>
                <w:szCs w:val="20"/>
              </w:rPr>
            </w:pPr>
          </w:p>
        </w:tc>
        <w:tc>
          <w:tcPr>
            <w:tcW w:w="720" w:type="dxa"/>
            <w:shd w:val="clear" w:color="auto" w:fill="auto"/>
            <w:vAlign w:val="bottom"/>
          </w:tcPr>
          <w:p w14:paraId="0405ECB0" w14:textId="77777777" w:rsidR="00327DE4" w:rsidRPr="00327DE4" w:rsidRDefault="00327DE4" w:rsidP="009321A3">
            <w:pPr>
              <w:widowControl/>
              <w:spacing w:line="0" w:lineRule="atLeast"/>
              <w:jc w:val="left"/>
              <w:rPr>
                <w:rFonts w:ascii="Times New Roman" w:eastAsia="Times New Roman" w:hAnsi="Times New Roman" w:cs="Arial"/>
                <w:kern w:val="0"/>
                <w:sz w:val="16"/>
                <w:szCs w:val="20"/>
              </w:rPr>
            </w:pPr>
          </w:p>
        </w:tc>
        <w:tc>
          <w:tcPr>
            <w:tcW w:w="1200" w:type="dxa"/>
            <w:shd w:val="clear" w:color="auto" w:fill="auto"/>
            <w:vAlign w:val="bottom"/>
          </w:tcPr>
          <w:p w14:paraId="7255C37F" w14:textId="77777777" w:rsidR="00327DE4" w:rsidRPr="00327DE4" w:rsidRDefault="00327DE4" w:rsidP="009321A3">
            <w:pPr>
              <w:widowControl/>
              <w:spacing w:line="0" w:lineRule="atLeast"/>
              <w:jc w:val="left"/>
              <w:rPr>
                <w:rFonts w:ascii="Times New Roman" w:eastAsia="Times New Roman" w:hAnsi="Times New Roman" w:cs="Arial"/>
                <w:kern w:val="0"/>
                <w:sz w:val="16"/>
                <w:szCs w:val="20"/>
              </w:rPr>
            </w:pPr>
          </w:p>
        </w:tc>
      </w:tr>
      <w:tr w:rsidR="00327DE4" w:rsidRPr="00327DE4" w14:paraId="5D8CC847" w14:textId="77777777" w:rsidTr="00286DEB">
        <w:trPr>
          <w:trHeight w:val="239"/>
        </w:trPr>
        <w:tc>
          <w:tcPr>
            <w:tcW w:w="1220" w:type="dxa"/>
            <w:shd w:val="clear" w:color="auto" w:fill="auto"/>
            <w:vAlign w:val="bottom"/>
          </w:tcPr>
          <w:p w14:paraId="49AFE48F" w14:textId="77777777" w:rsidR="00327DE4" w:rsidRPr="00327DE4" w:rsidRDefault="00327DE4" w:rsidP="009321A3">
            <w:pPr>
              <w:widowControl/>
              <w:spacing w:line="0" w:lineRule="atLeast"/>
              <w:jc w:val="left"/>
              <w:rPr>
                <w:rFonts w:ascii="宋体" w:eastAsia="宋体" w:hAnsi="宋体" w:cs="Arial"/>
                <w:kern w:val="0"/>
                <w:sz w:val="16"/>
                <w:szCs w:val="20"/>
              </w:rPr>
            </w:pPr>
            <w:r w:rsidRPr="00327DE4">
              <w:rPr>
                <w:rFonts w:ascii="Arial" w:eastAsia="Arial" w:hAnsi="Arial" w:cs="Arial"/>
                <w:kern w:val="0"/>
                <w:sz w:val="16"/>
                <w:szCs w:val="20"/>
              </w:rPr>
              <w:t xml:space="preserve">M </w:t>
            </w:r>
            <w:r w:rsidRPr="00327DE4">
              <w:rPr>
                <w:rFonts w:ascii="宋体" w:eastAsia="宋体" w:hAnsi="宋体" w:cs="Arial"/>
                <w:kern w:val="0"/>
                <w:sz w:val="16"/>
                <w:szCs w:val="20"/>
              </w:rPr>
              <w:t>类</w:t>
            </w:r>
          </w:p>
        </w:tc>
        <w:tc>
          <w:tcPr>
            <w:tcW w:w="1540" w:type="dxa"/>
            <w:shd w:val="clear" w:color="auto" w:fill="auto"/>
            <w:vAlign w:val="bottom"/>
          </w:tcPr>
          <w:p w14:paraId="7BE0284C"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Arial" w:eastAsia="Arial" w:hAnsi="Arial" w:cs="Arial"/>
                <w:kern w:val="0"/>
                <w:sz w:val="16"/>
                <w:szCs w:val="20"/>
              </w:rPr>
              <w:t xml:space="preserve">M </w:t>
            </w:r>
            <w:r w:rsidRPr="00327DE4">
              <w:rPr>
                <w:rFonts w:ascii="宋体" w:eastAsia="宋体" w:hAnsi="宋体" w:cs="Arial"/>
                <w:kern w:val="0"/>
                <w:sz w:val="16"/>
                <w:szCs w:val="20"/>
              </w:rPr>
              <w:t>标准</w:t>
            </w:r>
          </w:p>
        </w:tc>
        <w:tc>
          <w:tcPr>
            <w:tcW w:w="720" w:type="dxa"/>
            <w:shd w:val="clear" w:color="auto" w:fill="auto"/>
            <w:vAlign w:val="bottom"/>
          </w:tcPr>
          <w:p w14:paraId="6176F075"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2AF3944B"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48E42AA3" w14:textId="77777777" w:rsidTr="00286DEB">
        <w:trPr>
          <w:trHeight w:val="239"/>
        </w:trPr>
        <w:tc>
          <w:tcPr>
            <w:tcW w:w="1220" w:type="dxa"/>
            <w:shd w:val="clear" w:color="auto" w:fill="auto"/>
            <w:vAlign w:val="bottom"/>
          </w:tcPr>
          <w:p w14:paraId="7CEC2D1F"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M0</w:t>
            </w:r>
          </w:p>
        </w:tc>
        <w:tc>
          <w:tcPr>
            <w:tcW w:w="1540" w:type="dxa"/>
            <w:shd w:val="clear" w:color="auto" w:fill="auto"/>
            <w:vAlign w:val="bottom"/>
          </w:tcPr>
          <w:p w14:paraId="0B8BFC98"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无远处转移</w:t>
            </w:r>
          </w:p>
        </w:tc>
        <w:tc>
          <w:tcPr>
            <w:tcW w:w="720" w:type="dxa"/>
            <w:shd w:val="clear" w:color="auto" w:fill="auto"/>
            <w:vAlign w:val="bottom"/>
          </w:tcPr>
          <w:p w14:paraId="1466104A"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2A8B9BC9"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537C880E" w14:textId="77777777" w:rsidTr="00286DEB">
        <w:trPr>
          <w:trHeight w:val="239"/>
        </w:trPr>
        <w:tc>
          <w:tcPr>
            <w:tcW w:w="1220" w:type="dxa"/>
            <w:shd w:val="clear" w:color="auto" w:fill="auto"/>
            <w:vAlign w:val="bottom"/>
          </w:tcPr>
          <w:p w14:paraId="74448707"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M1</w:t>
            </w:r>
          </w:p>
        </w:tc>
        <w:tc>
          <w:tcPr>
            <w:tcW w:w="1540" w:type="dxa"/>
            <w:shd w:val="clear" w:color="auto" w:fill="auto"/>
            <w:vAlign w:val="bottom"/>
          </w:tcPr>
          <w:p w14:paraId="03FD1341"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有远处转移</w:t>
            </w:r>
          </w:p>
        </w:tc>
        <w:tc>
          <w:tcPr>
            <w:tcW w:w="720" w:type="dxa"/>
            <w:shd w:val="clear" w:color="auto" w:fill="auto"/>
            <w:vAlign w:val="bottom"/>
          </w:tcPr>
          <w:p w14:paraId="1ED853E5"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6C174344"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7A9183F7" w14:textId="77777777" w:rsidTr="00286DEB">
        <w:trPr>
          <w:trHeight w:val="239"/>
        </w:trPr>
        <w:tc>
          <w:tcPr>
            <w:tcW w:w="1220" w:type="dxa"/>
            <w:shd w:val="clear" w:color="auto" w:fill="auto"/>
            <w:vAlign w:val="bottom"/>
          </w:tcPr>
          <w:p w14:paraId="6B7C60C4" w14:textId="77777777" w:rsidR="00327DE4" w:rsidRPr="00327DE4" w:rsidRDefault="00327DE4" w:rsidP="009321A3">
            <w:pPr>
              <w:widowControl/>
              <w:spacing w:line="0" w:lineRule="atLeast"/>
              <w:ind w:left="160"/>
              <w:jc w:val="left"/>
              <w:rPr>
                <w:rFonts w:ascii="Arial" w:eastAsia="Arial" w:hAnsi="Arial" w:cs="Arial"/>
                <w:kern w:val="0"/>
                <w:sz w:val="16"/>
                <w:szCs w:val="20"/>
              </w:rPr>
            </w:pPr>
            <w:r w:rsidRPr="00327DE4">
              <w:rPr>
                <w:rFonts w:ascii="Arial" w:eastAsia="Arial" w:hAnsi="Arial" w:cs="Arial"/>
                <w:kern w:val="0"/>
                <w:sz w:val="16"/>
                <w:szCs w:val="20"/>
              </w:rPr>
              <w:t>M1a</w:t>
            </w:r>
          </w:p>
        </w:tc>
        <w:tc>
          <w:tcPr>
            <w:tcW w:w="1540" w:type="dxa"/>
            <w:shd w:val="clear" w:color="auto" w:fill="auto"/>
            <w:vAlign w:val="bottom"/>
          </w:tcPr>
          <w:p w14:paraId="1D993DAF"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转移限于肝脏</w:t>
            </w:r>
          </w:p>
        </w:tc>
        <w:tc>
          <w:tcPr>
            <w:tcW w:w="720" w:type="dxa"/>
            <w:shd w:val="clear" w:color="auto" w:fill="auto"/>
            <w:vAlign w:val="bottom"/>
          </w:tcPr>
          <w:p w14:paraId="1AE02D6E"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c>
          <w:tcPr>
            <w:tcW w:w="1200" w:type="dxa"/>
            <w:shd w:val="clear" w:color="auto" w:fill="auto"/>
            <w:vAlign w:val="bottom"/>
          </w:tcPr>
          <w:p w14:paraId="253B9A0C"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557975D9" w14:textId="77777777" w:rsidTr="00286DEB">
        <w:trPr>
          <w:trHeight w:val="235"/>
        </w:trPr>
        <w:tc>
          <w:tcPr>
            <w:tcW w:w="1220" w:type="dxa"/>
            <w:shd w:val="clear" w:color="auto" w:fill="auto"/>
            <w:vAlign w:val="bottom"/>
          </w:tcPr>
          <w:p w14:paraId="3B80911E" w14:textId="77777777" w:rsidR="00327DE4" w:rsidRPr="00327DE4" w:rsidRDefault="00327DE4" w:rsidP="009321A3">
            <w:pPr>
              <w:widowControl/>
              <w:spacing w:line="0" w:lineRule="atLeast"/>
              <w:ind w:left="160"/>
              <w:jc w:val="left"/>
              <w:rPr>
                <w:rFonts w:ascii="Arial" w:eastAsia="Arial" w:hAnsi="Arial" w:cs="Arial"/>
                <w:kern w:val="0"/>
                <w:sz w:val="16"/>
                <w:szCs w:val="20"/>
              </w:rPr>
            </w:pPr>
            <w:r w:rsidRPr="00327DE4">
              <w:rPr>
                <w:rFonts w:ascii="Arial" w:eastAsia="Arial" w:hAnsi="Arial" w:cs="Arial"/>
                <w:kern w:val="0"/>
                <w:sz w:val="16"/>
                <w:szCs w:val="20"/>
              </w:rPr>
              <w:t>M1b</w:t>
            </w:r>
          </w:p>
        </w:tc>
        <w:tc>
          <w:tcPr>
            <w:tcW w:w="3460" w:type="dxa"/>
            <w:gridSpan w:val="3"/>
            <w:shd w:val="clear" w:color="auto" w:fill="auto"/>
            <w:vAlign w:val="bottom"/>
          </w:tcPr>
          <w:p w14:paraId="4E4C0570" w14:textId="77777777" w:rsidR="00327DE4" w:rsidRPr="00327DE4" w:rsidRDefault="00327DE4" w:rsidP="009321A3">
            <w:pPr>
              <w:widowControl/>
              <w:spacing w:line="0" w:lineRule="atLeast"/>
              <w:ind w:left="200"/>
              <w:jc w:val="left"/>
              <w:rPr>
                <w:rFonts w:ascii="宋体" w:eastAsia="宋体" w:hAnsi="宋体" w:cs="Arial"/>
                <w:w w:val="98"/>
                <w:kern w:val="0"/>
                <w:sz w:val="16"/>
                <w:szCs w:val="20"/>
              </w:rPr>
            </w:pPr>
            <w:r w:rsidRPr="00327DE4">
              <w:rPr>
                <w:rFonts w:ascii="宋体" w:eastAsia="宋体" w:hAnsi="宋体" w:cs="Arial"/>
                <w:w w:val="98"/>
                <w:kern w:val="0"/>
                <w:sz w:val="16"/>
                <w:szCs w:val="20"/>
              </w:rPr>
              <w:t>在至少一个肝外部位转移 ( 例如肺，卵巢，非</w:t>
            </w:r>
          </w:p>
        </w:tc>
      </w:tr>
      <w:tr w:rsidR="00327DE4" w:rsidRPr="00327DE4" w14:paraId="6FD10559" w14:textId="77777777" w:rsidTr="00286DEB">
        <w:trPr>
          <w:trHeight w:val="220"/>
        </w:trPr>
        <w:tc>
          <w:tcPr>
            <w:tcW w:w="1220" w:type="dxa"/>
            <w:shd w:val="clear" w:color="auto" w:fill="auto"/>
            <w:vAlign w:val="bottom"/>
          </w:tcPr>
          <w:p w14:paraId="2FAAEFB5" w14:textId="77777777" w:rsidR="00327DE4" w:rsidRPr="00327DE4" w:rsidRDefault="00327DE4" w:rsidP="009321A3">
            <w:pPr>
              <w:widowControl/>
              <w:spacing w:line="0" w:lineRule="atLeast"/>
              <w:jc w:val="left"/>
              <w:rPr>
                <w:rFonts w:ascii="Times New Roman" w:eastAsia="Times New Roman" w:hAnsi="Times New Roman" w:cs="Arial"/>
                <w:kern w:val="0"/>
                <w:sz w:val="19"/>
                <w:szCs w:val="20"/>
              </w:rPr>
            </w:pPr>
          </w:p>
        </w:tc>
        <w:tc>
          <w:tcPr>
            <w:tcW w:w="2260" w:type="dxa"/>
            <w:gridSpan w:val="2"/>
            <w:shd w:val="clear" w:color="auto" w:fill="auto"/>
            <w:vAlign w:val="bottom"/>
          </w:tcPr>
          <w:p w14:paraId="4BBABF7B"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区域淋巴结，腹膜，骨)</w:t>
            </w:r>
          </w:p>
        </w:tc>
        <w:tc>
          <w:tcPr>
            <w:tcW w:w="1200" w:type="dxa"/>
            <w:shd w:val="clear" w:color="auto" w:fill="auto"/>
            <w:vAlign w:val="bottom"/>
          </w:tcPr>
          <w:p w14:paraId="5650AB86" w14:textId="77777777" w:rsidR="00327DE4" w:rsidRPr="00327DE4" w:rsidRDefault="00327DE4" w:rsidP="009321A3">
            <w:pPr>
              <w:widowControl/>
              <w:spacing w:line="0" w:lineRule="atLeast"/>
              <w:jc w:val="left"/>
              <w:rPr>
                <w:rFonts w:ascii="Times New Roman" w:eastAsia="Times New Roman" w:hAnsi="Times New Roman" w:cs="Arial"/>
                <w:kern w:val="0"/>
                <w:sz w:val="19"/>
                <w:szCs w:val="20"/>
              </w:rPr>
            </w:pPr>
          </w:p>
        </w:tc>
      </w:tr>
      <w:tr w:rsidR="00327DE4" w:rsidRPr="00327DE4" w14:paraId="0CFAF88A" w14:textId="77777777" w:rsidTr="00286DEB">
        <w:trPr>
          <w:trHeight w:val="261"/>
        </w:trPr>
        <w:tc>
          <w:tcPr>
            <w:tcW w:w="1220" w:type="dxa"/>
            <w:shd w:val="clear" w:color="auto" w:fill="auto"/>
            <w:vAlign w:val="bottom"/>
          </w:tcPr>
          <w:p w14:paraId="40C72716" w14:textId="77777777" w:rsidR="00327DE4" w:rsidRPr="00327DE4" w:rsidRDefault="00327DE4" w:rsidP="009321A3">
            <w:pPr>
              <w:widowControl/>
              <w:spacing w:line="0" w:lineRule="atLeast"/>
              <w:ind w:left="160"/>
              <w:jc w:val="left"/>
              <w:rPr>
                <w:rFonts w:ascii="Arial" w:eastAsia="Arial" w:hAnsi="Arial" w:cs="Arial"/>
                <w:kern w:val="0"/>
                <w:sz w:val="16"/>
                <w:szCs w:val="20"/>
              </w:rPr>
            </w:pPr>
            <w:r w:rsidRPr="00327DE4">
              <w:rPr>
                <w:rFonts w:ascii="Arial" w:eastAsia="Arial" w:hAnsi="Arial" w:cs="Arial"/>
                <w:kern w:val="0"/>
                <w:sz w:val="16"/>
                <w:szCs w:val="20"/>
              </w:rPr>
              <w:t>M1c</w:t>
            </w:r>
          </w:p>
        </w:tc>
        <w:tc>
          <w:tcPr>
            <w:tcW w:w="1540" w:type="dxa"/>
            <w:shd w:val="clear" w:color="auto" w:fill="auto"/>
            <w:vAlign w:val="bottom"/>
          </w:tcPr>
          <w:p w14:paraId="3333454B" w14:textId="77777777" w:rsidR="00327DE4" w:rsidRPr="00327DE4" w:rsidRDefault="00327DE4" w:rsidP="009321A3">
            <w:pPr>
              <w:widowControl/>
              <w:spacing w:line="0" w:lineRule="atLeast"/>
              <w:ind w:left="200"/>
              <w:jc w:val="left"/>
              <w:rPr>
                <w:rFonts w:ascii="宋体" w:eastAsia="宋体" w:hAnsi="宋体" w:cs="Arial"/>
                <w:kern w:val="0"/>
                <w:sz w:val="16"/>
                <w:szCs w:val="20"/>
              </w:rPr>
            </w:pPr>
            <w:r w:rsidRPr="00327DE4">
              <w:rPr>
                <w:rFonts w:ascii="宋体" w:eastAsia="宋体" w:hAnsi="宋体" w:cs="Arial"/>
                <w:kern w:val="0"/>
                <w:sz w:val="16"/>
                <w:szCs w:val="20"/>
              </w:rPr>
              <w:t>肝和肝外转移</w:t>
            </w:r>
          </w:p>
        </w:tc>
        <w:tc>
          <w:tcPr>
            <w:tcW w:w="720" w:type="dxa"/>
            <w:shd w:val="clear" w:color="auto" w:fill="auto"/>
            <w:vAlign w:val="bottom"/>
          </w:tcPr>
          <w:p w14:paraId="50F620F7" w14:textId="77777777" w:rsidR="00327DE4" w:rsidRPr="00327DE4" w:rsidRDefault="00327DE4" w:rsidP="009321A3">
            <w:pPr>
              <w:widowControl/>
              <w:spacing w:line="0" w:lineRule="atLeast"/>
              <w:jc w:val="left"/>
              <w:rPr>
                <w:rFonts w:ascii="Times New Roman" w:eastAsia="Times New Roman" w:hAnsi="Times New Roman" w:cs="Arial"/>
                <w:kern w:val="0"/>
                <w:sz w:val="22"/>
                <w:szCs w:val="20"/>
              </w:rPr>
            </w:pPr>
          </w:p>
        </w:tc>
        <w:tc>
          <w:tcPr>
            <w:tcW w:w="1200" w:type="dxa"/>
            <w:shd w:val="clear" w:color="auto" w:fill="auto"/>
            <w:vAlign w:val="bottom"/>
          </w:tcPr>
          <w:p w14:paraId="0D5B91F4" w14:textId="77777777" w:rsidR="00327DE4" w:rsidRPr="00327DE4" w:rsidRDefault="00327DE4" w:rsidP="009321A3">
            <w:pPr>
              <w:widowControl/>
              <w:spacing w:line="0" w:lineRule="atLeast"/>
              <w:jc w:val="left"/>
              <w:rPr>
                <w:rFonts w:ascii="Times New Roman" w:eastAsia="Times New Roman" w:hAnsi="Times New Roman" w:cs="Arial"/>
                <w:kern w:val="0"/>
                <w:sz w:val="22"/>
                <w:szCs w:val="20"/>
              </w:rPr>
            </w:pPr>
          </w:p>
        </w:tc>
      </w:tr>
      <w:tr w:rsidR="00327DE4" w:rsidRPr="00327DE4" w14:paraId="2AB1F563" w14:textId="77777777" w:rsidTr="00286DEB">
        <w:trPr>
          <w:trHeight w:val="28"/>
        </w:trPr>
        <w:tc>
          <w:tcPr>
            <w:tcW w:w="1220" w:type="dxa"/>
            <w:tcBorders>
              <w:bottom w:val="single" w:sz="8" w:space="0" w:color="auto"/>
            </w:tcBorders>
            <w:shd w:val="clear" w:color="auto" w:fill="auto"/>
            <w:vAlign w:val="bottom"/>
          </w:tcPr>
          <w:p w14:paraId="131D70C5"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c>
          <w:tcPr>
            <w:tcW w:w="1540" w:type="dxa"/>
            <w:tcBorders>
              <w:bottom w:val="single" w:sz="8" w:space="0" w:color="auto"/>
            </w:tcBorders>
            <w:shd w:val="clear" w:color="auto" w:fill="auto"/>
            <w:vAlign w:val="bottom"/>
          </w:tcPr>
          <w:p w14:paraId="6B7BF69A"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c>
          <w:tcPr>
            <w:tcW w:w="720" w:type="dxa"/>
            <w:tcBorders>
              <w:bottom w:val="single" w:sz="8" w:space="0" w:color="auto"/>
            </w:tcBorders>
            <w:shd w:val="clear" w:color="auto" w:fill="auto"/>
            <w:vAlign w:val="bottom"/>
          </w:tcPr>
          <w:p w14:paraId="0DB06543"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c>
          <w:tcPr>
            <w:tcW w:w="1200" w:type="dxa"/>
            <w:tcBorders>
              <w:bottom w:val="single" w:sz="8" w:space="0" w:color="auto"/>
            </w:tcBorders>
            <w:shd w:val="clear" w:color="auto" w:fill="auto"/>
            <w:vAlign w:val="bottom"/>
          </w:tcPr>
          <w:p w14:paraId="432983CC" w14:textId="77777777" w:rsidR="00327DE4" w:rsidRPr="00327DE4" w:rsidRDefault="00327DE4" w:rsidP="009321A3">
            <w:pPr>
              <w:widowControl/>
              <w:spacing w:line="0" w:lineRule="atLeast"/>
              <w:jc w:val="left"/>
              <w:rPr>
                <w:rFonts w:ascii="Times New Roman" w:eastAsia="Times New Roman" w:hAnsi="Times New Roman" w:cs="Arial"/>
                <w:kern w:val="0"/>
                <w:sz w:val="2"/>
                <w:szCs w:val="20"/>
              </w:rPr>
            </w:pPr>
          </w:p>
        </w:tc>
      </w:tr>
      <w:tr w:rsidR="00327DE4" w:rsidRPr="00327DE4" w14:paraId="222FD5E8" w14:textId="77777777" w:rsidTr="00286DEB">
        <w:trPr>
          <w:trHeight w:val="163"/>
        </w:trPr>
        <w:tc>
          <w:tcPr>
            <w:tcW w:w="1220" w:type="dxa"/>
            <w:shd w:val="clear" w:color="auto" w:fill="auto"/>
            <w:vAlign w:val="bottom"/>
          </w:tcPr>
          <w:p w14:paraId="081FAD5C" w14:textId="77777777" w:rsidR="00327DE4" w:rsidRPr="00327DE4" w:rsidRDefault="00327DE4" w:rsidP="009321A3">
            <w:pPr>
              <w:widowControl/>
              <w:spacing w:line="163" w:lineRule="exact"/>
              <w:jc w:val="left"/>
              <w:rPr>
                <w:rFonts w:ascii="宋体" w:eastAsia="宋体" w:hAnsi="宋体" w:cs="Arial"/>
                <w:kern w:val="0"/>
                <w:sz w:val="16"/>
                <w:szCs w:val="20"/>
              </w:rPr>
            </w:pPr>
            <w:r w:rsidRPr="00327DE4">
              <w:rPr>
                <w:rFonts w:ascii="宋体" w:eastAsia="宋体" w:hAnsi="宋体" w:cs="Arial"/>
                <w:kern w:val="0"/>
                <w:sz w:val="16"/>
                <w:szCs w:val="20"/>
              </w:rPr>
              <w:t>预后分期</w:t>
            </w:r>
          </w:p>
        </w:tc>
        <w:tc>
          <w:tcPr>
            <w:tcW w:w="1540" w:type="dxa"/>
            <w:shd w:val="clear" w:color="auto" w:fill="auto"/>
            <w:vAlign w:val="bottom"/>
          </w:tcPr>
          <w:p w14:paraId="424A6675" w14:textId="77777777" w:rsidR="00327DE4" w:rsidRPr="00327DE4" w:rsidRDefault="00327DE4" w:rsidP="009321A3">
            <w:pPr>
              <w:widowControl/>
              <w:spacing w:line="0" w:lineRule="atLeast"/>
              <w:jc w:val="left"/>
              <w:rPr>
                <w:rFonts w:ascii="Times New Roman" w:eastAsia="Times New Roman" w:hAnsi="Times New Roman" w:cs="Arial"/>
                <w:kern w:val="0"/>
                <w:sz w:val="14"/>
                <w:szCs w:val="20"/>
              </w:rPr>
            </w:pPr>
          </w:p>
        </w:tc>
        <w:tc>
          <w:tcPr>
            <w:tcW w:w="720" w:type="dxa"/>
            <w:shd w:val="clear" w:color="auto" w:fill="auto"/>
            <w:vAlign w:val="bottom"/>
          </w:tcPr>
          <w:p w14:paraId="3B496DA5" w14:textId="77777777" w:rsidR="00327DE4" w:rsidRPr="00327DE4" w:rsidRDefault="00327DE4" w:rsidP="009321A3">
            <w:pPr>
              <w:widowControl/>
              <w:spacing w:line="0" w:lineRule="atLeast"/>
              <w:jc w:val="left"/>
              <w:rPr>
                <w:rFonts w:ascii="Times New Roman" w:eastAsia="Times New Roman" w:hAnsi="Times New Roman" w:cs="Arial"/>
                <w:kern w:val="0"/>
                <w:sz w:val="14"/>
                <w:szCs w:val="20"/>
              </w:rPr>
            </w:pPr>
          </w:p>
        </w:tc>
        <w:tc>
          <w:tcPr>
            <w:tcW w:w="1200" w:type="dxa"/>
            <w:shd w:val="clear" w:color="auto" w:fill="auto"/>
            <w:vAlign w:val="bottom"/>
          </w:tcPr>
          <w:p w14:paraId="0B00364D" w14:textId="77777777" w:rsidR="00327DE4" w:rsidRPr="00327DE4" w:rsidRDefault="00327DE4" w:rsidP="009321A3">
            <w:pPr>
              <w:widowControl/>
              <w:spacing w:line="0" w:lineRule="atLeast"/>
              <w:jc w:val="left"/>
              <w:rPr>
                <w:rFonts w:ascii="Times New Roman" w:eastAsia="Times New Roman" w:hAnsi="Times New Roman" w:cs="Arial"/>
                <w:kern w:val="0"/>
                <w:sz w:val="14"/>
                <w:szCs w:val="20"/>
              </w:rPr>
            </w:pPr>
          </w:p>
        </w:tc>
      </w:tr>
      <w:tr w:rsidR="00327DE4" w:rsidRPr="00327DE4" w14:paraId="166D3B65" w14:textId="77777777" w:rsidTr="00286DEB">
        <w:trPr>
          <w:trHeight w:val="267"/>
        </w:trPr>
        <w:tc>
          <w:tcPr>
            <w:tcW w:w="1220" w:type="dxa"/>
            <w:shd w:val="clear" w:color="auto" w:fill="auto"/>
            <w:vAlign w:val="bottom"/>
          </w:tcPr>
          <w:p w14:paraId="202DE606"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w:t>
            </w:r>
          </w:p>
        </w:tc>
        <w:tc>
          <w:tcPr>
            <w:tcW w:w="1540" w:type="dxa"/>
            <w:shd w:val="clear" w:color="auto" w:fill="auto"/>
            <w:vAlign w:val="bottom"/>
          </w:tcPr>
          <w:p w14:paraId="1BDE2543" w14:textId="77777777" w:rsidR="00327DE4" w:rsidRPr="00327DE4" w:rsidRDefault="00327DE4" w:rsidP="009321A3">
            <w:pPr>
              <w:widowControl/>
              <w:spacing w:line="0" w:lineRule="atLeast"/>
              <w:ind w:right="262"/>
              <w:jc w:val="left"/>
              <w:rPr>
                <w:rFonts w:ascii="Arial" w:eastAsia="Arial" w:hAnsi="Arial" w:cs="Arial"/>
                <w:kern w:val="0"/>
                <w:sz w:val="16"/>
                <w:szCs w:val="20"/>
              </w:rPr>
            </w:pPr>
            <w:r w:rsidRPr="00327DE4">
              <w:rPr>
                <w:rFonts w:ascii="Arial" w:eastAsia="Arial" w:hAnsi="Arial" w:cs="Arial"/>
                <w:kern w:val="0"/>
                <w:sz w:val="16"/>
                <w:szCs w:val="20"/>
              </w:rPr>
              <w:t>N</w:t>
            </w:r>
          </w:p>
        </w:tc>
        <w:tc>
          <w:tcPr>
            <w:tcW w:w="720" w:type="dxa"/>
            <w:shd w:val="clear" w:color="auto" w:fill="auto"/>
            <w:vAlign w:val="bottom"/>
          </w:tcPr>
          <w:p w14:paraId="34482DD8" w14:textId="77777777" w:rsidR="00327DE4" w:rsidRPr="00327DE4" w:rsidRDefault="00327DE4" w:rsidP="009321A3">
            <w:pPr>
              <w:widowControl/>
              <w:spacing w:line="0" w:lineRule="atLeast"/>
              <w:ind w:left="120"/>
              <w:jc w:val="left"/>
              <w:rPr>
                <w:rFonts w:ascii="Arial" w:eastAsia="Arial" w:hAnsi="Arial" w:cs="Arial"/>
                <w:kern w:val="0"/>
                <w:sz w:val="16"/>
                <w:szCs w:val="20"/>
              </w:rPr>
            </w:pPr>
            <w:r w:rsidRPr="00327DE4">
              <w:rPr>
                <w:rFonts w:ascii="Arial" w:eastAsia="Arial" w:hAnsi="Arial" w:cs="Arial"/>
                <w:kern w:val="0"/>
                <w:sz w:val="16"/>
                <w:szCs w:val="20"/>
              </w:rPr>
              <w:t>M</w:t>
            </w:r>
          </w:p>
        </w:tc>
        <w:tc>
          <w:tcPr>
            <w:tcW w:w="1200" w:type="dxa"/>
            <w:shd w:val="clear" w:color="auto" w:fill="auto"/>
            <w:vAlign w:val="bottom"/>
          </w:tcPr>
          <w:p w14:paraId="50137B47" w14:textId="77777777" w:rsidR="00327DE4" w:rsidRPr="00327DE4" w:rsidRDefault="00327DE4" w:rsidP="009321A3">
            <w:pPr>
              <w:widowControl/>
              <w:spacing w:line="0" w:lineRule="atLeast"/>
              <w:jc w:val="left"/>
              <w:rPr>
                <w:rFonts w:ascii="宋体" w:eastAsia="宋体" w:hAnsi="宋体" w:cs="Arial"/>
                <w:w w:val="93"/>
                <w:kern w:val="0"/>
                <w:sz w:val="16"/>
                <w:szCs w:val="20"/>
              </w:rPr>
            </w:pPr>
            <w:r w:rsidRPr="00327DE4">
              <w:rPr>
                <w:rFonts w:ascii="宋体" w:eastAsia="宋体" w:hAnsi="宋体" w:cs="Arial"/>
                <w:w w:val="93"/>
                <w:kern w:val="0"/>
                <w:sz w:val="16"/>
                <w:szCs w:val="20"/>
              </w:rPr>
              <w:t>分期</w:t>
            </w:r>
          </w:p>
        </w:tc>
      </w:tr>
      <w:tr w:rsidR="00327DE4" w:rsidRPr="00327DE4" w14:paraId="588F8F7B" w14:textId="77777777" w:rsidTr="00286DEB">
        <w:trPr>
          <w:trHeight w:val="246"/>
        </w:trPr>
        <w:tc>
          <w:tcPr>
            <w:tcW w:w="1220" w:type="dxa"/>
            <w:shd w:val="clear" w:color="auto" w:fill="auto"/>
            <w:vAlign w:val="bottom"/>
          </w:tcPr>
          <w:p w14:paraId="778C5B0B"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T1</w:t>
            </w:r>
          </w:p>
        </w:tc>
        <w:tc>
          <w:tcPr>
            <w:tcW w:w="1540" w:type="dxa"/>
            <w:shd w:val="clear" w:color="auto" w:fill="auto"/>
            <w:vAlign w:val="bottom"/>
          </w:tcPr>
          <w:p w14:paraId="5E8DAE87" w14:textId="77777777" w:rsidR="00327DE4" w:rsidRPr="00327DE4" w:rsidRDefault="00327DE4" w:rsidP="009321A3">
            <w:pPr>
              <w:widowControl/>
              <w:spacing w:line="0" w:lineRule="atLeast"/>
              <w:ind w:right="262"/>
              <w:jc w:val="left"/>
              <w:rPr>
                <w:rFonts w:ascii="Arial" w:eastAsia="Arial" w:hAnsi="Arial" w:cs="Arial"/>
                <w:w w:val="97"/>
                <w:kern w:val="0"/>
                <w:sz w:val="16"/>
                <w:szCs w:val="20"/>
              </w:rPr>
            </w:pPr>
            <w:r w:rsidRPr="00327DE4">
              <w:rPr>
                <w:rFonts w:ascii="Arial" w:eastAsia="Arial" w:hAnsi="Arial" w:cs="Arial"/>
                <w:w w:val="97"/>
                <w:kern w:val="0"/>
                <w:sz w:val="16"/>
                <w:szCs w:val="20"/>
              </w:rPr>
              <w:t>N0</w:t>
            </w:r>
          </w:p>
        </w:tc>
        <w:tc>
          <w:tcPr>
            <w:tcW w:w="720" w:type="dxa"/>
            <w:shd w:val="clear" w:color="auto" w:fill="auto"/>
            <w:vAlign w:val="bottom"/>
          </w:tcPr>
          <w:p w14:paraId="7C6D62DB"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0B766865" w14:textId="77777777" w:rsidR="00327DE4" w:rsidRPr="00327DE4" w:rsidRDefault="00327DE4" w:rsidP="009321A3">
            <w:pPr>
              <w:widowControl/>
              <w:spacing w:line="0" w:lineRule="atLeast"/>
              <w:jc w:val="left"/>
              <w:rPr>
                <w:rFonts w:ascii="Times New Roman" w:eastAsia="Times New Roman" w:hAnsi="Times New Roman" w:cs="Arial"/>
                <w:kern w:val="0"/>
                <w:szCs w:val="20"/>
              </w:rPr>
            </w:pPr>
          </w:p>
        </w:tc>
      </w:tr>
      <w:tr w:rsidR="00327DE4" w:rsidRPr="00327DE4" w14:paraId="5067BD26" w14:textId="77777777" w:rsidTr="00286DEB">
        <w:trPr>
          <w:trHeight w:val="239"/>
        </w:trPr>
        <w:tc>
          <w:tcPr>
            <w:tcW w:w="1220" w:type="dxa"/>
            <w:shd w:val="clear" w:color="auto" w:fill="auto"/>
            <w:vAlign w:val="bottom"/>
          </w:tcPr>
          <w:p w14:paraId="168042A5"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T1</w:t>
            </w:r>
          </w:p>
        </w:tc>
        <w:tc>
          <w:tcPr>
            <w:tcW w:w="1540" w:type="dxa"/>
            <w:shd w:val="clear" w:color="auto" w:fill="auto"/>
            <w:vAlign w:val="bottom"/>
          </w:tcPr>
          <w:p w14:paraId="51896911" w14:textId="77777777" w:rsidR="00327DE4" w:rsidRPr="00327DE4" w:rsidRDefault="00327DE4" w:rsidP="009321A3">
            <w:pPr>
              <w:widowControl/>
              <w:spacing w:line="0" w:lineRule="atLeast"/>
              <w:ind w:right="262"/>
              <w:jc w:val="left"/>
              <w:rPr>
                <w:rFonts w:ascii="Arial" w:eastAsia="Arial" w:hAnsi="Arial" w:cs="Arial"/>
                <w:w w:val="97"/>
                <w:kern w:val="0"/>
                <w:sz w:val="16"/>
                <w:szCs w:val="20"/>
              </w:rPr>
            </w:pPr>
            <w:r w:rsidRPr="00327DE4">
              <w:rPr>
                <w:rFonts w:ascii="Arial" w:eastAsia="Arial" w:hAnsi="Arial" w:cs="Arial"/>
                <w:w w:val="97"/>
                <w:kern w:val="0"/>
                <w:sz w:val="16"/>
                <w:szCs w:val="20"/>
              </w:rPr>
              <w:t>N1</w:t>
            </w:r>
          </w:p>
        </w:tc>
        <w:tc>
          <w:tcPr>
            <w:tcW w:w="720" w:type="dxa"/>
            <w:shd w:val="clear" w:color="auto" w:fill="auto"/>
            <w:vAlign w:val="bottom"/>
          </w:tcPr>
          <w:p w14:paraId="1F9082B3"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05F2D87C" w14:textId="77777777" w:rsidR="00327DE4" w:rsidRPr="00327DE4" w:rsidRDefault="00327DE4" w:rsidP="009321A3">
            <w:pPr>
              <w:widowControl/>
              <w:spacing w:line="0" w:lineRule="atLeast"/>
              <w:ind w:left="480"/>
              <w:jc w:val="left"/>
              <w:rPr>
                <w:rFonts w:ascii="Arial" w:eastAsia="Arial" w:hAnsi="Arial" w:cs="Arial"/>
                <w:kern w:val="0"/>
                <w:sz w:val="16"/>
                <w:szCs w:val="20"/>
              </w:rPr>
            </w:pPr>
            <w:r w:rsidRPr="00327DE4">
              <w:rPr>
                <w:rFonts w:ascii="Arial" w:eastAsia="Arial" w:hAnsi="Arial" w:cs="Arial"/>
                <w:kern w:val="0"/>
                <w:sz w:val="16"/>
                <w:szCs w:val="20"/>
              </w:rPr>
              <w:t>B</w:t>
            </w:r>
          </w:p>
        </w:tc>
      </w:tr>
      <w:tr w:rsidR="00327DE4" w:rsidRPr="00327DE4" w14:paraId="25E8B624" w14:textId="77777777" w:rsidTr="00286DEB">
        <w:trPr>
          <w:trHeight w:val="239"/>
        </w:trPr>
        <w:tc>
          <w:tcPr>
            <w:tcW w:w="1220" w:type="dxa"/>
            <w:shd w:val="clear" w:color="auto" w:fill="auto"/>
            <w:vAlign w:val="bottom"/>
          </w:tcPr>
          <w:p w14:paraId="36D04C2C"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T1</w:t>
            </w:r>
          </w:p>
        </w:tc>
        <w:tc>
          <w:tcPr>
            <w:tcW w:w="1540" w:type="dxa"/>
            <w:shd w:val="clear" w:color="auto" w:fill="auto"/>
            <w:vAlign w:val="bottom"/>
          </w:tcPr>
          <w:p w14:paraId="70070701" w14:textId="77777777" w:rsidR="00327DE4" w:rsidRPr="00327DE4" w:rsidRDefault="00327DE4" w:rsidP="009321A3">
            <w:pPr>
              <w:widowControl/>
              <w:spacing w:line="0" w:lineRule="atLeast"/>
              <w:ind w:right="242"/>
              <w:jc w:val="left"/>
              <w:rPr>
                <w:rFonts w:ascii="Arial" w:eastAsia="Arial" w:hAnsi="Arial" w:cs="Arial"/>
                <w:w w:val="89"/>
                <w:kern w:val="0"/>
                <w:sz w:val="16"/>
                <w:szCs w:val="20"/>
              </w:rPr>
            </w:pPr>
            <w:r w:rsidRPr="00327DE4">
              <w:rPr>
                <w:rFonts w:ascii="宋体" w:eastAsia="宋体" w:hAnsi="宋体" w:cs="Arial"/>
                <w:w w:val="89"/>
                <w:kern w:val="0"/>
                <w:sz w:val="16"/>
                <w:szCs w:val="20"/>
              </w:rPr>
              <w:t xml:space="preserve">任何 </w:t>
            </w:r>
            <w:r w:rsidRPr="00327DE4">
              <w:rPr>
                <w:rFonts w:ascii="Arial" w:eastAsia="Arial" w:hAnsi="Arial" w:cs="Arial"/>
                <w:w w:val="89"/>
                <w:kern w:val="0"/>
                <w:sz w:val="16"/>
                <w:szCs w:val="20"/>
              </w:rPr>
              <w:t>N</w:t>
            </w:r>
          </w:p>
        </w:tc>
        <w:tc>
          <w:tcPr>
            <w:tcW w:w="720" w:type="dxa"/>
            <w:shd w:val="clear" w:color="auto" w:fill="auto"/>
            <w:vAlign w:val="bottom"/>
          </w:tcPr>
          <w:p w14:paraId="58A49517"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M1</w:t>
            </w:r>
          </w:p>
        </w:tc>
        <w:tc>
          <w:tcPr>
            <w:tcW w:w="1200" w:type="dxa"/>
            <w:shd w:val="clear" w:color="auto" w:fill="auto"/>
            <w:vAlign w:val="bottom"/>
          </w:tcPr>
          <w:p w14:paraId="3CF88A91"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038E9A38" w14:textId="77777777" w:rsidTr="00286DEB">
        <w:trPr>
          <w:trHeight w:val="239"/>
        </w:trPr>
        <w:tc>
          <w:tcPr>
            <w:tcW w:w="1220" w:type="dxa"/>
            <w:shd w:val="clear" w:color="auto" w:fill="auto"/>
            <w:vAlign w:val="bottom"/>
          </w:tcPr>
          <w:p w14:paraId="6BA05845"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T2</w:t>
            </w:r>
          </w:p>
        </w:tc>
        <w:tc>
          <w:tcPr>
            <w:tcW w:w="1540" w:type="dxa"/>
            <w:shd w:val="clear" w:color="auto" w:fill="auto"/>
            <w:vAlign w:val="bottom"/>
          </w:tcPr>
          <w:p w14:paraId="01673D11" w14:textId="77777777" w:rsidR="00327DE4" w:rsidRPr="00327DE4" w:rsidRDefault="00327DE4" w:rsidP="009321A3">
            <w:pPr>
              <w:widowControl/>
              <w:spacing w:line="0" w:lineRule="atLeast"/>
              <w:ind w:right="262"/>
              <w:jc w:val="left"/>
              <w:rPr>
                <w:rFonts w:ascii="Arial" w:eastAsia="Arial" w:hAnsi="Arial" w:cs="Arial"/>
                <w:w w:val="97"/>
                <w:kern w:val="0"/>
                <w:sz w:val="16"/>
                <w:szCs w:val="20"/>
              </w:rPr>
            </w:pPr>
            <w:r w:rsidRPr="00327DE4">
              <w:rPr>
                <w:rFonts w:ascii="Arial" w:eastAsia="Arial" w:hAnsi="Arial" w:cs="Arial"/>
                <w:w w:val="97"/>
                <w:kern w:val="0"/>
                <w:sz w:val="16"/>
                <w:szCs w:val="20"/>
              </w:rPr>
              <w:t>N0</w:t>
            </w:r>
          </w:p>
        </w:tc>
        <w:tc>
          <w:tcPr>
            <w:tcW w:w="720" w:type="dxa"/>
            <w:shd w:val="clear" w:color="auto" w:fill="auto"/>
            <w:vAlign w:val="bottom"/>
          </w:tcPr>
          <w:p w14:paraId="709E5B29"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061C37A0" w14:textId="77777777" w:rsidR="00327DE4" w:rsidRPr="00327DE4" w:rsidRDefault="00327DE4" w:rsidP="009321A3">
            <w:pPr>
              <w:widowControl/>
              <w:spacing w:line="0" w:lineRule="atLeast"/>
              <w:ind w:left="480"/>
              <w:jc w:val="left"/>
              <w:rPr>
                <w:rFonts w:ascii="Arial" w:eastAsia="Arial" w:hAnsi="Arial" w:cs="Arial"/>
                <w:kern w:val="0"/>
                <w:sz w:val="16"/>
                <w:szCs w:val="20"/>
              </w:rPr>
            </w:pPr>
            <w:r w:rsidRPr="00327DE4">
              <w:rPr>
                <w:rFonts w:ascii="Arial" w:eastAsia="Arial" w:hAnsi="Arial" w:cs="Arial"/>
                <w:kern w:val="0"/>
                <w:sz w:val="16"/>
                <w:szCs w:val="20"/>
              </w:rPr>
              <w:t>A</w:t>
            </w:r>
          </w:p>
        </w:tc>
      </w:tr>
      <w:tr w:rsidR="00327DE4" w:rsidRPr="00327DE4" w14:paraId="5238F58A" w14:textId="77777777" w:rsidTr="00286DEB">
        <w:trPr>
          <w:trHeight w:val="239"/>
        </w:trPr>
        <w:tc>
          <w:tcPr>
            <w:tcW w:w="1220" w:type="dxa"/>
            <w:shd w:val="clear" w:color="auto" w:fill="auto"/>
            <w:vAlign w:val="bottom"/>
          </w:tcPr>
          <w:p w14:paraId="10BF0673"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T2</w:t>
            </w:r>
          </w:p>
        </w:tc>
        <w:tc>
          <w:tcPr>
            <w:tcW w:w="1540" w:type="dxa"/>
            <w:shd w:val="clear" w:color="auto" w:fill="auto"/>
            <w:vAlign w:val="bottom"/>
          </w:tcPr>
          <w:p w14:paraId="0B6734C9" w14:textId="77777777" w:rsidR="00327DE4" w:rsidRPr="00327DE4" w:rsidRDefault="00327DE4" w:rsidP="009321A3">
            <w:pPr>
              <w:widowControl/>
              <w:spacing w:line="0" w:lineRule="atLeast"/>
              <w:ind w:right="242"/>
              <w:jc w:val="left"/>
              <w:rPr>
                <w:rFonts w:ascii="Arial" w:eastAsia="Arial" w:hAnsi="Arial" w:cs="Arial"/>
                <w:w w:val="87"/>
                <w:kern w:val="0"/>
                <w:sz w:val="16"/>
                <w:szCs w:val="20"/>
              </w:rPr>
            </w:pPr>
            <w:r w:rsidRPr="00327DE4">
              <w:rPr>
                <w:rFonts w:ascii="Arial" w:eastAsia="Arial" w:hAnsi="Arial" w:cs="Arial"/>
                <w:w w:val="87"/>
                <w:kern w:val="0"/>
                <w:sz w:val="16"/>
                <w:szCs w:val="20"/>
              </w:rPr>
              <w:t>N1</w:t>
            </w:r>
          </w:p>
        </w:tc>
        <w:tc>
          <w:tcPr>
            <w:tcW w:w="720" w:type="dxa"/>
            <w:shd w:val="clear" w:color="auto" w:fill="auto"/>
            <w:vAlign w:val="bottom"/>
          </w:tcPr>
          <w:p w14:paraId="1160AFAE"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45406394" w14:textId="77777777" w:rsidR="00327DE4" w:rsidRPr="00327DE4" w:rsidRDefault="00327DE4" w:rsidP="009321A3">
            <w:pPr>
              <w:widowControl/>
              <w:spacing w:line="0" w:lineRule="atLeast"/>
              <w:ind w:left="480"/>
              <w:jc w:val="left"/>
              <w:rPr>
                <w:rFonts w:ascii="Arial" w:eastAsia="Arial" w:hAnsi="Arial" w:cs="Arial"/>
                <w:kern w:val="0"/>
                <w:sz w:val="16"/>
                <w:szCs w:val="20"/>
              </w:rPr>
            </w:pPr>
            <w:r w:rsidRPr="00327DE4">
              <w:rPr>
                <w:rFonts w:ascii="Arial" w:eastAsia="Arial" w:hAnsi="Arial" w:cs="Arial"/>
                <w:kern w:val="0"/>
                <w:sz w:val="16"/>
                <w:szCs w:val="20"/>
              </w:rPr>
              <w:t>B</w:t>
            </w:r>
          </w:p>
        </w:tc>
      </w:tr>
      <w:tr w:rsidR="00327DE4" w:rsidRPr="00327DE4" w14:paraId="071DDED3" w14:textId="77777777" w:rsidTr="00286DEB">
        <w:trPr>
          <w:trHeight w:val="239"/>
        </w:trPr>
        <w:tc>
          <w:tcPr>
            <w:tcW w:w="1220" w:type="dxa"/>
            <w:shd w:val="clear" w:color="auto" w:fill="auto"/>
            <w:vAlign w:val="bottom"/>
          </w:tcPr>
          <w:p w14:paraId="6E3081A0"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T2</w:t>
            </w:r>
          </w:p>
        </w:tc>
        <w:tc>
          <w:tcPr>
            <w:tcW w:w="1540" w:type="dxa"/>
            <w:shd w:val="clear" w:color="auto" w:fill="auto"/>
            <w:vAlign w:val="bottom"/>
          </w:tcPr>
          <w:p w14:paraId="55E9D6CD" w14:textId="77777777" w:rsidR="00327DE4" w:rsidRPr="00327DE4" w:rsidRDefault="00327DE4" w:rsidP="009321A3">
            <w:pPr>
              <w:widowControl/>
              <w:spacing w:line="0" w:lineRule="atLeast"/>
              <w:ind w:right="242"/>
              <w:jc w:val="left"/>
              <w:rPr>
                <w:rFonts w:ascii="Arial" w:eastAsia="Arial" w:hAnsi="Arial" w:cs="Arial"/>
                <w:w w:val="89"/>
                <w:kern w:val="0"/>
                <w:sz w:val="16"/>
                <w:szCs w:val="20"/>
              </w:rPr>
            </w:pPr>
            <w:r w:rsidRPr="00327DE4">
              <w:rPr>
                <w:rFonts w:ascii="宋体" w:eastAsia="宋体" w:hAnsi="宋体" w:cs="Arial"/>
                <w:w w:val="89"/>
                <w:kern w:val="0"/>
                <w:sz w:val="16"/>
                <w:szCs w:val="20"/>
              </w:rPr>
              <w:t xml:space="preserve">任何 </w:t>
            </w:r>
            <w:r w:rsidRPr="00327DE4">
              <w:rPr>
                <w:rFonts w:ascii="Arial" w:eastAsia="Arial" w:hAnsi="Arial" w:cs="Arial"/>
                <w:w w:val="89"/>
                <w:kern w:val="0"/>
                <w:sz w:val="16"/>
                <w:szCs w:val="20"/>
              </w:rPr>
              <w:t>N</w:t>
            </w:r>
          </w:p>
        </w:tc>
        <w:tc>
          <w:tcPr>
            <w:tcW w:w="720" w:type="dxa"/>
            <w:shd w:val="clear" w:color="auto" w:fill="auto"/>
            <w:vAlign w:val="bottom"/>
          </w:tcPr>
          <w:p w14:paraId="06E26419"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M1</w:t>
            </w:r>
          </w:p>
        </w:tc>
        <w:tc>
          <w:tcPr>
            <w:tcW w:w="1200" w:type="dxa"/>
            <w:shd w:val="clear" w:color="auto" w:fill="auto"/>
            <w:vAlign w:val="bottom"/>
          </w:tcPr>
          <w:p w14:paraId="3626BC98"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2173C7BF" w14:textId="77777777" w:rsidTr="00286DEB">
        <w:trPr>
          <w:trHeight w:val="231"/>
        </w:trPr>
        <w:tc>
          <w:tcPr>
            <w:tcW w:w="1220" w:type="dxa"/>
            <w:shd w:val="clear" w:color="auto" w:fill="auto"/>
            <w:vAlign w:val="bottom"/>
          </w:tcPr>
          <w:p w14:paraId="1FFA02B2"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T3</w:t>
            </w:r>
          </w:p>
        </w:tc>
        <w:tc>
          <w:tcPr>
            <w:tcW w:w="1540" w:type="dxa"/>
            <w:shd w:val="clear" w:color="auto" w:fill="auto"/>
            <w:vAlign w:val="bottom"/>
          </w:tcPr>
          <w:p w14:paraId="5546296D" w14:textId="77777777" w:rsidR="00327DE4" w:rsidRPr="00327DE4" w:rsidRDefault="00327DE4" w:rsidP="009321A3">
            <w:pPr>
              <w:widowControl/>
              <w:spacing w:line="0" w:lineRule="atLeast"/>
              <w:ind w:right="242"/>
              <w:jc w:val="left"/>
              <w:rPr>
                <w:rFonts w:ascii="Arial" w:eastAsia="Arial" w:hAnsi="Arial" w:cs="Arial"/>
                <w:w w:val="87"/>
                <w:kern w:val="0"/>
                <w:sz w:val="16"/>
                <w:szCs w:val="20"/>
              </w:rPr>
            </w:pPr>
            <w:r w:rsidRPr="00327DE4">
              <w:rPr>
                <w:rFonts w:ascii="Arial" w:eastAsia="Arial" w:hAnsi="Arial" w:cs="Arial"/>
                <w:w w:val="87"/>
                <w:kern w:val="0"/>
                <w:sz w:val="16"/>
                <w:szCs w:val="20"/>
              </w:rPr>
              <w:t>N0</w:t>
            </w:r>
          </w:p>
        </w:tc>
        <w:tc>
          <w:tcPr>
            <w:tcW w:w="720" w:type="dxa"/>
            <w:shd w:val="clear" w:color="auto" w:fill="auto"/>
            <w:vAlign w:val="bottom"/>
          </w:tcPr>
          <w:p w14:paraId="7FB00E5D"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202408D6" w14:textId="77777777" w:rsidR="00327DE4" w:rsidRPr="00327DE4" w:rsidRDefault="00327DE4" w:rsidP="009321A3">
            <w:pPr>
              <w:widowControl/>
              <w:spacing w:line="0" w:lineRule="atLeast"/>
              <w:ind w:left="500"/>
              <w:jc w:val="left"/>
              <w:rPr>
                <w:rFonts w:ascii="Arial" w:eastAsia="Arial" w:hAnsi="Arial" w:cs="Arial"/>
                <w:kern w:val="0"/>
                <w:sz w:val="16"/>
                <w:szCs w:val="20"/>
              </w:rPr>
            </w:pPr>
            <w:r w:rsidRPr="00327DE4">
              <w:rPr>
                <w:rFonts w:ascii="Arial" w:eastAsia="Arial" w:hAnsi="Arial" w:cs="Arial"/>
                <w:kern w:val="0"/>
                <w:sz w:val="16"/>
                <w:szCs w:val="20"/>
              </w:rPr>
              <w:t>IIB</w:t>
            </w:r>
          </w:p>
        </w:tc>
      </w:tr>
      <w:tr w:rsidR="00327DE4" w:rsidRPr="00327DE4" w14:paraId="4867609E" w14:textId="77777777" w:rsidTr="00286DEB">
        <w:trPr>
          <w:trHeight w:val="247"/>
        </w:trPr>
        <w:tc>
          <w:tcPr>
            <w:tcW w:w="1220" w:type="dxa"/>
            <w:shd w:val="clear" w:color="auto" w:fill="auto"/>
            <w:vAlign w:val="bottom"/>
          </w:tcPr>
          <w:p w14:paraId="71C2A13B"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T3</w:t>
            </w:r>
          </w:p>
        </w:tc>
        <w:tc>
          <w:tcPr>
            <w:tcW w:w="1540" w:type="dxa"/>
            <w:shd w:val="clear" w:color="auto" w:fill="auto"/>
            <w:vAlign w:val="bottom"/>
          </w:tcPr>
          <w:p w14:paraId="52B05323" w14:textId="77777777" w:rsidR="00327DE4" w:rsidRPr="00327DE4" w:rsidRDefault="00327DE4" w:rsidP="009321A3">
            <w:pPr>
              <w:widowControl/>
              <w:spacing w:line="0" w:lineRule="atLeast"/>
              <w:ind w:right="242"/>
              <w:jc w:val="left"/>
              <w:rPr>
                <w:rFonts w:ascii="Arial" w:eastAsia="Arial" w:hAnsi="Arial" w:cs="Arial"/>
                <w:w w:val="87"/>
                <w:kern w:val="0"/>
                <w:sz w:val="16"/>
                <w:szCs w:val="20"/>
              </w:rPr>
            </w:pPr>
            <w:r w:rsidRPr="00327DE4">
              <w:rPr>
                <w:rFonts w:ascii="Arial" w:eastAsia="Arial" w:hAnsi="Arial" w:cs="Arial"/>
                <w:w w:val="87"/>
                <w:kern w:val="0"/>
                <w:sz w:val="16"/>
                <w:szCs w:val="20"/>
              </w:rPr>
              <w:t>N1</w:t>
            </w:r>
          </w:p>
        </w:tc>
        <w:tc>
          <w:tcPr>
            <w:tcW w:w="720" w:type="dxa"/>
            <w:shd w:val="clear" w:color="auto" w:fill="auto"/>
            <w:vAlign w:val="bottom"/>
          </w:tcPr>
          <w:p w14:paraId="5172458C"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27E2F1EA" w14:textId="77777777" w:rsidR="00327DE4" w:rsidRPr="00327DE4" w:rsidRDefault="00327DE4" w:rsidP="009321A3">
            <w:pPr>
              <w:widowControl/>
              <w:spacing w:line="0" w:lineRule="atLeast"/>
              <w:ind w:left="480"/>
              <w:jc w:val="left"/>
              <w:rPr>
                <w:rFonts w:ascii="Arial" w:eastAsia="Arial" w:hAnsi="Arial" w:cs="Arial"/>
                <w:kern w:val="0"/>
                <w:sz w:val="16"/>
                <w:szCs w:val="20"/>
              </w:rPr>
            </w:pPr>
            <w:r w:rsidRPr="00327DE4">
              <w:rPr>
                <w:rFonts w:ascii="Arial" w:eastAsia="Arial" w:hAnsi="Arial" w:cs="Arial"/>
                <w:kern w:val="0"/>
                <w:sz w:val="16"/>
                <w:szCs w:val="20"/>
              </w:rPr>
              <w:t>B</w:t>
            </w:r>
          </w:p>
        </w:tc>
      </w:tr>
      <w:tr w:rsidR="00327DE4" w:rsidRPr="00327DE4" w14:paraId="43D23FE7" w14:textId="77777777" w:rsidTr="00286DEB">
        <w:trPr>
          <w:trHeight w:val="239"/>
        </w:trPr>
        <w:tc>
          <w:tcPr>
            <w:tcW w:w="1220" w:type="dxa"/>
            <w:shd w:val="clear" w:color="auto" w:fill="auto"/>
            <w:vAlign w:val="bottom"/>
          </w:tcPr>
          <w:p w14:paraId="40F27998"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T3</w:t>
            </w:r>
          </w:p>
        </w:tc>
        <w:tc>
          <w:tcPr>
            <w:tcW w:w="1540" w:type="dxa"/>
            <w:shd w:val="clear" w:color="auto" w:fill="auto"/>
            <w:vAlign w:val="bottom"/>
          </w:tcPr>
          <w:p w14:paraId="312FA126" w14:textId="77777777" w:rsidR="00327DE4" w:rsidRPr="00327DE4" w:rsidRDefault="00327DE4" w:rsidP="009321A3">
            <w:pPr>
              <w:widowControl/>
              <w:spacing w:line="0" w:lineRule="atLeast"/>
              <w:ind w:right="242"/>
              <w:jc w:val="left"/>
              <w:rPr>
                <w:rFonts w:ascii="Arial" w:eastAsia="Arial" w:hAnsi="Arial" w:cs="Arial"/>
                <w:w w:val="89"/>
                <w:kern w:val="0"/>
                <w:sz w:val="16"/>
                <w:szCs w:val="20"/>
              </w:rPr>
            </w:pPr>
            <w:r w:rsidRPr="00327DE4">
              <w:rPr>
                <w:rFonts w:ascii="宋体" w:eastAsia="宋体" w:hAnsi="宋体" w:cs="Arial"/>
                <w:w w:val="89"/>
                <w:kern w:val="0"/>
                <w:sz w:val="16"/>
                <w:szCs w:val="20"/>
              </w:rPr>
              <w:t xml:space="preserve">任何 </w:t>
            </w:r>
            <w:r w:rsidRPr="00327DE4">
              <w:rPr>
                <w:rFonts w:ascii="Arial" w:eastAsia="Arial" w:hAnsi="Arial" w:cs="Arial"/>
                <w:w w:val="89"/>
                <w:kern w:val="0"/>
                <w:sz w:val="16"/>
                <w:szCs w:val="20"/>
              </w:rPr>
              <w:t>N</w:t>
            </w:r>
          </w:p>
        </w:tc>
        <w:tc>
          <w:tcPr>
            <w:tcW w:w="720" w:type="dxa"/>
            <w:shd w:val="clear" w:color="auto" w:fill="auto"/>
            <w:vAlign w:val="bottom"/>
          </w:tcPr>
          <w:p w14:paraId="0B45FBFC"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M1</w:t>
            </w:r>
          </w:p>
        </w:tc>
        <w:tc>
          <w:tcPr>
            <w:tcW w:w="1200" w:type="dxa"/>
            <w:shd w:val="clear" w:color="auto" w:fill="auto"/>
            <w:vAlign w:val="bottom"/>
          </w:tcPr>
          <w:p w14:paraId="16E0A979" w14:textId="77777777" w:rsidR="00327DE4" w:rsidRPr="00327DE4" w:rsidRDefault="00327DE4" w:rsidP="009321A3">
            <w:pPr>
              <w:widowControl/>
              <w:spacing w:line="0" w:lineRule="atLeast"/>
              <w:jc w:val="left"/>
              <w:rPr>
                <w:rFonts w:ascii="Times New Roman" w:eastAsia="Times New Roman" w:hAnsi="Times New Roman" w:cs="Arial"/>
                <w:kern w:val="0"/>
                <w:sz w:val="20"/>
                <w:szCs w:val="20"/>
              </w:rPr>
            </w:pPr>
          </w:p>
        </w:tc>
      </w:tr>
      <w:tr w:rsidR="00327DE4" w:rsidRPr="00327DE4" w14:paraId="720D8537" w14:textId="77777777" w:rsidTr="00286DEB">
        <w:trPr>
          <w:trHeight w:val="239"/>
        </w:trPr>
        <w:tc>
          <w:tcPr>
            <w:tcW w:w="1220" w:type="dxa"/>
            <w:shd w:val="clear" w:color="auto" w:fill="auto"/>
            <w:vAlign w:val="bottom"/>
          </w:tcPr>
          <w:p w14:paraId="73EA5C8D"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T4</w:t>
            </w:r>
          </w:p>
        </w:tc>
        <w:tc>
          <w:tcPr>
            <w:tcW w:w="1540" w:type="dxa"/>
            <w:shd w:val="clear" w:color="auto" w:fill="auto"/>
            <w:vAlign w:val="bottom"/>
          </w:tcPr>
          <w:p w14:paraId="00ED930C" w14:textId="77777777" w:rsidR="00327DE4" w:rsidRPr="00327DE4" w:rsidRDefault="00327DE4" w:rsidP="009321A3">
            <w:pPr>
              <w:widowControl/>
              <w:spacing w:line="0" w:lineRule="atLeast"/>
              <w:ind w:right="242"/>
              <w:jc w:val="left"/>
              <w:rPr>
                <w:rFonts w:ascii="Arial" w:eastAsia="Arial" w:hAnsi="Arial" w:cs="Arial"/>
                <w:w w:val="87"/>
                <w:kern w:val="0"/>
                <w:sz w:val="16"/>
                <w:szCs w:val="20"/>
              </w:rPr>
            </w:pPr>
            <w:r w:rsidRPr="00327DE4">
              <w:rPr>
                <w:rFonts w:ascii="Arial" w:eastAsia="Arial" w:hAnsi="Arial" w:cs="Arial"/>
                <w:w w:val="87"/>
                <w:kern w:val="0"/>
                <w:sz w:val="16"/>
                <w:szCs w:val="20"/>
              </w:rPr>
              <w:t>N0</w:t>
            </w:r>
          </w:p>
        </w:tc>
        <w:tc>
          <w:tcPr>
            <w:tcW w:w="720" w:type="dxa"/>
            <w:shd w:val="clear" w:color="auto" w:fill="auto"/>
            <w:vAlign w:val="bottom"/>
          </w:tcPr>
          <w:p w14:paraId="352EF6B9"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65BBD5FF" w14:textId="77777777" w:rsidR="00327DE4" w:rsidRPr="00327DE4" w:rsidRDefault="00327DE4" w:rsidP="009321A3">
            <w:pPr>
              <w:widowControl/>
              <w:spacing w:line="0" w:lineRule="atLeast"/>
              <w:ind w:left="480"/>
              <w:jc w:val="left"/>
              <w:rPr>
                <w:rFonts w:ascii="Arial" w:eastAsia="Arial" w:hAnsi="Arial" w:cs="Arial"/>
                <w:kern w:val="0"/>
                <w:sz w:val="16"/>
                <w:szCs w:val="20"/>
              </w:rPr>
            </w:pPr>
            <w:r w:rsidRPr="00327DE4">
              <w:rPr>
                <w:rFonts w:ascii="Arial" w:eastAsia="Arial" w:hAnsi="Arial" w:cs="Arial"/>
                <w:kern w:val="0"/>
                <w:sz w:val="16"/>
                <w:szCs w:val="20"/>
              </w:rPr>
              <w:t>A</w:t>
            </w:r>
          </w:p>
        </w:tc>
      </w:tr>
      <w:tr w:rsidR="00327DE4" w:rsidRPr="00327DE4" w14:paraId="76A1E47B" w14:textId="77777777" w:rsidTr="00286DEB">
        <w:trPr>
          <w:trHeight w:val="239"/>
        </w:trPr>
        <w:tc>
          <w:tcPr>
            <w:tcW w:w="1220" w:type="dxa"/>
            <w:shd w:val="clear" w:color="auto" w:fill="auto"/>
            <w:vAlign w:val="bottom"/>
          </w:tcPr>
          <w:p w14:paraId="0BBC94F5"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T4</w:t>
            </w:r>
          </w:p>
        </w:tc>
        <w:tc>
          <w:tcPr>
            <w:tcW w:w="1540" w:type="dxa"/>
            <w:shd w:val="clear" w:color="auto" w:fill="auto"/>
            <w:vAlign w:val="bottom"/>
          </w:tcPr>
          <w:p w14:paraId="5CAB25C9" w14:textId="77777777" w:rsidR="00327DE4" w:rsidRPr="00327DE4" w:rsidRDefault="00327DE4" w:rsidP="009321A3">
            <w:pPr>
              <w:widowControl/>
              <w:spacing w:line="0" w:lineRule="atLeast"/>
              <w:ind w:right="242"/>
              <w:jc w:val="left"/>
              <w:rPr>
                <w:rFonts w:ascii="Arial" w:eastAsia="Arial" w:hAnsi="Arial" w:cs="Arial"/>
                <w:w w:val="87"/>
                <w:kern w:val="0"/>
                <w:sz w:val="16"/>
                <w:szCs w:val="20"/>
              </w:rPr>
            </w:pPr>
            <w:r w:rsidRPr="00327DE4">
              <w:rPr>
                <w:rFonts w:ascii="Arial" w:eastAsia="Arial" w:hAnsi="Arial" w:cs="Arial"/>
                <w:w w:val="87"/>
                <w:kern w:val="0"/>
                <w:sz w:val="16"/>
                <w:szCs w:val="20"/>
              </w:rPr>
              <w:t>N1</w:t>
            </w:r>
          </w:p>
        </w:tc>
        <w:tc>
          <w:tcPr>
            <w:tcW w:w="720" w:type="dxa"/>
            <w:shd w:val="clear" w:color="auto" w:fill="auto"/>
            <w:vAlign w:val="bottom"/>
          </w:tcPr>
          <w:p w14:paraId="2CD5855C"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M0</w:t>
            </w:r>
          </w:p>
        </w:tc>
        <w:tc>
          <w:tcPr>
            <w:tcW w:w="1200" w:type="dxa"/>
            <w:shd w:val="clear" w:color="auto" w:fill="auto"/>
            <w:vAlign w:val="bottom"/>
          </w:tcPr>
          <w:p w14:paraId="1669DF22" w14:textId="77777777" w:rsidR="00327DE4" w:rsidRPr="00327DE4" w:rsidRDefault="00327DE4" w:rsidP="009321A3">
            <w:pPr>
              <w:widowControl/>
              <w:spacing w:line="0" w:lineRule="atLeast"/>
              <w:ind w:left="480"/>
              <w:jc w:val="left"/>
              <w:rPr>
                <w:rFonts w:ascii="Arial" w:eastAsia="Arial" w:hAnsi="Arial" w:cs="Arial"/>
                <w:kern w:val="0"/>
                <w:sz w:val="16"/>
                <w:szCs w:val="20"/>
              </w:rPr>
            </w:pPr>
            <w:r w:rsidRPr="00327DE4">
              <w:rPr>
                <w:rFonts w:ascii="Arial" w:eastAsia="Arial" w:hAnsi="Arial" w:cs="Arial"/>
                <w:kern w:val="0"/>
                <w:sz w:val="16"/>
                <w:szCs w:val="20"/>
              </w:rPr>
              <w:t>B</w:t>
            </w:r>
          </w:p>
        </w:tc>
      </w:tr>
      <w:tr w:rsidR="00327DE4" w:rsidRPr="00327DE4" w14:paraId="2BE1F770" w14:textId="77777777" w:rsidTr="00286DEB">
        <w:trPr>
          <w:trHeight w:val="249"/>
        </w:trPr>
        <w:tc>
          <w:tcPr>
            <w:tcW w:w="1220" w:type="dxa"/>
            <w:tcBorders>
              <w:bottom w:val="single" w:sz="8" w:space="0" w:color="auto"/>
            </w:tcBorders>
            <w:shd w:val="clear" w:color="auto" w:fill="auto"/>
            <w:vAlign w:val="bottom"/>
          </w:tcPr>
          <w:p w14:paraId="3BC72750" w14:textId="77777777" w:rsidR="00327DE4" w:rsidRPr="00327DE4" w:rsidRDefault="00327DE4" w:rsidP="009321A3">
            <w:pPr>
              <w:widowControl/>
              <w:spacing w:line="0" w:lineRule="atLeast"/>
              <w:jc w:val="left"/>
              <w:rPr>
                <w:rFonts w:ascii="Arial" w:eastAsia="Arial" w:hAnsi="Arial" w:cs="Arial"/>
                <w:kern w:val="0"/>
                <w:sz w:val="16"/>
                <w:szCs w:val="20"/>
              </w:rPr>
            </w:pPr>
            <w:r w:rsidRPr="00327DE4">
              <w:rPr>
                <w:rFonts w:ascii="Arial" w:eastAsia="Arial" w:hAnsi="Arial" w:cs="Arial"/>
                <w:kern w:val="0"/>
                <w:sz w:val="16"/>
                <w:szCs w:val="20"/>
              </w:rPr>
              <w:t>T4</w:t>
            </w:r>
          </w:p>
        </w:tc>
        <w:tc>
          <w:tcPr>
            <w:tcW w:w="1540" w:type="dxa"/>
            <w:tcBorders>
              <w:bottom w:val="single" w:sz="8" w:space="0" w:color="auto"/>
            </w:tcBorders>
            <w:shd w:val="clear" w:color="auto" w:fill="auto"/>
            <w:vAlign w:val="bottom"/>
          </w:tcPr>
          <w:p w14:paraId="623BFFCD" w14:textId="77777777" w:rsidR="00327DE4" w:rsidRPr="00327DE4" w:rsidRDefault="00327DE4" w:rsidP="009321A3">
            <w:pPr>
              <w:widowControl/>
              <w:spacing w:line="0" w:lineRule="atLeast"/>
              <w:ind w:right="242"/>
              <w:jc w:val="left"/>
              <w:rPr>
                <w:rFonts w:ascii="Arial" w:eastAsia="Arial" w:hAnsi="Arial" w:cs="Arial"/>
                <w:w w:val="89"/>
                <w:kern w:val="0"/>
                <w:sz w:val="16"/>
                <w:szCs w:val="20"/>
              </w:rPr>
            </w:pPr>
            <w:r w:rsidRPr="00327DE4">
              <w:rPr>
                <w:rFonts w:ascii="宋体" w:eastAsia="宋体" w:hAnsi="宋体" w:cs="Arial"/>
                <w:w w:val="89"/>
                <w:kern w:val="0"/>
                <w:sz w:val="16"/>
                <w:szCs w:val="20"/>
              </w:rPr>
              <w:t xml:space="preserve">任何 </w:t>
            </w:r>
            <w:r w:rsidRPr="00327DE4">
              <w:rPr>
                <w:rFonts w:ascii="Arial" w:eastAsia="Arial" w:hAnsi="Arial" w:cs="Arial"/>
                <w:w w:val="89"/>
                <w:kern w:val="0"/>
                <w:sz w:val="16"/>
                <w:szCs w:val="20"/>
              </w:rPr>
              <w:t>N</w:t>
            </w:r>
          </w:p>
        </w:tc>
        <w:tc>
          <w:tcPr>
            <w:tcW w:w="720" w:type="dxa"/>
            <w:tcBorders>
              <w:bottom w:val="single" w:sz="8" w:space="0" w:color="auto"/>
            </w:tcBorders>
            <w:shd w:val="clear" w:color="auto" w:fill="auto"/>
            <w:vAlign w:val="bottom"/>
          </w:tcPr>
          <w:p w14:paraId="32D15036" w14:textId="77777777" w:rsidR="00327DE4" w:rsidRPr="00327DE4" w:rsidRDefault="00327DE4" w:rsidP="009321A3">
            <w:pPr>
              <w:widowControl/>
              <w:spacing w:line="0" w:lineRule="atLeast"/>
              <w:ind w:left="80"/>
              <w:jc w:val="left"/>
              <w:rPr>
                <w:rFonts w:ascii="Arial" w:eastAsia="Arial" w:hAnsi="Arial" w:cs="Arial"/>
                <w:kern w:val="0"/>
                <w:sz w:val="16"/>
                <w:szCs w:val="20"/>
              </w:rPr>
            </w:pPr>
            <w:r w:rsidRPr="00327DE4">
              <w:rPr>
                <w:rFonts w:ascii="Arial" w:eastAsia="Arial" w:hAnsi="Arial" w:cs="Arial"/>
                <w:kern w:val="0"/>
                <w:sz w:val="16"/>
                <w:szCs w:val="20"/>
              </w:rPr>
              <w:t>M1</w:t>
            </w:r>
          </w:p>
        </w:tc>
        <w:tc>
          <w:tcPr>
            <w:tcW w:w="1200" w:type="dxa"/>
            <w:tcBorders>
              <w:bottom w:val="single" w:sz="8" w:space="0" w:color="auto"/>
            </w:tcBorders>
            <w:shd w:val="clear" w:color="auto" w:fill="auto"/>
            <w:vAlign w:val="bottom"/>
          </w:tcPr>
          <w:p w14:paraId="22FF014F" w14:textId="77777777" w:rsidR="00327DE4" w:rsidRPr="00327DE4" w:rsidRDefault="00327DE4" w:rsidP="009321A3">
            <w:pPr>
              <w:widowControl/>
              <w:spacing w:line="0" w:lineRule="atLeast"/>
              <w:jc w:val="left"/>
              <w:rPr>
                <w:rFonts w:ascii="Times New Roman" w:eastAsia="Times New Roman" w:hAnsi="Times New Roman" w:cs="Arial"/>
                <w:kern w:val="0"/>
                <w:szCs w:val="20"/>
              </w:rPr>
            </w:pPr>
          </w:p>
        </w:tc>
      </w:tr>
    </w:tbl>
    <w:p w14:paraId="16DE3EF5" w14:textId="77777777" w:rsidR="00327DE4" w:rsidRPr="00327DE4" w:rsidRDefault="00327DE4" w:rsidP="009321A3">
      <w:pPr>
        <w:widowControl/>
        <w:spacing w:line="40" w:lineRule="exact"/>
        <w:jc w:val="left"/>
        <w:rPr>
          <w:rFonts w:ascii="Times New Roman" w:eastAsia="Times New Roman" w:hAnsi="Times New Roman" w:cs="Arial"/>
          <w:kern w:val="0"/>
          <w:sz w:val="20"/>
          <w:szCs w:val="20"/>
        </w:rPr>
      </w:pPr>
    </w:p>
    <w:p w14:paraId="67220A7A" w14:textId="77777777" w:rsidR="00327DE4" w:rsidRPr="00327DE4" w:rsidRDefault="00327DE4" w:rsidP="009321A3">
      <w:pPr>
        <w:widowControl/>
        <w:spacing w:line="0" w:lineRule="atLeast"/>
        <w:ind w:left="320"/>
        <w:jc w:val="left"/>
        <w:rPr>
          <w:rFonts w:ascii="Arial" w:eastAsia="Arial" w:hAnsi="Arial" w:cs="Arial"/>
          <w:kern w:val="0"/>
          <w:sz w:val="13"/>
          <w:szCs w:val="20"/>
        </w:rPr>
      </w:pPr>
      <w:r w:rsidRPr="00327DE4">
        <w:rPr>
          <w:rFonts w:ascii="宋体" w:eastAsia="宋体" w:hAnsi="宋体" w:cs="Arial"/>
          <w:kern w:val="0"/>
          <w:sz w:val="13"/>
          <w:szCs w:val="20"/>
        </w:rPr>
        <w:t xml:space="preserve">注: 对于任何 </w:t>
      </w:r>
      <w:r w:rsidRPr="00327DE4">
        <w:rPr>
          <w:rFonts w:ascii="Arial" w:eastAsia="Arial" w:hAnsi="Arial" w:cs="Arial"/>
          <w:kern w:val="0"/>
          <w:sz w:val="13"/>
          <w:szCs w:val="20"/>
        </w:rPr>
        <w:t>T</w:t>
      </w:r>
      <w:r w:rsidRPr="00327DE4">
        <w:rPr>
          <w:rFonts w:ascii="宋体" w:eastAsia="宋体" w:hAnsi="宋体" w:cs="Arial"/>
          <w:kern w:val="0"/>
          <w:sz w:val="13"/>
          <w:szCs w:val="20"/>
        </w:rPr>
        <w:t xml:space="preserve">，添加多个肿瘤( </w:t>
      </w:r>
      <w:r w:rsidRPr="00327DE4">
        <w:rPr>
          <w:rFonts w:ascii="Arial" w:eastAsia="Arial" w:hAnsi="Arial" w:cs="Arial"/>
          <w:kern w:val="0"/>
          <w:sz w:val="13"/>
          <w:szCs w:val="20"/>
        </w:rPr>
        <w:t>m</w:t>
      </w:r>
      <w:r w:rsidRPr="00327DE4">
        <w:rPr>
          <w:rFonts w:ascii="宋体" w:eastAsia="宋体" w:hAnsi="宋体" w:cs="Arial"/>
          <w:kern w:val="0"/>
          <w:sz w:val="13"/>
          <w:szCs w:val="20"/>
        </w:rPr>
        <w:t>) ［</w:t>
      </w:r>
      <w:r w:rsidRPr="00327DE4">
        <w:rPr>
          <w:rFonts w:ascii="Arial" w:eastAsia="Arial" w:hAnsi="Arial" w:cs="Arial"/>
          <w:kern w:val="0"/>
          <w:sz w:val="13"/>
          <w:szCs w:val="20"/>
        </w:rPr>
        <w:t>TX</w:t>
      </w:r>
      <w:r w:rsidRPr="00327DE4">
        <w:rPr>
          <w:rFonts w:ascii="宋体" w:eastAsia="宋体" w:hAnsi="宋体" w:cs="Arial"/>
          <w:kern w:val="0"/>
          <w:sz w:val="13"/>
          <w:szCs w:val="20"/>
        </w:rPr>
        <w:t xml:space="preserve">( </w:t>
      </w:r>
      <w:r w:rsidRPr="00327DE4">
        <w:rPr>
          <w:rFonts w:ascii="Arial" w:eastAsia="Arial" w:hAnsi="Arial" w:cs="Arial"/>
          <w:kern w:val="0"/>
          <w:sz w:val="13"/>
          <w:szCs w:val="20"/>
        </w:rPr>
        <w:t>#</w:t>
      </w:r>
      <w:r w:rsidRPr="00327DE4">
        <w:rPr>
          <w:rFonts w:ascii="宋体" w:eastAsia="宋体" w:hAnsi="宋体" w:cs="Arial"/>
          <w:kern w:val="0"/>
          <w:sz w:val="13"/>
          <w:szCs w:val="20"/>
        </w:rPr>
        <w:t xml:space="preserve">) 或 </w:t>
      </w:r>
      <w:r w:rsidRPr="00327DE4">
        <w:rPr>
          <w:rFonts w:ascii="Arial" w:eastAsia="Arial" w:hAnsi="Arial" w:cs="Arial"/>
          <w:kern w:val="0"/>
          <w:sz w:val="13"/>
          <w:szCs w:val="20"/>
        </w:rPr>
        <w:t>TX</w:t>
      </w:r>
      <w:r w:rsidRPr="00327DE4">
        <w:rPr>
          <w:rFonts w:ascii="宋体" w:eastAsia="宋体" w:hAnsi="宋体" w:cs="Arial"/>
          <w:kern w:val="0"/>
          <w:sz w:val="13"/>
          <w:szCs w:val="20"/>
        </w:rPr>
        <w:t xml:space="preserve">( </w:t>
      </w:r>
      <w:r w:rsidRPr="00327DE4">
        <w:rPr>
          <w:rFonts w:ascii="Arial" w:eastAsia="Arial" w:hAnsi="Arial" w:cs="Arial"/>
          <w:kern w:val="0"/>
          <w:sz w:val="13"/>
          <w:szCs w:val="20"/>
        </w:rPr>
        <w:t>m</w:t>
      </w:r>
      <w:r w:rsidRPr="00327DE4">
        <w:rPr>
          <w:rFonts w:ascii="宋体" w:eastAsia="宋体" w:hAnsi="宋体" w:cs="Arial"/>
          <w:kern w:val="0"/>
          <w:sz w:val="13"/>
          <w:szCs w:val="20"/>
        </w:rPr>
        <w:t xml:space="preserve">) ，其中 </w:t>
      </w:r>
      <w:r w:rsidRPr="00327DE4">
        <w:rPr>
          <w:rFonts w:ascii="Arial" w:eastAsia="Arial" w:hAnsi="Arial" w:cs="Arial"/>
          <w:kern w:val="0"/>
          <w:sz w:val="13"/>
          <w:szCs w:val="20"/>
        </w:rPr>
        <w:t>X = 1</w:t>
      </w:r>
    </w:p>
    <w:p w14:paraId="1FF8E37B" w14:textId="77777777" w:rsidR="00327DE4" w:rsidRPr="00327DE4" w:rsidRDefault="00327DE4" w:rsidP="009321A3">
      <w:pPr>
        <w:widowControl/>
        <w:spacing w:line="89" w:lineRule="exact"/>
        <w:jc w:val="left"/>
        <w:rPr>
          <w:rFonts w:ascii="Times New Roman" w:eastAsia="Times New Roman" w:hAnsi="Times New Roman" w:cs="Arial"/>
          <w:kern w:val="0"/>
          <w:sz w:val="20"/>
          <w:szCs w:val="20"/>
        </w:rPr>
      </w:pPr>
    </w:p>
    <w:p w14:paraId="4BAF0D28" w14:textId="59C9CBA0" w:rsidR="00327DE4" w:rsidRDefault="00327DE4" w:rsidP="009321A3">
      <w:pPr>
        <w:widowControl/>
        <w:spacing w:line="230" w:lineRule="exact"/>
        <w:ind w:right="100" w:firstLine="16"/>
        <w:jc w:val="left"/>
        <w:rPr>
          <w:rFonts w:ascii="宋体" w:eastAsia="宋体" w:hAnsi="宋体" w:cs="Arial"/>
          <w:kern w:val="0"/>
          <w:sz w:val="16"/>
          <w:szCs w:val="20"/>
        </w:rPr>
      </w:pPr>
      <w:r w:rsidRPr="00327DE4">
        <w:rPr>
          <w:rFonts w:ascii="MS PGothic" w:eastAsia="MS PGothic" w:hAnsi="MS PGothic" w:cs="Arial"/>
          <w:kern w:val="0"/>
          <w:sz w:val="14"/>
          <w:szCs w:val="20"/>
        </w:rPr>
        <w:t>～</w:t>
      </w:r>
      <w:r w:rsidRPr="00327DE4">
        <w:rPr>
          <w:rFonts w:ascii="Arial" w:eastAsia="Arial" w:hAnsi="Arial" w:cs="Arial"/>
          <w:kern w:val="0"/>
          <w:sz w:val="14"/>
          <w:szCs w:val="20"/>
        </w:rPr>
        <w:t xml:space="preserve"> 4</w:t>
      </w:r>
      <w:r w:rsidRPr="00327DE4">
        <w:rPr>
          <w:rFonts w:ascii="宋体" w:eastAsia="宋体" w:hAnsi="宋体" w:cs="Arial"/>
          <w:kern w:val="0"/>
          <w:sz w:val="14"/>
          <w:szCs w:val="20"/>
        </w:rPr>
        <w:t>，</w:t>
      </w:r>
      <w:r w:rsidRPr="00327DE4">
        <w:rPr>
          <w:rFonts w:ascii="Arial" w:eastAsia="Arial" w:hAnsi="Arial" w:cs="Arial"/>
          <w:kern w:val="0"/>
          <w:sz w:val="14"/>
          <w:szCs w:val="20"/>
        </w:rPr>
        <w:t xml:space="preserve"># = </w:t>
      </w:r>
      <w:r w:rsidRPr="00327DE4">
        <w:rPr>
          <w:rFonts w:ascii="宋体" w:eastAsia="宋体" w:hAnsi="宋体" w:cs="Arial"/>
          <w:kern w:val="0"/>
          <w:sz w:val="14"/>
          <w:szCs w:val="20"/>
        </w:rPr>
        <w:t>确定的原发性肿瘤的数量］; 对于具有不同</w:t>
      </w:r>
      <w:r w:rsidRPr="00327DE4">
        <w:rPr>
          <w:rFonts w:ascii="Arial" w:eastAsia="Arial" w:hAnsi="Arial" w:cs="Arial"/>
          <w:kern w:val="0"/>
          <w:sz w:val="14"/>
          <w:szCs w:val="20"/>
        </w:rPr>
        <w:t xml:space="preserve"> Ts </w:t>
      </w:r>
      <w:r w:rsidRPr="00327DE4">
        <w:rPr>
          <w:rFonts w:ascii="宋体" w:eastAsia="宋体" w:hAnsi="宋体" w:cs="Arial"/>
          <w:kern w:val="0"/>
          <w:sz w:val="14"/>
          <w:szCs w:val="20"/>
        </w:rPr>
        <w:t>的多个肿瘤，使用最高</w:t>
      </w:r>
      <w:r w:rsidRPr="00327DE4">
        <w:rPr>
          <w:rFonts w:ascii="MS PGothic" w:eastAsia="MS PGothic" w:hAnsi="MS PGothic" w:cs="Arial"/>
          <w:kern w:val="0"/>
          <w:sz w:val="14"/>
          <w:szCs w:val="20"/>
        </w:rPr>
        <w:t>。</w:t>
      </w:r>
      <w:r w:rsidRPr="00327DE4">
        <w:rPr>
          <w:rFonts w:ascii="Arial" w:eastAsia="Arial" w:hAnsi="Arial" w:cs="Arial"/>
          <w:kern w:val="0"/>
          <w:sz w:val="14"/>
          <w:szCs w:val="20"/>
        </w:rPr>
        <w:t>*</w:t>
      </w:r>
      <w:r w:rsidRPr="00327DE4">
        <w:rPr>
          <w:rFonts w:ascii="宋体" w:eastAsia="宋体" w:hAnsi="宋体" w:cs="Arial"/>
          <w:kern w:val="0"/>
          <w:sz w:val="14"/>
          <w:szCs w:val="20"/>
        </w:rPr>
        <w:t xml:space="preserve"> 示例: 如果有两个原发性肿瘤，其中只有一个侵透固有肌</w:t>
      </w:r>
      <w:r w:rsidRPr="00327DE4">
        <w:rPr>
          <w:rFonts w:ascii="宋体" w:eastAsia="宋体" w:hAnsi="宋体" w:cs="Arial"/>
          <w:kern w:val="0"/>
          <w:sz w:val="16"/>
          <w:szCs w:val="20"/>
        </w:rPr>
        <w:t xml:space="preserve">层并侵达浆膜下组织，无浆膜覆盖，我们将原发性肿瘤定义为 </w:t>
      </w:r>
      <w:r w:rsidRPr="00327DE4">
        <w:rPr>
          <w:rFonts w:ascii="Arial" w:eastAsia="Arial" w:hAnsi="Arial" w:cs="Arial"/>
          <w:kern w:val="0"/>
          <w:sz w:val="16"/>
          <w:szCs w:val="20"/>
        </w:rPr>
        <w:t>T3</w:t>
      </w:r>
      <w:r w:rsidRPr="00327DE4">
        <w:rPr>
          <w:rFonts w:ascii="宋体" w:eastAsia="宋体" w:hAnsi="宋体" w:cs="Arial"/>
          <w:kern w:val="0"/>
          <w:sz w:val="16"/>
          <w:szCs w:val="20"/>
        </w:rPr>
        <w:t xml:space="preserve">( </w:t>
      </w:r>
      <w:r w:rsidRPr="00327DE4">
        <w:rPr>
          <w:rFonts w:ascii="Arial" w:eastAsia="Arial" w:hAnsi="Arial" w:cs="Arial"/>
          <w:kern w:val="0"/>
          <w:sz w:val="16"/>
          <w:szCs w:val="20"/>
        </w:rPr>
        <w:t>2</w:t>
      </w:r>
      <w:r w:rsidRPr="00327DE4">
        <w:rPr>
          <w:rFonts w:ascii="宋体" w:eastAsia="宋体" w:hAnsi="宋体" w:cs="Arial"/>
          <w:kern w:val="0"/>
          <w:sz w:val="16"/>
          <w:szCs w:val="20"/>
        </w:rPr>
        <w:t xml:space="preserve">) 或 </w:t>
      </w:r>
      <w:r w:rsidRPr="00327DE4">
        <w:rPr>
          <w:rFonts w:ascii="Arial" w:eastAsia="Arial" w:hAnsi="Arial" w:cs="Arial"/>
          <w:kern w:val="0"/>
          <w:sz w:val="16"/>
          <w:szCs w:val="20"/>
        </w:rPr>
        <w:t>T3</w:t>
      </w:r>
      <w:r w:rsidRPr="00327DE4">
        <w:rPr>
          <w:rFonts w:ascii="宋体" w:eastAsia="宋体" w:hAnsi="宋体" w:cs="Arial"/>
          <w:kern w:val="0"/>
          <w:sz w:val="16"/>
          <w:szCs w:val="20"/>
        </w:rPr>
        <w:t xml:space="preserve">( </w:t>
      </w:r>
      <w:r w:rsidRPr="00327DE4">
        <w:rPr>
          <w:rFonts w:ascii="Arial" w:eastAsia="Arial" w:hAnsi="Arial" w:cs="Arial"/>
          <w:kern w:val="0"/>
          <w:sz w:val="16"/>
          <w:szCs w:val="20"/>
        </w:rPr>
        <w:t>m</w:t>
      </w:r>
      <w:r w:rsidRPr="00327DE4">
        <w:rPr>
          <w:rFonts w:ascii="宋体" w:eastAsia="宋体" w:hAnsi="宋体" w:cs="Arial"/>
          <w:kern w:val="0"/>
          <w:sz w:val="16"/>
          <w:szCs w:val="20"/>
        </w:rPr>
        <w:t>)</w:t>
      </w:r>
    </w:p>
    <w:p w14:paraId="2D959EBB" w14:textId="5FF72B19" w:rsidR="00134D97" w:rsidRDefault="00134D97" w:rsidP="009321A3">
      <w:pPr>
        <w:widowControl/>
        <w:spacing w:line="230" w:lineRule="exact"/>
        <w:ind w:right="100" w:firstLine="16"/>
        <w:jc w:val="left"/>
        <w:rPr>
          <w:rFonts w:ascii="宋体" w:eastAsia="宋体" w:hAnsi="宋体" w:cs="Arial"/>
          <w:kern w:val="0"/>
          <w:sz w:val="16"/>
          <w:szCs w:val="20"/>
        </w:rPr>
      </w:pPr>
    </w:p>
    <w:p w14:paraId="283D3CA5" w14:textId="02F5C632" w:rsidR="00134D97" w:rsidRPr="00327DE4" w:rsidRDefault="00134D97" w:rsidP="009321A3">
      <w:pPr>
        <w:widowControl/>
        <w:spacing w:line="230" w:lineRule="exact"/>
        <w:ind w:right="100" w:firstLineChars="200" w:firstLine="420"/>
      </w:pPr>
      <w:r w:rsidRPr="00134D97">
        <w:rPr>
          <w:rFonts w:hint="eastAsia"/>
        </w:rPr>
        <w:t>二，诊断</w:t>
      </w:r>
    </w:p>
    <w:p w14:paraId="476C5727" w14:textId="72531D2A" w:rsidR="00327DE4" w:rsidRDefault="009321A3" w:rsidP="009321A3">
      <w:pPr>
        <w:pStyle w:val="a3"/>
        <w:autoSpaceDE w:val="0"/>
        <w:autoSpaceDN w:val="0"/>
        <w:adjustRightInd w:val="0"/>
        <w:ind w:left="360" w:firstLineChars="0" w:firstLine="0"/>
        <w:jc w:val="left"/>
      </w:pPr>
      <w:r>
        <w:rPr>
          <w:rFonts w:hint="eastAsia"/>
        </w:rPr>
        <w:t>1，</w:t>
      </w:r>
      <w:r w:rsidR="00134D97">
        <w:rPr>
          <w:rFonts w:hint="eastAsia"/>
        </w:rPr>
        <w:t>临床表现</w:t>
      </w:r>
    </w:p>
    <w:p w14:paraId="442A55CC" w14:textId="5374BDD7" w:rsidR="00134D97" w:rsidRDefault="00134D97" w:rsidP="009321A3">
      <w:pPr>
        <w:autoSpaceDE w:val="0"/>
        <w:autoSpaceDN w:val="0"/>
        <w:adjustRightInd w:val="0"/>
        <w:ind w:firstLineChars="200" w:firstLine="420"/>
        <w:jc w:val="left"/>
        <w:rPr>
          <w:rFonts w:ascii="KTJ0+ZBfKht-5" w:eastAsia="KTJ0+ZBfKht-5" w:cs="KTJ0+ZBfKht-5"/>
          <w:kern w:val="0"/>
          <w:sz w:val="18"/>
          <w:szCs w:val="18"/>
        </w:rPr>
      </w:pPr>
      <w:r>
        <w:rPr>
          <w:rFonts w:hint="eastAsia"/>
        </w:rPr>
        <w:t>直肠神经内分泌肿瘤临床症状多样，无特异性，从而使疾病诊断的准确性复杂化。</w:t>
      </w:r>
      <w:r w:rsidRPr="00134D97">
        <w:rPr>
          <w:rFonts w:hint="eastAsia"/>
        </w:rPr>
        <w:t>直肠</w:t>
      </w:r>
      <w:r w:rsidRPr="00134D97">
        <w:t xml:space="preserve">NET </w:t>
      </w:r>
      <w:r w:rsidRPr="00134D97">
        <w:rPr>
          <w:rFonts w:hint="eastAsia"/>
        </w:rPr>
        <w:t>多见于</w:t>
      </w:r>
      <w:r w:rsidRPr="00134D97">
        <w:t xml:space="preserve">50 </w:t>
      </w:r>
      <w:r w:rsidRPr="00134D97">
        <w:rPr>
          <w:rFonts w:hint="eastAsia"/>
        </w:rPr>
        <w:t>～</w:t>
      </w:r>
      <w:r w:rsidRPr="00134D97">
        <w:t xml:space="preserve"> 70 </w:t>
      </w:r>
      <w:r w:rsidRPr="00134D97">
        <w:rPr>
          <w:rFonts w:hint="eastAsia"/>
        </w:rPr>
        <w:t>岁中老年人，男性发病略多于女性</w:t>
      </w:r>
      <w:r w:rsidR="009321A3" w:rsidRPr="00097C84">
        <w:rPr>
          <w:rFonts w:hint="eastAsia"/>
          <w:sz w:val="10"/>
          <w:szCs w:val="10"/>
        </w:rPr>
        <w:t>【</w:t>
      </w:r>
      <w:r w:rsidR="00973073" w:rsidRPr="00097C84">
        <w:rPr>
          <w:rFonts w:hint="eastAsia"/>
          <w:sz w:val="10"/>
          <w:szCs w:val="10"/>
        </w:rPr>
        <w:t>9</w:t>
      </w:r>
      <w:r w:rsidRPr="00097C84">
        <w:rPr>
          <w:rFonts w:hint="eastAsia"/>
          <w:sz w:val="10"/>
          <w:szCs w:val="10"/>
        </w:rPr>
        <w:t>，</w:t>
      </w:r>
      <w:r w:rsidR="00973073" w:rsidRPr="00097C84">
        <w:rPr>
          <w:rFonts w:hint="eastAsia"/>
          <w:sz w:val="10"/>
          <w:szCs w:val="10"/>
        </w:rPr>
        <w:t>10</w:t>
      </w:r>
      <w:r w:rsidR="009321A3" w:rsidRPr="00097C84">
        <w:rPr>
          <w:rFonts w:hint="eastAsia"/>
          <w:sz w:val="10"/>
          <w:szCs w:val="10"/>
        </w:rPr>
        <w:t>】</w:t>
      </w:r>
      <w:r w:rsidRPr="00134D97">
        <w:rPr>
          <w:rFonts w:hint="eastAsia"/>
        </w:rPr>
        <w:t>，肿瘤通常生长缓慢，体积小，内镜下多表现为凸向腔内的黏膜下肿物，广基或无蒂，质地偏硬，表面大多光滑，多位于黏膜固有层或黏膜下层，少部分浸润深度可达固有肌层，并出现局部和远处的转移</w:t>
      </w:r>
      <w:r w:rsidR="009321A3" w:rsidRPr="00097C84">
        <w:rPr>
          <w:rFonts w:hint="eastAsia"/>
          <w:sz w:val="10"/>
          <w:szCs w:val="10"/>
        </w:rPr>
        <w:t>【</w:t>
      </w:r>
      <w:r w:rsidR="00973073" w:rsidRPr="00097C84">
        <w:rPr>
          <w:rFonts w:hint="eastAsia"/>
          <w:sz w:val="10"/>
          <w:szCs w:val="10"/>
        </w:rPr>
        <w:t>11</w:t>
      </w:r>
      <w:r w:rsidR="009321A3" w:rsidRPr="00097C84">
        <w:rPr>
          <w:rFonts w:hint="eastAsia"/>
          <w:sz w:val="10"/>
          <w:szCs w:val="10"/>
        </w:rPr>
        <w:t>】</w:t>
      </w:r>
      <w:r w:rsidRPr="00134D97">
        <w:rPr>
          <w:rFonts w:hint="eastAsia"/>
        </w:rPr>
        <w:t>。直肠</w:t>
      </w:r>
      <w:r w:rsidRPr="00134D97">
        <w:t xml:space="preserve">NET </w:t>
      </w:r>
      <w:r w:rsidRPr="00134D97">
        <w:rPr>
          <w:rFonts w:hint="eastAsia"/>
        </w:rPr>
        <w:t>临床表现不典型，患者常以腹痛、腹胀、呕吐，大便习惯的改变，排便次数增多、便血或疼痛等症状就诊。</w:t>
      </w:r>
      <w:r w:rsidR="00973073">
        <w:rPr>
          <w:rFonts w:ascii="AdobeHeitiStd-Regular" w:eastAsia="AdobeHeitiStd-Regular" w:cs="AdobeHeitiStd-Regular" w:hint="eastAsia"/>
          <w:kern w:val="0"/>
          <w:sz w:val="18"/>
          <w:szCs w:val="18"/>
        </w:rPr>
        <w:t>，临床医师常会与直肠息肉</w:t>
      </w:r>
      <w:r w:rsidR="00973073">
        <w:rPr>
          <w:rFonts w:ascii="KTJ0+ZBfKht-5" w:eastAsia="KTJ0+ZBfKht-5" w:cs="KTJ0+ZBfKht-5" w:hint="eastAsia"/>
          <w:kern w:val="0"/>
          <w:sz w:val="18"/>
          <w:szCs w:val="18"/>
        </w:rPr>
        <w:t>、</w:t>
      </w:r>
      <w:r w:rsidR="00973073">
        <w:rPr>
          <w:rFonts w:ascii="AdobeHeitiStd-Regular" w:eastAsia="AdobeHeitiStd-Regular" w:cs="AdobeHeitiStd-Regular" w:hint="eastAsia"/>
          <w:kern w:val="0"/>
          <w:sz w:val="18"/>
          <w:szCs w:val="18"/>
        </w:rPr>
        <w:t>痔和肛瘘等多种疾病相混淆</w:t>
      </w:r>
      <w:r w:rsidR="00973073">
        <w:rPr>
          <w:rFonts w:ascii="KTJ0+ZBfKht-5" w:eastAsia="KTJ0+ZBfKht-5" w:cs="KTJ0+ZBfKht-5" w:hint="eastAsia"/>
          <w:kern w:val="0"/>
          <w:sz w:val="18"/>
          <w:szCs w:val="18"/>
        </w:rPr>
        <w:t>。</w:t>
      </w:r>
    </w:p>
    <w:p w14:paraId="2369FCC3" w14:textId="3C945E89" w:rsidR="00973073" w:rsidRPr="00D04EC1" w:rsidRDefault="00973073" w:rsidP="009321A3">
      <w:pPr>
        <w:autoSpaceDE w:val="0"/>
        <w:autoSpaceDN w:val="0"/>
        <w:adjustRightInd w:val="0"/>
        <w:ind w:firstLineChars="200" w:firstLine="420"/>
        <w:jc w:val="left"/>
      </w:pPr>
      <w:r w:rsidRPr="00D04EC1">
        <w:rPr>
          <w:rFonts w:hint="eastAsia"/>
        </w:rPr>
        <w:t>2，肠镜</w:t>
      </w:r>
    </w:p>
    <w:p w14:paraId="074A0445" w14:textId="04BFEE04" w:rsidR="00185DEE" w:rsidRPr="00D04EC1" w:rsidRDefault="00185DEE" w:rsidP="009321A3">
      <w:pPr>
        <w:autoSpaceDE w:val="0"/>
        <w:autoSpaceDN w:val="0"/>
        <w:adjustRightInd w:val="0"/>
        <w:ind w:firstLineChars="200" w:firstLine="420"/>
        <w:jc w:val="left"/>
      </w:pPr>
      <w:r w:rsidRPr="00D04EC1">
        <w:rPr>
          <w:rFonts w:hint="eastAsia"/>
        </w:rPr>
        <w:t>直肠指诊与电子结肠镜检是发现直肠神经内分泌肿瘤的简单、重要手段。直肠指诊及结肠镜下直肠突出于肠腔内的黏膜下类圆形肿物，表面光滑，色微黄或灰白，触之质韧、硬，临床应注意考虑该病。取活检病理证实阳性较低，与取材表浅有关；深凿取材容易证实直肠神经内分泌肿瘤，但容易造成病灶与周边组织粘连，不利于后期</w:t>
      </w:r>
      <w:r w:rsidRPr="00D04EC1">
        <w:t>ESD</w:t>
      </w:r>
      <w:r w:rsidRPr="00D04EC1">
        <w:rPr>
          <w:rFonts w:hint="eastAsia"/>
        </w:rPr>
        <w:t>。超声内镜E</w:t>
      </w:r>
      <w:r w:rsidRPr="00D04EC1">
        <w:t>US</w:t>
      </w:r>
      <w:r w:rsidRPr="00D04EC1">
        <w:rPr>
          <w:rFonts w:hint="eastAsia"/>
        </w:rPr>
        <w:t>有助于判定神经内分泌肿瘤的分层来源、大小、边界、浸润深度、周边转移外，对于手术方式和预后评估也提供了可靠依据，但需注意区别直肠息肉、脂肪瘤、间质瘤、平滑肌瘤等黏膜下肿块</w:t>
      </w:r>
      <w:r w:rsidR="009321A3" w:rsidRPr="00097C84">
        <w:rPr>
          <w:rFonts w:hint="eastAsia"/>
          <w:sz w:val="10"/>
          <w:szCs w:val="10"/>
        </w:rPr>
        <w:t>【</w:t>
      </w:r>
      <w:r w:rsidR="006F3CCC" w:rsidRPr="00097C84">
        <w:rPr>
          <w:rFonts w:hint="eastAsia"/>
          <w:sz w:val="10"/>
          <w:szCs w:val="10"/>
        </w:rPr>
        <w:t>12</w:t>
      </w:r>
      <w:r w:rsidR="009321A3" w:rsidRPr="00097C84">
        <w:rPr>
          <w:rFonts w:hint="eastAsia"/>
          <w:sz w:val="10"/>
          <w:szCs w:val="10"/>
        </w:rPr>
        <w:t>】【</w:t>
      </w:r>
      <w:r w:rsidR="006F3CCC" w:rsidRPr="00097C84">
        <w:rPr>
          <w:rFonts w:hint="eastAsia"/>
          <w:sz w:val="10"/>
          <w:szCs w:val="10"/>
        </w:rPr>
        <w:t>13</w:t>
      </w:r>
      <w:r w:rsidR="009321A3" w:rsidRPr="00097C84">
        <w:rPr>
          <w:rFonts w:hint="eastAsia"/>
          <w:sz w:val="10"/>
          <w:szCs w:val="10"/>
        </w:rPr>
        <w:t>】</w:t>
      </w:r>
      <w:r w:rsidRPr="00D04EC1">
        <w:rPr>
          <w:rFonts w:hint="eastAsia"/>
        </w:rPr>
        <w:t>。</w:t>
      </w:r>
    </w:p>
    <w:p w14:paraId="3D822F07" w14:textId="1F4B8539" w:rsidR="006F3CCC" w:rsidRPr="00D04EC1" w:rsidRDefault="006F3CCC" w:rsidP="009321A3">
      <w:pPr>
        <w:autoSpaceDE w:val="0"/>
        <w:autoSpaceDN w:val="0"/>
        <w:adjustRightInd w:val="0"/>
        <w:ind w:firstLineChars="200" w:firstLine="420"/>
        <w:jc w:val="left"/>
      </w:pPr>
      <w:r w:rsidRPr="00D04EC1">
        <w:rPr>
          <w:rFonts w:hint="eastAsia"/>
        </w:rPr>
        <w:t>3，病理</w:t>
      </w:r>
      <w:r w:rsidR="006A1823" w:rsidRPr="00D04EC1">
        <w:rPr>
          <w:rFonts w:hint="eastAsia"/>
        </w:rPr>
        <w:t>分级</w:t>
      </w:r>
    </w:p>
    <w:p w14:paraId="40785FB3" w14:textId="46D502DF" w:rsidR="006F3CCC" w:rsidRPr="00D04EC1" w:rsidRDefault="006F3CCC" w:rsidP="009321A3">
      <w:pPr>
        <w:autoSpaceDE w:val="0"/>
        <w:autoSpaceDN w:val="0"/>
        <w:adjustRightInd w:val="0"/>
        <w:ind w:firstLineChars="200" w:firstLine="420"/>
        <w:jc w:val="left"/>
      </w:pPr>
      <w:r w:rsidRPr="00D04EC1">
        <w:t xml:space="preserve">2010 </w:t>
      </w:r>
      <w:r w:rsidRPr="00D04EC1">
        <w:rPr>
          <w:rFonts w:hint="eastAsia"/>
        </w:rPr>
        <w:t>版《消化系统肿瘤</w:t>
      </w:r>
      <w:r w:rsidRPr="00D04EC1">
        <w:t xml:space="preserve">WHO </w:t>
      </w:r>
      <w:r w:rsidRPr="00D04EC1">
        <w:rPr>
          <w:rFonts w:hint="eastAsia"/>
        </w:rPr>
        <w:t>分类》</w:t>
      </w:r>
      <w:r w:rsidR="009321A3" w:rsidRPr="00097C84">
        <w:rPr>
          <w:rFonts w:hint="eastAsia"/>
          <w:sz w:val="10"/>
          <w:szCs w:val="10"/>
        </w:rPr>
        <w:t>【</w:t>
      </w:r>
      <w:r w:rsidRPr="00097C84">
        <w:rPr>
          <w:sz w:val="10"/>
          <w:szCs w:val="10"/>
        </w:rPr>
        <w:t>12</w:t>
      </w:r>
      <w:r w:rsidR="009321A3" w:rsidRPr="00097C84">
        <w:rPr>
          <w:rFonts w:hint="eastAsia"/>
          <w:sz w:val="10"/>
          <w:szCs w:val="10"/>
        </w:rPr>
        <w:t>】</w:t>
      </w:r>
      <w:r w:rsidRPr="00D04EC1">
        <w:rPr>
          <w:rFonts w:hint="eastAsia"/>
        </w:rPr>
        <w:t>按组织分化程度和细胞增殖活性对胃肠道神经内分泌肿瘤</w:t>
      </w:r>
      <w:r w:rsidRPr="00D04EC1">
        <w:t xml:space="preserve">( GI </w:t>
      </w:r>
      <w:r w:rsidRPr="00D04EC1">
        <w:rPr>
          <w:rFonts w:hint="eastAsia"/>
        </w:rPr>
        <w:t>－</w:t>
      </w:r>
      <w:r w:rsidRPr="00D04EC1">
        <w:t xml:space="preserve"> NENs) </w:t>
      </w:r>
      <w:r w:rsidRPr="00D04EC1">
        <w:rPr>
          <w:rFonts w:hint="eastAsia"/>
        </w:rPr>
        <w:t>进行分级，增殖活性分级推荐采用核分裂象数和</w:t>
      </w:r>
      <w:r w:rsidRPr="00D04EC1">
        <w:t xml:space="preserve">( </w:t>
      </w:r>
      <w:r w:rsidRPr="00D04EC1">
        <w:rPr>
          <w:rFonts w:hint="eastAsia"/>
        </w:rPr>
        <w:t>或</w:t>
      </w:r>
      <w:r w:rsidRPr="00D04EC1">
        <w:t xml:space="preserve">) Ki </w:t>
      </w:r>
      <w:r w:rsidRPr="00D04EC1">
        <w:rPr>
          <w:rFonts w:hint="eastAsia"/>
        </w:rPr>
        <w:t>－</w:t>
      </w:r>
      <w:r w:rsidRPr="00D04EC1">
        <w:t xml:space="preserve"> 67 </w:t>
      </w:r>
      <w:r w:rsidRPr="00D04EC1">
        <w:rPr>
          <w:rFonts w:hint="eastAsia"/>
        </w:rPr>
        <w:t>阳性指数两项指标</w:t>
      </w:r>
      <w:r w:rsidRPr="00D04EC1">
        <w:t xml:space="preserve">( </w:t>
      </w:r>
      <w:r w:rsidRPr="00D04EC1">
        <w:rPr>
          <w:rFonts w:hint="eastAsia"/>
        </w:rPr>
        <w:t>见表</w:t>
      </w:r>
      <w:r w:rsidR="009321A3">
        <w:rPr>
          <w:rFonts w:hint="eastAsia"/>
        </w:rPr>
        <w:t>2</w:t>
      </w:r>
      <w:r w:rsidRPr="00D04EC1">
        <w:t xml:space="preserve">) </w:t>
      </w:r>
      <w:r w:rsidRPr="00D04EC1">
        <w:rPr>
          <w:rFonts w:hint="eastAsia"/>
        </w:rPr>
        <w:t>。在此基础上，中国临床肿瘤学会神经内分泌肿瘤专家委员会</w:t>
      </w:r>
      <w:r w:rsidRPr="00D04EC1">
        <w:lastRenderedPageBreak/>
        <w:t xml:space="preserve">( CSCO) </w:t>
      </w:r>
      <w:r w:rsidRPr="00D04EC1">
        <w:rPr>
          <w:rFonts w:hint="eastAsia"/>
        </w:rPr>
        <w:t>公布的第</w:t>
      </w:r>
      <w:r w:rsidRPr="00D04EC1">
        <w:t xml:space="preserve">2 </w:t>
      </w:r>
      <w:r w:rsidRPr="00D04EC1">
        <w:rPr>
          <w:rFonts w:hint="eastAsia"/>
        </w:rPr>
        <w:t>版《中国胃肠胰神经内分泌肿瘤专家共识》</w:t>
      </w:r>
      <w:r w:rsidR="009321A3" w:rsidRPr="00097C84">
        <w:rPr>
          <w:rFonts w:hint="eastAsia"/>
          <w:sz w:val="10"/>
          <w:szCs w:val="10"/>
        </w:rPr>
        <w:t>【</w:t>
      </w:r>
      <w:r w:rsidRPr="00097C84">
        <w:rPr>
          <w:sz w:val="10"/>
          <w:szCs w:val="10"/>
        </w:rPr>
        <w:t>12</w:t>
      </w:r>
      <w:r w:rsidR="009321A3" w:rsidRPr="00097C84">
        <w:rPr>
          <w:rFonts w:hint="eastAsia"/>
          <w:sz w:val="10"/>
          <w:szCs w:val="10"/>
        </w:rPr>
        <w:t>】</w:t>
      </w:r>
      <w:r w:rsidRPr="00D04EC1">
        <w:rPr>
          <w:rFonts w:hint="eastAsia"/>
        </w:rPr>
        <w:t>中将</w:t>
      </w:r>
      <w:r w:rsidRPr="00D04EC1">
        <w:t xml:space="preserve">GI </w:t>
      </w:r>
      <w:r w:rsidRPr="00D04EC1">
        <w:rPr>
          <w:rFonts w:hint="eastAsia"/>
        </w:rPr>
        <w:t>－</w:t>
      </w:r>
      <w:r w:rsidRPr="00D04EC1">
        <w:t xml:space="preserve">NENs </w:t>
      </w:r>
      <w:r w:rsidRPr="00D04EC1">
        <w:rPr>
          <w:rFonts w:hint="eastAsia"/>
        </w:rPr>
        <w:t>分为</w:t>
      </w:r>
      <w:r w:rsidRPr="00D04EC1">
        <w:t xml:space="preserve">: </w:t>
      </w:r>
      <w:r w:rsidRPr="00D04EC1">
        <w:rPr>
          <w:rFonts w:hint="eastAsia"/>
        </w:rPr>
        <w:t>高、中分化的神经内分泌瘤</w:t>
      </w:r>
      <w:r w:rsidRPr="00D04EC1">
        <w:t xml:space="preserve">( NET) </w:t>
      </w:r>
      <w:r w:rsidRPr="00D04EC1">
        <w:rPr>
          <w:rFonts w:hint="eastAsia"/>
        </w:rPr>
        <w:t>，包括</w:t>
      </w:r>
      <w:r w:rsidRPr="00D04EC1">
        <w:t xml:space="preserve">G1 /G2 </w:t>
      </w:r>
      <w:r w:rsidRPr="00D04EC1">
        <w:rPr>
          <w:rFonts w:hint="eastAsia"/>
        </w:rPr>
        <w:t>级</w:t>
      </w:r>
      <w:r w:rsidRPr="00D04EC1">
        <w:t xml:space="preserve">GI </w:t>
      </w:r>
      <w:r w:rsidRPr="00D04EC1">
        <w:rPr>
          <w:rFonts w:hint="eastAsia"/>
        </w:rPr>
        <w:t>－</w:t>
      </w:r>
      <w:r w:rsidRPr="00D04EC1">
        <w:t xml:space="preserve">NET; </w:t>
      </w:r>
      <w:r w:rsidRPr="00D04EC1">
        <w:rPr>
          <w:rFonts w:hint="eastAsia"/>
        </w:rPr>
        <w:t>低分化的神经内分泌癌</w:t>
      </w:r>
      <w:r w:rsidRPr="00D04EC1">
        <w:t xml:space="preserve">( NEC) </w:t>
      </w:r>
      <w:r w:rsidRPr="00D04EC1">
        <w:rPr>
          <w:rFonts w:hint="eastAsia"/>
        </w:rPr>
        <w:t>，即</w:t>
      </w:r>
      <w:r w:rsidRPr="00D04EC1">
        <w:t xml:space="preserve">G3 </w:t>
      </w:r>
      <w:r w:rsidRPr="00D04EC1">
        <w:rPr>
          <w:rFonts w:hint="eastAsia"/>
        </w:rPr>
        <w:t>级</w:t>
      </w:r>
      <w:r w:rsidRPr="00D04EC1">
        <w:t xml:space="preserve">GI </w:t>
      </w:r>
      <w:r w:rsidRPr="00D04EC1">
        <w:rPr>
          <w:rFonts w:hint="eastAsia"/>
        </w:rPr>
        <w:t>－</w:t>
      </w:r>
      <w:r w:rsidRPr="00D04EC1">
        <w:t>NEC</w:t>
      </w:r>
      <w:r w:rsidRPr="00D04EC1">
        <w:rPr>
          <w:rFonts w:hint="eastAsia"/>
        </w:rPr>
        <w:t>。其病理学分级显示</w:t>
      </w:r>
      <w:r w:rsidRPr="00D04EC1">
        <w:t xml:space="preserve">r </w:t>
      </w:r>
      <w:r w:rsidRPr="00D04EC1">
        <w:rPr>
          <w:rFonts w:hint="eastAsia"/>
        </w:rPr>
        <w:t>－</w:t>
      </w:r>
      <w:r w:rsidRPr="00D04EC1">
        <w:t xml:space="preserve"> NENs </w:t>
      </w:r>
      <w:r w:rsidRPr="00D04EC1">
        <w:rPr>
          <w:rFonts w:hint="eastAsia"/>
        </w:rPr>
        <w:t>的良恶性程度。众所周知，肿瘤的良恶性程度对机体侵袭性及转移性不同，其疾病的进展、治疗及预后亦不尽相同</w:t>
      </w:r>
      <w:r w:rsidR="009321A3" w:rsidRPr="00097C84">
        <w:rPr>
          <w:rFonts w:hint="eastAsia"/>
          <w:sz w:val="10"/>
          <w:szCs w:val="10"/>
        </w:rPr>
        <w:t>【</w:t>
      </w:r>
      <w:r w:rsidR="006A1823" w:rsidRPr="00097C84">
        <w:rPr>
          <w:rFonts w:hint="eastAsia"/>
          <w:sz w:val="10"/>
          <w:szCs w:val="10"/>
        </w:rPr>
        <w:t>14</w:t>
      </w:r>
      <w:r w:rsidR="009321A3" w:rsidRPr="00097C84">
        <w:rPr>
          <w:rFonts w:hint="eastAsia"/>
          <w:sz w:val="10"/>
          <w:szCs w:val="10"/>
        </w:rPr>
        <w:t>】</w:t>
      </w:r>
      <w:r w:rsidRPr="00D04EC1">
        <w:rPr>
          <w:rFonts w:hint="eastAsia"/>
        </w:rPr>
        <w:t>。</w:t>
      </w:r>
    </w:p>
    <w:tbl>
      <w:tblPr>
        <w:tblW w:w="0" w:type="auto"/>
        <w:tblLayout w:type="fixed"/>
        <w:tblCellMar>
          <w:left w:w="0" w:type="dxa"/>
          <w:right w:w="0" w:type="dxa"/>
        </w:tblCellMar>
        <w:tblLook w:val="0000" w:firstRow="0" w:lastRow="0" w:firstColumn="0" w:lastColumn="0" w:noHBand="0" w:noVBand="0"/>
      </w:tblPr>
      <w:tblGrid>
        <w:gridCol w:w="180"/>
        <w:gridCol w:w="280"/>
        <w:gridCol w:w="180"/>
        <w:gridCol w:w="60"/>
        <w:gridCol w:w="140"/>
        <w:gridCol w:w="100"/>
        <w:gridCol w:w="180"/>
        <w:gridCol w:w="60"/>
        <w:gridCol w:w="140"/>
        <w:gridCol w:w="280"/>
        <w:gridCol w:w="20"/>
        <w:gridCol w:w="220"/>
        <w:gridCol w:w="220"/>
        <w:gridCol w:w="20"/>
        <w:gridCol w:w="20"/>
        <w:gridCol w:w="100"/>
        <w:gridCol w:w="120"/>
        <w:gridCol w:w="220"/>
        <w:gridCol w:w="80"/>
        <w:gridCol w:w="60"/>
        <w:gridCol w:w="380"/>
        <w:gridCol w:w="40"/>
        <w:gridCol w:w="440"/>
        <w:gridCol w:w="60"/>
        <w:gridCol w:w="100"/>
        <w:gridCol w:w="380"/>
        <w:gridCol w:w="40"/>
        <w:gridCol w:w="60"/>
        <w:gridCol w:w="220"/>
        <w:gridCol w:w="200"/>
      </w:tblGrid>
      <w:tr w:rsidR="006F3CCC" w:rsidRPr="00D04EC1" w14:paraId="2BC5754F" w14:textId="77777777" w:rsidTr="00286DEB">
        <w:trPr>
          <w:gridAfter w:val="3"/>
          <w:wAfter w:w="480" w:type="dxa"/>
          <w:trHeight w:val="217"/>
        </w:trPr>
        <w:tc>
          <w:tcPr>
            <w:tcW w:w="460" w:type="dxa"/>
            <w:gridSpan w:val="2"/>
            <w:vMerge w:val="restart"/>
            <w:shd w:val="clear" w:color="auto" w:fill="auto"/>
            <w:vAlign w:val="bottom"/>
          </w:tcPr>
          <w:p w14:paraId="1216C7E7" w14:textId="1EE9F773" w:rsidR="006F3CCC" w:rsidRPr="00D04EC1" w:rsidRDefault="006F3CCC" w:rsidP="006A1823">
            <w:pPr>
              <w:widowControl/>
              <w:spacing w:line="0" w:lineRule="atLeast"/>
              <w:ind w:left="60"/>
              <w:jc w:val="left"/>
            </w:pPr>
            <w:r w:rsidRPr="00D04EC1">
              <w:t>表</w:t>
            </w:r>
            <w:r w:rsidR="009321A3">
              <w:rPr>
                <w:rFonts w:hint="eastAsia"/>
              </w:rPr>
              <w:t>2</w:t>
            </w:r>
          </w:p>
        </w:tc>
        <w:tc>
          <w:tcPr>
            <w:tcW w:w="3140" w:type="dxa"/>
            <w:gridSpan w:val="22"/>
            <w:vMerge w:val="restart"/>
            <w:shd w:val="clear" w:color="auto" w:fill="auto"/>
            <w:vAlign w:val="bottom"/>
          </w:tcPr>
          <w:p w14:paraId="0EFF9F19" w14:textId="5BE85B66" w:rsidR="006F3CCC" w:rsidRPr="00D04EC1" w:rsidRDefault="006F3CCC" w:rsidP="006F3CCC">
            <w:pPr>
              <w:widowControl/>
              <w:spacing w:line="0" w:lineRule="atLeast"/>
              <w:jc w:val="left"/>
            </w:pPr>
            <w:r w:rsidRPr="00D04EC1">
              <w:t>2010 年 WHO 神经内分泌肿瘤病理分级</w:t>
            </w:r>
          </w:p>
        </w:tc>
        <w:tc>
          <w:tcPr>
            <w:tcW w:w="100" w:type="dxa"/>
            <w:shd w:val="clear" w:color="auto" w:fill="auto"/>
            <w:vAlign w:val="bottom"/>
          </w:tcPr>
          <w:p w14:paraId="7F8732B5"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00B1458A" w14:textId="77777777" w:rsidR="006F3CCC" w:rsidRPr="00D04EC1" w:rsidRDefault="006F3CCC" w:rsidP="006F3CCC">
            <w:pPr>
              <w:widowControl/>
              <w:spacing w:line="0" w:lineRule="atLeast"/>
              <w:jc w:val="left"/>
            </w:pPr>
          </w:p>
        </w:tc>
      </w:tr>
      <w:tr w:rsidR="006F3CCC" w:rsidRPr="00D04EC1" w14:paraId="05205422" w14:textId="77777777" w:rsidTr="00286DEB">
        <w:trPr>
          <w:gridAfter w:val="3"/>
          <w:wAfter w:w="480" w:type="dxa"/>
          <w:trHeight w:val="50"/>
        </w:trPr>
        <w:tc>
          <w:tcPr>
            <w:tcW w:w="460" w:type="dxa"/>
            <w:gridSpan w:val="2"/>
            <w:vMerge/>
            <w:shd w:val="clear" w:color="auto" w:fill="auto"/>
            <w:vAlign w:val="bottom"/>
          </w:tcPr>
          <w:p w14:paraId="513217B0" w14:textId="77777777" w:rsidR="006F3CCC" w:rsidRPr="00D04EC1" w:rsidRDefault="006F3CCC" w:rsidP="006F3CCC">
            <w:pPr>
              <w:widowControl/>
              <w:spacing w:line="0" w:lineRule="atLeast"/>
              <w:jc w:val="left"/>
            </w:pPr>
          </w:p>
        </w:tc>
        <w:tc>
          <w:tcPr>
            <w:tcW w:w="3140" w:type="dxa"/>
            <w:gridSpan w:val="22"/>
            <w:vMerge/>
            <w:shd w:val="clear" w:color="auto" w:fill="auto"/>
            <w:vAlign w:val="bottom"/>
          </w:tcPr>
          <w:p w14:paraId="09C3A4ED" w14:textId="77777777" w:rsidR="006F3CCC" w:rsidRPr="00D04EC1" w:rsidRDefault="006F3CCC" w:rsidP="006F3CCC">
            <w:pPr>
              <w:widowControl/>
              <w:spacing w:line="0" w:lineRule="atLeast"/>
              <w:jc w:val="left"/>
            </w:pPr>
          </w:p>
        </w:tc>
        <w:tc>
          <w:tcPr>
            <w:tcW w:w="100" w:type="dxa"/>
            <w:shd w:val="clear" w:color="auto" w:fill="auto"/>
            <w:vAlign w:val="bottom"/>
          </w:tcPr>
          <w:p w14:paraId="319ADC22"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1CFBDB7F" w14:textId="77777777" w:rsidR="006F3CCC" w:rsidRPr="00D04EC1" w:rsidRDefault="006F3CCC" w:rsidP="006F3CCC">
            <w:pPr>
              <w:widowControl/>
              <w:spacing w:line="0" w:lineRule="atLeast"/>
              <w:jc w:val="left"/>
            </w:pPr>
          </w:p>
        </w:tc>
      </w:tr>
      <w:tr w:rsidR="006F3CCC" w:rsidRPr="00D04EC1" w14:paraId="2A42EF81" w14:textId="77777777" w:rsidTr="00286DEB">
        <w:trPr>
          <w:gridAfter w:val="3"/>
          <w:wAfter w:w="480" w:type="dxa"/>
          <w:trHeight w:val="28"/>
        </w:trPr>
        <w:tc>
          <w:tcPr>
            <w:tcW w:w="180" w:type="dxa"/>
            <w:tcBorders>
              <w:bottom w:val="single" w:sz="8" w:space="0" w:color="auto"/>
            </w:tcBorders>
            <w:shd w:val="clear" w:color="auto" w:fill="auto"/>
            <w:vAlign w:val="bottom"/>
          </w:tcPr>
          <w:p w14:paraId="44484A48" w14:textId="77777777" w:rsidR="006F3CCC" w:rsidRPr="00D04EC1" w:rsidRDefault="006F3CCC" w:rsidP="006F3CCC">
            <w:pPr>
              <w:widowControl/>
              <w:spacing w:line="0" w:lineRule="atLeast"/>
              <w:jc w:val="left"/>
            </w:pPr>
          </w:p>
        </w:tc>
        <w:tc>
          <w:tcPr>
            <w:tcW w:w="280" w:type="dxa"/>
            <w:tcBorders>
              <w:bottom w:val="single" w:sz="8" w:space="0" w:color="auto"/>
            </w:tcBorders>
            <w:shd w:val="clear" w:color="auto" w:fill="auto"/>
            <w:vAlign w:val="bottom"/>
          </w:tcPr>
          <w:p w14:paraId="24569342" w14:textId="77777777" w:rsidR="006F3CCC" w:rsidRPr="00D04EC1" w:rsidRDefault="006F3CCC" w:rsidP="006F3CCC">
            <w:pPr>
              <w:widowControl/>
              <w:spacing w:line="0" w:lineRule="atLeast"/>
              <w:jc w:val="left"/>
            </w:pPr>
          </w:p>
        </w:tc>
        <w:tc>
          <w:tcPr>
            <w:tcW w:w="180" w:type="dxa"/>
            <w:tcBorders>
              <w:bottom w:val="single" w:sz="8" w:space="0" w:color="auto"/>
            </w:tcBorders>
            <w:shd w:val="clear" w:color="auto" w:fill="auto"/>
            <w:vAlign w:val="bottom"/>
          </w:tcPr>
          <w:p w14:paraId="285C226B" w14:textId="77777777" w:rsidR="006F3CCC" w:rsidRPr="00D04EC1" w:rsidRDefault="006F3CCC" w:rsidP="006F3CCC">
            <w:pPr>
              <w:widowControl/>
              <w:spacing w:line="0" w:lineRule="atLeast"/>
              <w:jc w:val="left"/>
            </w:pPr>
          </w:p>
        </w:tc>
        <w:tc>
          <w:tcPr>
            <w:tcW w:w="60" w:type="dxa"/>
            <w:tcBorders>
              <w:bottom w:val="single" w:sz="8" w:space="0" w:color="auto"/>
            </w:tcBorders>
            <w:shd w:val="clear" w:color="auto" w:fill="auto"/>
            <w:vAlign w:val="bottom"/>
          </w:tcPr>
          <w:p w14:paraId="71A13BBC" w14:textId="77777777" w:rsidR="006F3CCC" w:rsidRPr="00D04EC1" w:rsidRDefault="006F3CCC" w:rsidP="006F3CCC">
            <w:pPr>
              <w:widowControl/>
              <w:spacing w:line="0" w:lineRule="atLeast"/>
              <w:jc w:val="left"/>
            </w:pPr>
          </w:p>
        </w:tc>
        <w:tc>
          <w:tcPr>
            <w:tcW w:w="140" w:type="dxa"/>
            <w:tcBorders>
              <w:bottom w:val="single" w:sz="8" w:space="0" w:color="auto"/>
            </w:tcBorders>
            <w:shd w:val="clear" w:color="auto" w:fill="auto"/>
            <w:vAlign w:val="bottom"/>
          </w:tcPr>
          <w:p w14:paraId="517D8578" w14:textId="77777777" w:rsidR="006F3CCC" w:rsidRPr="00D04EC1" w:rsidRDefault="006F3CCC" w:rsidP="006F3CCC">
            <w:pPr>
              <w:widowControl/>
              <w:spacing w:line="0" w:lineRule="atLeast"/>
              <w:jc w:val="left"/>
            </w:pPr>
          </w:p>
        </w:tc>
        <w:tc>
          <w:tcPr>
            <w:tcW w:w="760" w:type="dxa"/>
            <w:gridSpan w:val="5"/>
            <w:tcBorders>
              <w:bottom w:val="single" w:sz="8" w:space="0" w:color="auto"/>
            </w:tcBorders>
            <w:shd w:val="clear" w:color="auto" w:fill="auto"/>
            <w:vAlign w:val="bottom"/>
          </w:tcPr>
          <w:p w14:paraId="57763544" w14:textId="77777777" w:rsidR="006F3CCC" w:rsidRPr="00D04EC1" w:rsidRDefault="006F3CCC" w:rsidP="006F3CCC">
            <w:pPr>
              <w:widowControl/>
              <w:spacing w:line="0" w:lineRule="atLeast"/>
              <w:jc w:val="left"/>
            </w:pPr>
          </w:p>
        </w:tc>
        <w:tc>
          <w:tcPr>
            <w:tcW w:w="20" w:type="dxa"/>
            <w:tcBorders>
              <w:bottom w:val="single" w:sz="8" w:space="0" w:color="auto"/>
            </w:tcBorders>
            <w:shd w:val="clear" w:color="auto" w:fill="auto"/>
            <w:vAlign w:val="bottom"/>
          </w:tcPr>
          <w:p w14:paraId="6CE66863" w14:textId="77777777" w:rsidR="006F3CCC" w:rsidRPr="00D04EC1" w:rsidRDefault="006F3CCC" w:rsidP="006F3CCC">
            <w:pPr>
              <w:widowControl/>
              <w:spacing w:line="0" w:lineRule="atLeast"/>
              <w:jc w:val="left"/>
            </w:pPr>
          </w:p>
        </w:tc>
        <w:tc>
          <w:tcPr>
            <w:tcW w:w="220" w:type="dxa"/>
            <w:tcBorders>
              <w:bottom w:val="single" w:sz="8" w:space="0" w:color="auto"/>
            </w:tcBorders>
            <w:shd w:val="clear" w:color="auto" w:fill="auto"/>
            <w:vAlign w:val="bottom"/>
          </w:tcPr>
          <w:p w14:paraId="5E3F9360" w14:textId="77777777" w:rsidR="006F3CCC" w:rsidRPr="00D04EC1" w:rsidRDefault="006F3CCC" w:rsidP="006F3CCC">
            <w:pPr>
              <w:widowControl/>
              <w:spacing w:line="0" w:lineRule="atLeast"/>
              <w:jc w:val="left"/>
            </w:pPr>
          </w:p>
        </w:tc>
        <w:tc>
          <w:tcPr>
            <w:tcW w:w="220" w:type="dxa"/>
            <w:tcBorders>
              <w:bottom w:val="single" w:sz="8" w:space="0" w:color="auto"/>
            </w:tcBorders>
            <w:shd w:val="clear" w:color="auto" w:fill="auto"/>
            <w:vAlign w:val="bottom"/>
          </w:tcPr>
          <w:p w14:paraId="4805BBFE" w14:textId="77777777" w:rsidR="006F3CCC" w:rsidRPr="00D04EC1" w:rsidRDefault="006F3CCC" w:rsidP="006F3CCC">
            <w:pPr>
              <w:widowControl/>
              <w:spacing w:line="0" w:lineRule="atLeast"/>
              <w:jc w:val="left"/>
            </w:pPr>
          </w:p>
        </w:tc>
        <w:tc>
          <w:tcPr>
            <w:tcW w:w="140" w:type="dxa"/>
            <w:gridSpan w:val="3"/>
            <w:tcBorders>
              <w:bottom w:val="single" w:sz="8" w:space="0" w:color="auto"/>
            </w:tcBorders>
            <w:shd w:val="clear" w:color="auto" w:fill="auto"/>
            <w:vAlign w:val="bottom"/>
          </w:tcPr>
          <w:p w14:paraId="1F09CB41" w14:textId="77777777" w:rsidR="006F3CCC" w:rsidRPr="00D04EC1" w:rsidRDefault="006F3CCC" w:rsidP="006F3CCC">
            <w:pPr>
              <w:widowControl/>
              <w:spacing w:line="0" w:lineRule="atLeast"/>
              <w:jc w:val="left"/>
            </w:pPr>
          </w:p>
        </w:tc>
        <w:tc>
          <w:tcPr>
            <w:tcW w:w="420" w:type="dxa"/>
            <w:gridSpan w:val="3"/>
            <w:tcBorders>
              <w:bottom w:val="single" w:sz="8" w:space="0" w:color="auto"/>
            </w:tcBorders>
            <w:shd w:val="clear" w:color="auto" w:fill="auto"/>
            <w:vAlign w:val="bottom"/>
          </w:tcPr>
          <w:p w14:paraId="55C73722" w14:textId="77777777" w:rsidR="006F3CCC" w:rsidRPr="00D04EC1" w:rsidRDefault="006F3CCC" w:rsidP="006F3CCC">
            <w:pPr>
              <w:widowControl/>
              <w:spacing w:line="0" w:lineRule="atLeast"/>
              <w:jc w:val="left"/>
            </w:pPr>
          </w:p>
        </w:tc>
        <w:tc>
          <w:tcPr>
            <w:tcW w:w="440" w:type="dxa"/>
            <w:gridSpan w:val="2"/>
            <w:tcBorders>
              <w:bottom w:val="single" w:sz="8" w:space="0" w:color="auto"/>
            </w:tcBorders>
            <w:shd w:val="clear" w:color="auto" w:fill="auto"/>
            <w:vAlign w:val="bottom"/>
          </w:tcPr>
          <w:p w14:paraId="569AE7DF" w14:textId="77777777" w:rsidR="006F3CCC" w:rsidRPr="00D04EC1" w:rsidRDefault="006F3CCC" w:rsidP="006F3CCC">
            <w:pPr>
              <w:widowControl/>
              <w:spacing w:line="0" w:lineRule="atLeast"/>
              <w:jc w:val="left"/>
            </w:pPr>
          </w:p>
        </w:tc>
        <w:tc>
          <w:tcPr>
            <w:tcW w:w="540" w:type="dxa"/>
            <w:gridSpan w:val="3"/>
            <w:tcBorders>
              <w:bottom w:val="single" w:sz="8" w:space="0" w:color="auto"/>
            </w:tcBorders>
            <w:shd w:val="clear" w:color="auto" w:fill="auto"/>
            <w:vAlign w:val="bottom"/>
          </w:tcPr>
          <w:p w14:paraId="0FBE2BA8" w14:textId="77777777" w:rsidR="006F3CCC" w:rsidRPr="00D04EC1" w:rsidRDefault="006F3CCC" w:rsidP="006F3CCC">
            <w:pPr>
              <w:widowControl/>
              <w:spacing w:line="0" w:lineRule="atLeast"/>
              <w:jc w:val="left"/>
            </w:pPr>
          </w:p>
        </w:tc>
        <w:tc>
          <w:tcPr>
            <w:tcW w:w="100" w:type="dxa"/>
            <w:tcBorders>
              <w:bottom w:val="single" w:sz="8" w:space="0" w:color="auto"/>
            </w:tcBorders>
            <w:shd w:val="clear" w:color="auto" w:fill="auto"/>
            <w:vAlign w:val="bottom"/>
          </w:tcPr>
          <w:p w14:paraId="0D9D971D" w14:textId="77777777" w:rsidR="006F3CCC" w:rsidRPr="00D04EC1" w:rsidRDefault="006F3CCC" w:rsidP="006F3CCC">
            <w:pPr>
              <w:widowControl/>
              <w:spacing w:line="0" w:lineRule="atLeast"/>
              <w:jc w:val="left"/>
            </w:pPr>
          </w:p>
        </w:tc>
        <w:tc>
          <w:tcPr>
            <w:tcW w:w="420" w:type="dxa"/>
            <w:gridSpan w:val="2"/>
            <w:tcBorders>
              <w:bottom w:val="single" w:sz="8" w:space="0" w:color="auto"/>
            </w:tcBorders>
            <w:shd w:val="clear" w:color="auto" w:fill="auto"/>
            <w:vAlign w:val="bottom"/>
          </w:tcPr>
          <w:p w14:paraId="71BAE728" w14:textId="77777777" w:rsidR="006F3CCC" w:rsidRPr="00D04EC1" w:rsidRDefault="006F3CCC" w:rsidP="006F3CCC">
            <w:pPr>
              <w:widowControl/>
              <w:spacing w:line="0" w:lineRule="atLeast"/>
              <w:jc w:val="left"/>
            </w:pPr>
          </w:p>
        </w:tc>
      </w:tr>
      <w:tr w:rsidR="006F3CCC" w:rsidRPr="00D04EC1" w14:paraId="017E87DA" w14:textId="77777777" w:rsidTr="00286DEB">
        <w:trPr>
          <w:gridAfter w:val="1"/>
          <w:wAfter w:w="200" w:type="dxa"/>
          <w:trHeight w:val="138"/>
        </w:trPr>
        <w:tc>
          <w:tcPr>
            <w:tcW w:w="180" w:type="dxa"/>
            <w:shd w:val="clear" w:color="auto" w:fill="auto"/>
            <w:vAlign w:val="bottom"/>
          </w:tcPr>
          <w:p w14:paraId="64EAF902" w14:textId="77777777" w:rsidR="006F3CCC" w:rsidRPr="00D04EC1" w:rsidRDefault="006F3CCC" w:rsidP="006F3CCC">
            <w:pPr>
              <w:widowControl/>
              <w:spacing w:line="0" w:lineRule="atLeast"/>
              <w:jc w:val="left"/>
            </w:pPr>
          </w:p>
        </w:tc>
        <w:tc>
          <w:tcPr>
            <w:tcW w:w="280" w:type="dxa"/>
            <w:vMerge w:val="restart"/>
            <w:shd w:val="clear" w:color="auto" w:fill="auto"/>
            <w:vAlign w:val="bottom"/>
          </w:tcPr>
          <w:p w14:paraId="255FB711" w14:textId="77777777" w:rsidR="006F3CCC" w:rsidRPr="00D04EC1" w:rsidRDefault="006F3CCC" w:rsidP="006F3CCC">
            <w:pPr>
              <w:widowControl/>
              <w:spacing w:line="0" w:lineRule="atLeast"/>
              <w:ind w:left="20"/>
              <w:jc w:val="left"/>
            </w:pPr>
            <w:r w:rsidRPr="00D04EC1">
              <w:t>级</w:t>
            </w:r>
          </w:p>
        </w:tc>
        <w:tc>
          <w:tcPr>
            <w:tcW w:w="1740" w:type="dxa"/>
            <w:gridSpan w:val="14"/>
            <w:vMerge w:val="restart"/>
            <w:shd w:val="clear" w:color="auto" w:fill="auto"/>
            <w:vAlign w:val="bottom"/>
          </w:tcPr>
          <w:p w14:paraId="63FECBE2" w14:textId="77777777" w:rsidR="006F3CCC" w:rsidRPr="00D04EC1" w:rsidRDefault="006F3CCC" w:rsidP="006F3CCC">
            <w:pPr>
              <w:widowControl/>
              <w:spacing w:line="0" w:lineRule="atLeast"/>
              <w:ind w:left="160"/>
              <w:jc w:val="left"/>
            </w:pPr>
            <w:r w:rsidRPr="00D04EC1">
              <w:t>核分裂数( /10 HPF)</w:t>
            </w:r>
          </w:p>
        </w:tc>
        <w:tc>
          <w:tcPr>
            <w:tcW w:w="2200" w:type="dxa"/>
            <w:gridSpan w:val="13"/>
            <w:vMerge w:val="restart"/>
            <w:shd w:val="clear" w:color="auto" w:fill="auto"/>
            <w:vAlign w:val="bottom"/>
          </w:tcPr>
          <w:p w14:paraId="40E08C98" w14:textId="77777777" w:rsidR="006F3CCC" w:rsidRPr="00D04EC1" w:rsidRDefault="006F3CCC" w:rsidP="006F3CCC">
            <w:pPr>
              <w:widowControl/>
              <w:spacing w:line="219" w:lineRule="exact"/>
              <w:ind w:right="220"/>
              <w:jc w:val="center"/>
            </w:pPr>
            <w:r w:rsidRPr="00D04EC1">
              <w:t>Ki － 67 指数( % )</w:t>
            </w:r>
          </w:p>
        </w:tc>
      </w:tr>
      <w:tr w:rsidR="006F3CCC" w:rsidRPr="00D04EC1" w14:paraId="70A67F78" w14:textId="77777777" w:rsidTr="00286DEB">
        <w:trPr>
          <w:gridAfter w:val="1"/>
          <w:wAfter w:w="200" w:type="dxa"/>
          <w:trHeight w:val="133"/>
        </w:trPr>
        <w:tc>
          <w:tcPr>
            <w:tcW w:w="180" w:type="dxa"/>
            <w:shd w:val="clear" w:color="auto" w:fill="auto"/>
            <w:vAlign w:val="bottom"/>
          </w:tcPr>
          <w:p w14:paraId="6E2E677F" w14:textId="77777777" w:rsidR="006F3CCC" w:rsidRPr="00D04EC1" w:rsidRDefault="006F3CCC" w:rsidP="006F3CCC">
            <w:pPr>
              <w:widowControl/>
              <w:spacing w:line="0" w:lineRule="atLeast"/>
              <w:jc w:val="left"/>
            </w:pPr>
          </w:p>
        </w:tc>
        <w:tc>
          <w:tcPr>
            <w:tcW w:w="280" w:type="dxa"/>
            <w:vMerge/>
            <w:shd w:val="clear" w:color="auto" w:fill="auto"/>
            <w:vAlign w:val="bottom"/>
          </w:tcPr>
          <w:p w14:paraId="054560E9" w14:textId="77777777" w:rsidR="006F3CCC" w:rsidRPr="00D04EC1" w:rsidRDefault="006F3CCC" w:rsidP="006F3CCC">
            <w:pPr>
              <w:widowControl/>
              <w:spacing w:line="0" w:lineRule="atLeast"/>
              <w:jc w:val="left"/>
            </w:pPr>
          </w:p>
        </w:tc>
        <w:tc>
          <w:tcPr>
            <w:tcW w:w="1740" w:type="dxa"/>
            <w:gridSpan w:val="14"/>
            <w:vMerge/>
            <w:shd w:val="clear" w:color="auto" w:fill="auto"/>
            <w:vAlign w:val="bottom"/>
          </w:tcPr>
          <w:p w14:paraId="51A38DB4" w14:textId="77777777" w:rsidR="006F3CCC" w:rsidRPr="00D04EC1" w:rsidRDefault="006F3CCC" w:rsidP="006F3CCC">
            <w:pPr>
              <w:widowControl/>
              <w:spacing w:line="0" w:lineRule="atLeast"/>
              <w:jc w:val="left"/>
            </w:pPr>
          </w:p>
        </w:tc>
        <w:tc>
          <w:tcPr>
            <w:tcW w:w="2200" w:type="dxa"/>
            <w:gridSpan w:val="13"/>
            <w:vMerge/>
            <w:shd w:val="clear" w:color="auto" w:fill="auto"/>
            <w:vAlign w:val="bottom"/>
          </w:tcPr>
          <w:p w14:paraId="0A80220A" w14:textId="77777777" w:rsidR="006F3CCC" w:rsidRPr="00D04EC1" w:rsidRDefault="006F3CCC" w:rsidP="006F3CCC">
            <w:pPr>
              <w:widowControl/>
              <w:spacing w:line="0" w:lineRule="atLeast"/>
              <w:jc w:val="left"/>
            </w:pPr>
          </w:p>
        </w:tc>
      </w:tr>
      <w:tr w:rsidR="006F3CCC" w:rsidRPr="00D04EC1" w14:paraId="063AE0E6" w14:textId="77777777" w:rsidTr="00286DEB">
        <w:trPr>
          <w:gridAfter w:val="3"/>
          <w:wAfter w:w="480" w:type="dxa"/>
          <w:trHeight w:val="74"/>
        </w:trPr>
        <w:tc>
          <w:tcPr>
            <w:tcW w:w="180" w:type="dxa"/>
            <w:tcBorders>
              <w:bottom w:val="single" w:sz="8" w:space="0" w:color="auto"/>
            </w:tcBorders>
            <w:shd w:val="clear" w:color="auto" w:fill="auto"/>
            <w:vAlign w:val="bottom"/>
          </w:tcPr>
          <w:p w14:paraId="3E751462" w14:textId="77777777" w:rsidR="006F3CCC" w:rsidRPr="00D04EC1" w:rsidRDefault="006F3CCC" w:rsidP="006F3CCC">
            <w:pPr>
              <w:widowControl/>
              <w:spacing w:line="0" w:lineRule="atLeast"/>
              <w:jc w:val="left"/>
            </w:pPr>
          </w:p>
        </w:tc>
        <w:tc>
          <w:tcPr>
            <w:tcW w:w="280" w:type="dxa"/>
            <w:tcBorders>
              <w:bottom w:val="single" w:sz="8" w:space="0" w:color="auto"/>
            </w:tcBorders>
            <w:shd w:val="clear" w:color="auto" w:fill="auto"/>
            <w:vAlign w:val="bottom"/>
          </w:tcPr>
          <w:p w14:paraId="2C9BBBC2" w14:textId="77777777" w:rsidR="006F3CCC" w:rsidRPr="00D04EC1" w:rsidRDefault="006F3CCC" w:rsidP="006F3CCC">
            <w:pPr>
              <w:widowControl/>
              <w:spacing w:line="0" w:lineRule="atLeast"/>
              <w:jc w:val="left"/>
            </w:pPr>
          </w:p>
        </w:tc>
        <w:tc>
          <w:tcPr>
            <w:tcW w:w="180" w:type="dxa"/>
            <w:tcBorders>
              <w:bottom w:val="single" w:sz="8" w:space="0" w:color="auto"/>
            </w:tcBorders>
            <w:shd w:val="clear" w:color="auto" w:fill="auto"/>
            <w:vAlign w:val="bottom"/>
          </w:tcPr>
          <w:p w14:paraId="6D7ED83E" w14:textId="77777777" w:rsidR="006F3CCC" w:rsidRPr="00D04EC1" w:rsidRDefault="006F3CCC" w:rsidP="006F3CCC">
            <w:pPr>
              <w:widowControl/>
              <w:spacing w:line="0" w:lineRule="atLeast"/>
              <w:jc w:val="left"/>
            </w:pPr>
          </w:p>
        </w:tc>
        <w:tc>
          <w:tcPr>
            <w:tcW w:w="60" w:type="dxa"/>
            <w:tcBorders>
              <w:bottom w:val="single" w:sz="8" w:space="0" w:color="auto"/>
            </w:tcBorders>
            <w:shd w:val="clear" w:color="auto" w:fill="auto"/>
            <w:vAlign w:val="bottom"/>
          </w:tcPr>
          <w:p w14:paraId="363AA967" w14:textId="77777777" w:rsidR="006F3CCC" w:rsidRPr="00D04EC1" w:rsidRDefault="006F3CCC" w:rsidP="006F3CCC">
            <w:pPr>
              <w:widowControl/>
              <w:spacing w:line="0" w:lineRule="atLeast"/>
              <w:jc w:val="left"/>
            </w:pPr>
          </w:p>
        </w:tc>
        <w:tc>
          <w:tcPr>
            <w:tcW w:w="140" w:type="dxa"/>
            <w:tcBorders>
              <w:bottom w:val="single" w:sz="8" w:space="0" w:color="auto"/>
            </w:tcBorders>
            <w:shd w:val="clear" w:color="auto" w:fill="auto"/>
            <w:vAlign w:val="bottom"/>
          </w:tcPr>
          <w:p w14:paraId="03819709" w14:textId="77777777" w:rsidR="006F3CCC" w:rsidRPr="00D04EC1" w:rsidRDefault="006F3CCC" w:rsidP="006F3CCC">
            <w:pPr>
              <w:widowControl/>
              <w:spacing w:line="0" w:lineRule="atLeast"/>
              <w:jc w:val="left"/>
            </w:pPr>
          </w:p>
        </w:tc>
        <w:tc>
          <w:tcPr>
            <w:tcW w:w="760" w:type="dxa"/>
            <w:gridSpan w:val="5"/>
            <w:tcBorders>
              <w:bottom w:val="single" w:sz="8" w:space="0" w:color="auto"/>
            </w:tcBorders>
            <w:shd w:val="clear" w:color="auto" w:fill="auto"/>
            <w:vAlign w:val="bottom"/>
          </w:tcPr>
          <w:p w14:paraId="1D8BD3BE" w14:textId="77777777" w:rsidR="006F3CCC" w:rsidRPr="00D04EC1" w:rsidRDefault="006F3CCC" w:rsidP="006F3CCC">
            <w:pPr>
              <w:widowControl/>
              <w:spacing w:line="0" w:lineRule="atLeast"/>
              <w:jc w:val="left"/>
            </w:pPr>
          </w:p>
        </w:tc>
        <w:tc>
          <w:tcPr>
            <w:tcW w:w="20" w:type="dxa"/>
            <w:tcBorders>
              <w:bottom w:val="single" w:sz="8" w:space="0" w:color="auto"/>
            </w:tcBorders>
            <w:shd w:val="clear" w:color="auto" w:fill="auto"/>
            <w:vAlign w:val="bottom"/>
          </w:tcPr>
          <w:p w14:paraId="1846DE97" w14:textId="77777777" w:rsidR="006F3CCC" w:rsidRPr="00D04EC1" w:rsidRDefault="006F3CCC" w:rsidP="006F3CCC">
            <w:pPr>
              <w:widowControl/>
              <w:spacing w:line="0" w:lineRule="atLeast"/>
              <w:jc w:val="left"/>
            </w:pPr>
          </w:p>
        </w:tc>
        <w:tc>
          <w:tcPr>
            <w:tcW w:w="220" w:type="dxa"/>
            <w:tcBorders>
              <w:bottom w:val="single" w:sz="8" w:space="0" w:color="auto"/>
            </w:tcBorders>
            <w:shd w:val="clear" w:color="auto" w:fill="auto"/>
            <w:vAlign w:val="bottom"/>
          </w:tcPr>
          <w:p w14:paraId="71D61407" w14:textId="77777777" w:rsidR="006F3CCC" w:rsidRPr="00D04EC1" w:rsidRDefault="006F3CCC" w:rsidP="006F3CCC">
            <w:pPr>
              <w:widowControl/>
              <w:spacing w:line="0" w:lineRule="atLeast"/>
              <w:jc w:val="left"/>
            </w:pPr>
          </w:p>
        </w:tc>
        <w:tc>
          <w:tcPr>
            <w:tcW w:w="220" w:type="dxa"/>
            <w:tcBorders>
              <w:bottom w:val="single" w:sz="8" w:space="0" w:color="auto"/>
            </w:tcBorders>
            <w:shd w:val="clear" w:color="auto" w:fill="auto"/>
            <w:vAlign w:val="bottom"/>
          </w:tcPr>
          <w:p w14:paraId="3CCB5431" w14:textId="77777777" w:rsidR="006F3CCC" w:rsidRPr="00D04EC1" w:rsidRDefault="006F3CCC" w:rsidP="006F3CCC">
            <w:pPr>
              <w:widowControl/>
              <w:spacing w:line="0" w:lineRule="atLeast"/>
              <w:jc w:val="left"/>
            </w:pPr>
          </w:p>
        </w:tc>
        <w:tc>
          <w:tcPr>
            <w:tcW w:w="140" w:type="dxa"/>
            <w:gridSpan w:val="3"/>
            <w:tcBorders>
              <w:bottom w:val="single" w:sz="8" w:space="0" w:color="auto"/>
            </w:tcBorders>
            <w:shd w:val="clear" w:color="auto" w:fill="auto"/>
            <w:vAlign w:val="bottom"/>
          </w:tcPr>
          <w:p w14:paraId="5F69BB2F" w14:textId="77777777" w:rsidR="006F3CCC" w:rsidRPr="00D04EC1" w:rsidRDefault="006F3CCC" w:rsidP="006F3CCC">
            <w:pPr>
              <w:widowControl/>
              <w:spacing w:line="0" w:lineRule="atLeast"/>
              <w:jc w:val="left"/>
            </w:pPr>
          </w:p>
        </w:tc>
        <w:tc>
          <w:tcPr>
            <w:tcW w:w="420" w:type="dxa"/>
            <w:gridSpan w:val="3"/>
            <w:tcBorders>
              <w:bottom w:val="single" w:sz="8" w:space="0" w:color="auto"/>
            </w:tcBorders>
            <w:shd w:val="clear" w:color="auto" w:fill="auto"/>
            <w:vAlign w:val="bottom"/>
          </w:tcPr>
          <w:p w14:paraId="763EDCAD" w14:textId="77777777" w:rsidR="006F3CCC" w:rsidRPr="00D04EC1" w:rsidRDefault="006F3CCC" w:rsidP="006F3CCC">
            <w:pPr>
              <w:widowControl/>
              <w:spacing w:line="0" w:lineRule="atLeast"/>
              <w:jc w:val="left"/>
            </w:pPr>
          </w:p>
        </w:tc>
        <w:tc>
          <w:tcPr>
            <w:tcW w:w="440" w:type="dxa"/>
            <w:gridSpan w:val="2"/>
            <w:tcBorders>
              <w:bottom w:val="single" w:sz="8" w:space="0" w:color="auto"/>
            </w:tcBorders>
            <w:shd w:val="clear" w:color="auto" w:fill="auto"/>
            <w:vAlign w:val="bottom"/>
          </w:tcPr>
          <w:p w14:paraId="64A4DA8C" w14:textId="77777777" w:rsidR="006F3CCC" w:rsidRPr="00D04EC1" w:rsidRDefault="006F3CCC" w:rsidP="006F3CCC">
            <w:pPr>
              <w:widowControl/>
              <w:spacing w:line="0" w:lineRule="atLeast"/>
              <w:jc w:val="left"/>
            </w:pPr>
          </w:p>
        </w:tc>
        <w:tc>
          <w:tcPr>
            <w:tcW w:w="540" w:type="dxa"/>
            <w:gridSpan w:val="3"/>
            <w:tcBorders>
              <w:bottom w:val="single" w:sz="8" w:space="0" w:color="auto"/>
            </w:tcBorders>
            <w:shd w:val="clear" w:color="auto" w:fill="auto"/>
            <w:vAlign w:val="bottom"/>
          </w:tcPr>
          <w:p w14:paraId="236116E3" w14:textId="77777777" w:rsidR="006F3CCC" w:rsidRPr="00D04EC1" w:rsidRDefault="006F3CCC" w:rsidP="006F3CCC">
            <w:pPr>
              <w:widowControl/>
              <w:spacing w:line="0" w:lineRule="atLeast"/>
              <w:jc w:val="left"/>
            </w:pPr>
          </w:p>
        </w:tc>
        <w:tc>
          <w:tcPr>
            <w:tcW w:w="100" w:type="dxa"/>
            <w:tcBorders>
              <w:bottom w:val="single" w:sz="8" w:space="0" w:color="auto"/>
            </w:tcBorders>
            <w:shd w:val="clear" w:color="auto" w:fill="auto"/>
            <w:vAlign w:val="bottom"/>
          </w:tcPr>
          <w:p w14:paraId="5EB7B6C3" w14:textId="77777777" w:rsidR="006F3CCC" w:rsidRPr="00D04EC1" w:rsidRDefault="006F3CCC" w:rsidP="006F3CCC">
            <w:pPr>
              <w:widowControl/>
              <w:spacing w:line="0" w:lineRule="atLeast"/>
              <w:jc w:val="left"/>
            </w:pPr>
          </w:p>
        </w:tc>
        <w:tc>
          <w:tcPr>
            <w:tcW w:w="420" w:type="dxa"/>
            <w:gridSpan w:val="2"/>
            <w:tcBorders>
              <w:bottom w:val="single" w:sz="8" w:space="0" w:color="auto"/>
            </w:tcBorders>
            <w:shd w:val="clear" w:color="auto" w:fill="auto"/>
            <w:vAlign w:val="bottom"/>
          </w:tcPr>
          <w:p w14:paraId="48EB4ECD" w14:textId="77777777" w:rsidR="006F3CCC" w:rsidRPr="00D04EC1" w:rsidRDefault="006F3CCC" w:rsidP="006F3CCC">
            <w:pPr>
              <w:widowControl/>
              <w:spacing w:line="0" w:lineRule="atLeast"/>
              <w:jc w:val="left"/>
            </w:pPr>
          </w:p>
        </w:tc>
      </w:tr>
      <w:tr w:rsidR="006F3CCC" w:rsidRPr="00D04EC1" w14:paraId="414998E3" w14:textId="77777777" w:rsidTr="00286DEB">
        <w:trPr>
          <w:trHeight w:val="34"/>
        </w:trPr>
        <w:tc>
          <w:tcPr>
            <w:tcW w:w="940" w:type="dxa"/>
            <w:gridSpan w:val="6"/>
            <w:vMerge w:val="restart"/>
            <w:shd w:val="clear" w:color="auto" w:fill="auto"/>
            <w:vAlign w:val="bottom"/>
          </w:tcPr>
          <w:p w14:paraId="1BD2838A" w14:textId="77777777" w:rsidR="006F3CCC" w:rsidRPr="00D04EC1" w:rsidRDefault="006F3CCC" w:rsidP="006F3CCC">
            <w:pPr>
              <w:widowControl/>
              <w:spacing w:line="207" w:lineRule="exact"/>
              <w:ind w:left="100"/>
              <w:jc w:val="left"/>
            </w:pPr>
            <w:r w:rsidRPr="00D04EC1">
              <w:t>G1 低级别</w:t>
            </w:r>
          </w:p>
        </w:tc>
        <w:tc>
          <w:tcPr>
            <w:tcW w:w="180" w:type="dxa"/>
            <w:shd w:val="clear" w:color="auto" w:fill="auto"/>
            <w:vAlign w:val="bottom"/>
          </w:tcPr>
          <w:p w14:paraId="760D1082" w14:textId="77777777" w:rsidR="006F3CCC" w:rsidRPr="00D04EC1" w:rsidRDefault="006F3CCC" w:rsidP="006F3CCC">
            <w:pPr>
              <w:widowControl/>
              <w:spacing w:line="0" w:lineRule="atLeast"/>
              <w:jc w:val="left"/>
            </w:pPr>
          </w:p>
        </w:tc>
        <w:tc>
          <w:tcPr>
            <w:tcW w:w="60" w:type="dxa"/>
            <w:shd w:val="clear" w:color="auto" w:fill="auto"/>
            <w:vAlign w:val="bottom"/>
          </w:tcPr>
          <w:p w14:paraId="6E3F4116" w14:textId="77777777" w:rsidR="006F3CCC" w:rsidRPr="00D04EC1" w:rsidRDefault="006F3CCC" w:rsidP="006F3CCC">
            <w:pPr>
              <w:widowControl/>
              <w:spacing w:line="0" w:lineRule="atLeast"/>
              <w:jc w:val="left"/>
            </w:pPr>
          </w:p>
        </w:tc>
        <w:tc>
          <w:tcPr>
            <w:tcW w:w="140" w:type="dxa"/>
            <w:shd w:val="clear" w:color="auto" w:fill="auto"/>
            <w:vAlign w:val="bottom"/>
          </w:tcPr>
          <w:p w14:paraId="0BB0DE8F" w14:textId="77777777" w:rsidR="006F3CCC" w:rsidRPr="00D04EC1" w:rsidRDefault="006F3CCC" w:rsidP="006F3CCC">
            <w:pPr>
              <w:widowControl/>
              <w:spacing w:line="0" w:lineRule="atLeast"/>
              <w:jc w:val="left"/>
            </w:pPr>
          </w:p>
        </w:tc>
        <w:tc>
          <w:tcPr>
            <w:tcW w:w="760" w:type="dxa"/>
            <w:gridSpan w:val="5"/>
            <w:vMerge w:val="restart"/>
            <w:shd w:val="clear" w:color="auto" w:fill="auto"/>
            <w:vAlign w:val="bottom"/>
          </w:tcPr>
          <w:p w14:paraId="1B56C747" w14:textId="77777777" w:rsidR="006F3CCC" w:rsidRPr="00D04EC1" w:rsidRDefault="006F3CCC" w:rsidP="006F3CCC">
            <w:pPr>
              <w:widowControl/>
              <w:spacing w:line="196" w:lineRule="exact"/>
              <w:ind w:left="339"/>
              <w:jc w:val="center"/>
            </w:pPr>
            <w:r w:rsidRPr="00D04EC1">
              <w:t>＜ 2</w:t>
            </w:r>
          </w:p>
        </w:tc>
        <w:tc>
          <w:tcPr>
            <w:tcW w:w="20" w:type="dxa"/>
            <w:shd w:val="clear" w:color="auto" w:fill="auto"/>
            <w:vAlign w:val="bottom"/>
          </w:tcPr>
          <w:p w14:paraId="6B27B287" w14:textId="77777777" w:rsidR="006F3CCC" w:rsidRPr="00D04EC1" w:rsidRDefault="006F3CCC" w:rsidP="006F3CCC">
            <w:pPr>
              <w:widowControl/>
              <w:spacing w:line="0" w:lineRule="atLeast"/>
              <w:jc w:val="left"/>
            </w:pPr>
          </w:p>
        </w:tc>
        <w:tc>
          <w:tcPr>
            <w:tcW w:w="220" w:type="dxa"/>
            <w:gridSpan w:val="2"/>
            <w:shd w:val="clear" w:color="auto" w:fill="auto"/>
            <w:vAlign w:val="bottom"/>
          </w:tcPr>
          <w:p w14:paraId="6CF8C6AC" w14:textId="77777777" w:rsidR="006F3CCC" w:rsidRPr="00D04EC1" w:rsidRDefault="006F3CCC" w:rsidP="006F3CCC">
            <w:pPr>
              <w:widowControl/>
              <w:spacing w:line="0" w:lineRule="atLeast"/>
              <w:jc w:val="left"/>
            </w:pPr>
          </w:p>
        </w:tc>
        <w:tc>
          <w:tcPr>
            <w:tcW w:w="220" w:type="dxa"/>
            <w:shd w:val="clear" w:color="auto" w:fill="auto"/>
            <w:vAlign w:val="bottom"/>
          </w:tcPr>
          <w:p w14:paraId="1EEAA867" w14:textId="77777777" w:rsidR="006F3CCC" w:rsidRPr="00D04EC1" w:rsidRDefault="006F3CCC" w:rsidP="006F3CCC">
            <w:pPr>
              <w:widowControl/>
              <w:spacing w:line="0" w:lineRule="atLeast"/>
              <w:jc w:val="left"/>
            </w:pPr>
          </w:p>
        </w:tc>
        <w:tc>
          <w:tcPr>
            <w:tcW w:w="140" w:type="dxa"/>
            <w:gridSpan w:val="2"/>
            <w:shd w:val="clear" w:color="auto" w:fill="auto"/>
            <w:vAlign w:val="bottom"/>
          </w:tcPr>
          <w:p w14:paraId="2B4B2AE5"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7DB964DC" w14:textId="77777777" w:rsidR="006F3CCC" w:rsidRPr="00D04EC1" w:rsidRDefault="006F3CCC" w:rsidP="006F3CCC">
            <w:pPr>
              <w:widowControl/>
              <w:spacing w:line="0" w:lineRule="atLeast"/>
              <w:jc w:val="left"/>
            </w:pPr>
          </w:p>
        </w:tc>
        <w:tc>
          <w:tcPr>
            <w:tcW w:w="440" w:type="dxa"/>
            <w:shd w:val="clear" w:color="auto" w:fill="auto"/>
            <w:vAlign w:val="bottom"/>
          </w:tcPr>
          <w:p w14:paraId="4C5F4BAD" w14:textId="77777777" w:rsidR="006F3CCC" w:rsidRPr="00D04EC1" w:rsidRDefault="006F3CCC" w:rsidP="006F3CCC">
            <w:pPr>
              <w:widowControl/>
              <w:spacing w:line="0" w:lineRule="atLeast"/>
              <w:jc w:val="left"/>
            </w:pPr>
          </w:p>
        </w:tc>
        <w:tc>
          <w:tcPr>
            <w:tcW w:w="540" w:type="dxa"/>
            <w:gridSpan w:val="3"/>
            <w:vMerge w:val="restart"/>
            <w:shd w:val="clear" w:color="auto" w:fill="auto"/>
            <w:vAlign w:val="bottom"/>
          </w:tcPr>
          <w:p w14:paraId="7EE6FA25" w14:textId="77777777" w:rsidR="006F3CCC" w:rsidRPr="00D04EC1" w:rsidRDefault="006F3CCC" w:rsidP="006F3CCC">
            <w:pPr>
              <w:widowControl/>
              <w:spacing w:line="0" w:lineRule="atLeast"/>
              <w:ind w:left="20"/>
              <w:jc w:val="left"/>
            </w:pPr>
            <w:r w:rsidRPr="00D04EC1">
              <w:t>≤2</w:t>
            </w:r>
          </w:p>
        </w:tc>
        <w:tc>
          <w:tcPr>
            <w:tcW w:w="100" w:type="dxa"/>
            <w:gridSpan w:val="2"/>
            <w:shd w:val="clear" w:color="auto" w:fill="auto"/>
            <w:vAlign w:val="bottom"/>
          </w:tcPr>
          <w:p w14:paraId="7E175686"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605F40E6" w14:textId="77777777" w:rsidR="006F3CCC" w:rsidRPr="00D04EC1" w:rsidRDefault="006F3CCC" w:rsidP="006F3CCC">
            <w:pPr>
              <w:widowControl/>
              <w:spacing w:line="0" w:lineRule="atLeast"/>
              <w:jc w:val="left"/>
            </w:pPr>
          </w:p>
        </w:tc>
      </w:tr>
      <w:tr w:rsidR="006F3CCC" w:rsidRPr="00D04EC1" w14:paraId="1B5DE4E3" w14:textId="77777777" w:rsidTr="00286DEB">
        <w:trPr>
          <w:trHeight w:val="182"/>
        </w:trPr>
        <w:tc>
          <w:tcPr>
            <w:tcW w:w="940" w:type="dxa"/>
            <w:gridSpan w:val="6"/>
            <w:vMerge/>
            <w:shd w:val="clear" w:color="auto" w:fill="auto"/>
            <w:vAlign w:val="bottom"/>
          </w:tcPr>
          <w:p w14:paraId="3F7B146E" w14:textId="77777777" w:rsidR="006F3CCC" w:rsidRPr="00D04EC1" w:rsidRDefault="006F3CCC" w:rsidP="006F3CCC">
            <w:pPr>
              <w:widowControl/>
              <w:spacing w:line="0" w:lineRule="atLeast"/>
              <w:jc w:val="left"/>
            </w:pPr>
          </w:p>
        </w:tc>
        <w:tc>
          <w:tcPr>
            <w:tcW w:w="180" w:type="dxa"/>
            <w:shd w:val="clear" w:color="auto" w:fill="auto"/>
            <w:vAlign w:val="bottom"/>
          </w:tcPr>
          <w:p w14:paraId="6FCBA33D" w14:textId="77777777" w:rsidR="006F3CCC" w:rsidRPr="00D04EC1" w:rsidRDefault="006F3CCC" w:rsidP="006F3CCC">
            <w:pPr>
              <w:widowControl/>
              <w:spacing w:line="0" w:lineRule="atLeast"/>
              <w:jc w:val="left"/>
            </w:pPr>
          </w:p>
        </w:tc>
        <w:tc>
          <w:tcPr>
            <w:tcW w:w="60" w:type="dxa"/>
            <w:shd w:val="clear" w:color="auto" w:fill="auto"/>
            <w:vAlign w:val="bottom"/>
          </w:tcPr>
          <w:p w14:paraId="72424ED9" w14:textId="77777777" w:rsidR="006F3CCC" w:rsidRPr="00D04EC1" w:rsidRDefault="006F3CCC" w:rsidP="006F3CCC">
            <w:pPr>
              <w:widowControl/>
              <w:spacing w:line="0" w:lineRule="atLeast"/>
              <w:jc w:val="left"/>
            </w:pPr>
          </w:p>
        </w:tc>
        <w:tc>
          <w:tcPr>
            <w:tcW w:w="140" w:type="dxa"/>
            <w:shd w:val="clear" w:color="auto" w:fill="auto"/>
            <w:vAlign w:val="bottom"/>
          </w:tcPr>
          <w:p w14:paraId="74D7C60D" w14:textId="77777777" w:rsidR="006F3CCC" w:rsidRPr="00D04EC1" w:rsidRDefault="006F3CCC" w:rsidP="006F3CCC">
            <w:pPr>
              <w:widowControl/>
              <w:spacing w:line="0" w:lineRule="atLeast"/>
              <w:jc w:val="left"/>
            </w:pPr>
          </w:p>
        </w:tc>
        <w:tc>
          <w:tcPr>
            <w:tcW w:w="760" w:type="dxa"/>
            <w:gridSpan w:val="5"/>
            <w:vMerge/>
            <w:shd w:val="clear" w:color="auto" w:fill="auto"/>
            <w:vAlign w:val="bottom"/>
          </w:tcPr>
          <w:p w14:paraId="14D5DE3B" w14:textId="77777777" w:rsidR="006F3CCC" w:rsidRPr="00D04EC1" w:rsidRDefault="006F3CCC" w:rsidP="006F3CCC">
            <w:pPr>
              <w:widowControl/>
              <w:spacing w:line="0" w:lineRule="atLeast"/>
              <w:jc w:val="left"/>
            </w:pPr>
          </w:p>
        </w:tc>
        <w:tc>
          <w:tcPr>
            <w:tcW w:w="20" w:type="dxa"/>
            <w:shd w:val="clear" w:color="auto" w:fill="auto"/>
            <w:vAlign w:val="bottom"/>
          </w:tcPr>
          <w:p w14:paraId="6BBB3A7F" w14:textId="77777777" w:rsidR="006F3CCC" w:rsidRPr="00D04EC1" w:rsidRDefault="006F3CCC" w:rsidP="006F3CCC">
            <w:pPr>
              <w:widowControl/>
              <w:spacing w:line="0" w:lineRule="atLeast"/>
              <w:jc w:val="left"/>
            </w:pPr>
          </w:p>
        </w:tc>
        <w:tc>
          <w:tcPr>
            <w:tcW w:w="220" w:type="dxa"/>
            <w:gridSpan w:val="2"/>
            <w:shd w:val="clear" w:color="auto" w:fill="auto"/>
            <w:vAlign w:val="bottom"/>
          </w:tcPr>
          <w:p w14:paraId="08C01BC4" w14:textId="77777777" w:rsidR="006F3CCC" w:rsidRPr="00D04EC1" w:rsidRDefault="006F3CCC" w:rsidP="006F3CCC">
            <w:pPr>
              <w:widowControl/>
              <w:spacing w:line="0" w:lineRule="atLeast"/>
              <w:jc w:val="left"/>
            </w:pPr>
          </w:p>
        </w:tc>
        <w:tc>
          <w:tcPr>
            <w:tcW w:w="220" w:type="dxa"/>
            <w:shd w:val="clear" w:color="auto" w:fill="auto"/>
            <w:vAlign w:val="bottom"/>
          </w:tcPr>
          <w:p w14:paraId="4CF5EAF8" w14:textId="77777777" w:rsidR="006F3CCC" w:rsidRPr="00D04EC1" w:rsidRDefault="006F3CCC" w:rsidP="006F3CCC">
            <w:pPr>
              <w:widowControl/>
              <w:spacing w:line="0" w:lineRule="atLeast"/>
              <w:jc w:val="left"/>
            </w:pPr>
          </w:p>
        </w:tc>
        <w:tc>
          <w:tcPr>
            <w:tcW w:w="140" w:type="dxa"/>
            <w:gridSpan w:val="2"/>
            <w:shd w:val="clear" w:color="auto" w:fill="auto"/>
            <w:vAlign w:val="bottom"/>
          </w:tcPr>
          <w:p w14:paraId="114411D9"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7B6D7EEE" w14:textId="77777777" w:rsidR="006F3CCC" w:rsidRPr="00D04EC1" w:rsidRDefault="006F3CCC" w:rsidP="006F3CCC">
            <w:pPr>
              <w:widowControl/>
              <w:spacing w:line="0" w:lineRule="atLeast"/>
              <w:jc w:val="left"/>
            </w:pPr>
          </w:p>
        </w:tc>
        <w:tc>
          <w:tcPr>
            <w:tcW w:w="440" w:type="dxa"/>
            <w:shd w:val="clear" w:color="auto" w:fill="auto"/>
            <w:vAlign w:val="bottom"/>
          </w:tcPr>
          <w:p w14:paraId="32AB6D25" w14:textId="77777777" w:rsidR="006F3CCC" w:rsidRPr="00D04EC1" w:rsidRDefault="006F3CCC" w:rsidP="006F3CCC">
            <w:pPr>
              <w:widowControl/>
              <w:spacing w:line="0" w:lineRule="atLeast"/>
              <w:jc w:val="left"/>
            </w:pPr>
          </w:p>
        </w:tc>
        <w:tc>
          <w:tcPr>
            <w:tcW w:w="540" w:type="dxa"/>
            <w:gridSpan w:val="3"/>
            <w:vMerge/>
            <w:shd w:val="clear" w:color="auto" w:fill="auto"/>
            <w:vAlign w:val="bottom"/>
          </w:tcPr>
          <w:p w14:paraId="7586E181" w14:textId="77777777" w:rsidR="006F3CCC" w:rsidRPr="00D04EC1" w:rsidRDefault="006F3CCC" w:rsidP="006F3CCC">
            <w:pPr>
              <w:widowControl/>
              <w:spacing w:line="0" w:lineRule="atLeast"/>
              <w:jc w:val="left"/>
            </w:pPr>
          </w:p>
        </w:tc>
        <w:tc>
          <w:tcPr>
            <w:tcW w:w="100" w:type="dxa"/>
            <w:gridSpan w:val="2"/>
            <w:shd w:val="clear" w:color="auto" w:fill="auto"/>
            <w:vAlign w:val="bottom"/>
          </w:tcPr>
          <w:p w14:paraId="5286137D"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7CA68589" w14:textId="77777777" w:rsidR="006F3CCC" w:rsidRPr="00D04EC1" w:rsidRDefault="006F3CCC" w:rsidP="006F3CCC">
            <w:pPr>
              <w:widowControl/>
              <w:spacing w:line="0" w:lineRule="atLeast"/>
              <w:jc w:val="left"/>
            </w:pPr>
          </w:p>
        </w:tc>
      </w:tr>
      <w:tr w:rsidR="006F3CCC" w:rsidRPr="00D04EC1" w14:paraId="3D21BE46" w14:textId="77777777" w:rsidTr="00286DEB">
        <w:trPr>
          <w:trHeight w:val="88"/>
        </w:trPr>
        <w:tc>
          <w:tcPr>
            <w:tcW w:w="940" w:type="dxa"/>
            <w:gridSpan w:val="6"/>
            <w:vMerge w:val="restart"/>
            <w:shd w:val="clear" w:color="auto" w:fill="auto"/>
            <w:vAlign w:val="bottom"/>
          </w:tcPr>
          <w:p w14:paraId="7C22A5B6" w14:textId="77777777" w:rsidR="006F3CCC" w:rsidRPr="00D04EC1" w:rsidRDefault="006F3CCC" w:rsidP="006F3CCC">
            <w:pPr>
              <w:widowControl/>
              <w:spacing w:line="0" w:lineRule="atLeast"/>
              <w:ind w:left="100"/>
              <w:jc w:val="left"/>
            </w:pPr>
            <w:r w:rsidRPr="00D04EC1">
              <w:t>G2 中级别</w:t>
            </w:r>
          </w:p>
        </w:tc>
        <w:tc>
          <w:tcPr>
            <w:tcW w:w="180" w:type="dxa"/>
            <w:shd w:val="clear" w:color="auto" w:fill="auto"/>
            <w:vAlign w:val="bottom"/>
          </w:tcPr>
          <w:p w14:paraId="583C41BC" w14:textId="77777777" w:rsidR="006F3CCC" w:rsidRPr="00D04EC1" w:rsidRDefault="006F3CCC" w:rsidP="006F3CCC">
            <w:pPr>
              <w:widowControl/>
              <w:spacing w:line="0" w:lineRule="atLeast"/>
              <w:jc w:val="left"/>
            </w:pPr>
          </w:p>
        </w:tc>
        <w:tc>
          <w:tcPr>
            <w:tcW w:w="60" w:type="dxa"/>
            <w:shd w:val="clear" w:color="auto" w:fill="auto"/>
            <w:vAlign w:val="bottom"/>
          </w:tcPr>
          <w:p w14:paraId="1AB2A4A3" w14:textId="77777777" w:rsidR="006F3CCC" w:rsidRPr="00D04EC1" w:rsidRDefault="006F3CCC" w:rsidP="006F3CCC">
            <w:pPr>
              <w:widowControl/>
              <w:spacing w:line="0" w:lineRule="atLeast"/>
              <w:jc w:val="left"/>
            </w:pPr>
          </w:p>
        </w:tc>
        <w:tc>
          <w:tcPr>
            <w:tcW w:w="140" w:type="dxa"/>
            <w:shd w:val="clear" w:color="auto" w:fill="auto"/>
            <w:vAlign w:val="bottom"/>
          </w:tcPr>
          <w:p w14:paraId="5262C4CD" w14:textId="77777777" w:rsidR="006F3CCC" w:rsidRPr="00D04EC1" w:rsidRDefault="006F3CCC" w:rsidP="006F3CCC">
            <w:pPr>
              <w:widowControl/>
              <w:spacing w:line="0" w:lineRule="atLeast"/>
              <w:jc w:val="left"/>
            </w:pPr>
          </w:p>
        </w:tc>
        <w:tc>
          <w:tcPr>
            <w:tcW w:w="1000" w:type="dxa"/>
            <w:gridSpan w:val="8"/>
            <w:vMerge w:val="restart"/>
            <w:shd w:val="clear" w:color="auto" w:fill="auto"/>
            <w:vAlign w:val="bottom"/>
          </w:tcPr>
          <w:p w14:paraId="3224C02B" w14:textId="77777777" w:rsidR="006F3CCC" w:rsidRPr="00D04EC1" w:rsidRDefault="006F3CCC" w:rsidP="006F3CCC">
            <w:pPr>
              <w:widowControl/>
              <w:spacing w:line="207" w:lineRule="exact"/>
              <w:ind w:left="39"/>
              <w:jc w:val="center"/>
            </w:pPr>
            <w:r w:rsidRPr="00D04EC1">
              <w:t>2 ～ 20</w:t>
            </w:r>
          </w:p>
        </w:tc>
        <w:tc>
          <w:tcPr>
            <w:tcW w:w="220" w:type="dxa"/>
            <w:shd w:val="clear" w:color="auto" w:fill="auto"/>
            <w:vAlign w:val="bottom"/>
          </w:tcPr>
          <w:p w14:paraId="46ED0757" w14:textId="77777777" w:rsidR="006F3CCC" w:rsidRPr="00D04EC1" w:rsidRDefault="006F3CCC" w:rsidP="006F3CCC">
            <w:pPr>
              <w:widowControl/>
              <w:spacing w:line="0" w:lineRule="atLeast"/>
              <w:jc w:val="left"/>
            </w:pPr>
          </w:p>
        </w:tc>
        <w:tc>
          <w:tcPr>
            <w:tcW w:w="140" w:type="dxa"/>
            <w:gridSpan w:val="2"/>
            <w:shd w:val="clear" w:color="auto" w:fill="auto"/>
            <w:vAlign w:val="bottom"/>
          </w:tcPr>
          <w:p w14:paraId="0E3F66A8"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3151EA89" w14:textId="77777777" w:rsidR="006F3CCC" w:rsidRPr="00D04EC1" w:rsidRDefault="006F3CCC" w:rsidP="006F3CCC">
            <w:pPr>
              <w:widowControl/>
              <w:spacing w:line="0" w:lineRule="atLeast"/>
              <w:jc w:val="left"/>
            </w:pPr>
          </w:p>
        </w:tc>
        <w:tc>
          <w:tcPr>
            <w:tcW w:w="980" w:type="dxa"/>
            <w:gridSpan w:val="4"/>
            <w:vMerge w:val="restart"/>
            <w:shd w:val="clear" w:color="auto" w:fill="auto"/>
            <w:vAlign w:val="bottom"/>
          </w:tcPr>
          <w:p w14:paraId="2E9F69C1" w14:textId="77777777" w:rsidR="006F3CCC" w:rsidRPr="00D04EC1" w:rsidRDefault="006F3CCC" w:rsidP="006F3CCC">
            <w:pPr>
              <w:widowControl/>
              <w:spacing w:line="207" w:lineRule="exact"/>
              <w:ind w:left="132"/>
              <w:jc w:val="center"/>
            </w:pPr>
            <w:r w:rsidRPr="00D04EC1">
              <w:t>3 ～ 20</w:t>
            </w:r>
          </w:p>
        </w:tc>
        <w:tc>
          <w:tcPr>
            <w:tcW w:w="100" w:type="dxa"/>
            <w:gridSpan w:val="2"/>
            <w:shd w:val="clear" w:color="auto" w:fill="auto"/>
            <w:vAlign w:val="bottom"/>
          </w:tcPr>
          <w:p w14:paraId="34A8DEBD"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4D75D964" w14:textId="77777777" w:rsidR="006F3CCC" w:rsidRPr="00D04EC1" w:rsidRDefault="006F3CCC" w:rsidP="006F3CCC">
            <w:pPr>
              <w:widowControl/>
              <w:spacing w:line="0" w:lineRule="atLeast"/>
              <w:jc w:val="left"/>
            </w:pPr>
          </w:p>
        </w:tc>
      </w:tr>
      <w:tr w:rsidR="006F3CCC" w:rsidRPr="00D04EC1" w14:paraId="0B5064DD" w14:textId="77777777" w:rsidTr="00286DEB">
        <w:trPr>
          <w:trHeight w:val="144"/>
        </w:trPr>
        <w:tc>
          <w:tcPr>
            <w:tcW w:w="940" w:type="dxa"/>
            <w:gridSpan w:val="6"/>
            <w:vMerge/>
            <w:shd w:val="clear" w:color="auto" w:fill="auto"/>
            <w:vAlign w:val="bottom"/>
          </w:tcPr>
          <w:p w14:paraId="528D6150" w14:textId="77777777" w:rsidR="006F3CCC" w:rsidRPr="00D04EC1" w:rsidRDefault="006F3CCC" w:rsidP="006F3CCC">
            <w:pPr>
              <w:widowControl/>
              <w:spacing w:line="0" w:lineRule="atLeast"/>
              <w:jc w:val="left"/>
            </w:pPr>
          </w:p>
        </w:tc>
        <w:tc>
          <w:tcPr>
            <w:tcW w:w="180" w:type="dxa"/>
            <w:shd w:val="clear" w:color="auto" w:fill="auto"/>
            <w:vAlign w:val="bottom"/>
          </w:tcPr>
          <w:p w14:paraId="14DB2AC2" w14:textId="77777777" w:rsidR="006F3CCC" w:rsidRPr="00D04EC1" w:rsidRDefault="006F3CCC" w:rsidP="006F3CCC">
            <w:pPr>
              <w:widowControl/>
              <w:spacing w:line="0" w:lineRule="atLeast"/>
              <w:jc w:val="left"/>
            </w:pPr>
          </w:p>
        </w:tc>
        <w:tc>
          <w:tcPr>
            <w:tcW w:w="60" w:type="dxa"/>
            <w:shd w:val="clear" w:color="auto" w:fill="auto"/>
            <w:vAlign w:val="bottom"/>
          </w:tcPr>
          <w:p w14:paraId="37040F25" w14:textId="77777777" w:rsidR="006F3CCC" w:rsidRPr="00D04EC1" w:rsidRDefault="006F3CCC" w:rsidP="006F3CCC">
            <w:pPr>
              <w:widowControl/>
              <w:spacing w:line="0" w:lineRule="atLeast"/>
              <w:jc w:val="left"/>
            </w:pPr>
          </w:p>
        </w:tc>
        <w:tc>
          <w:tcPr>
            <w:tcW w:w="140" w:type="dxa"/>
            <w:shd w:val="clear" w:color="auto" w:fill="auto"/>
            <w:vAlign w:val="bottom"/>
          </w:tcPr>
          <w:p w14:paraId="31C5E0E6" w14:textId="77777777" w:rsidR="006F3CCC" w:rsidRPr="00D04EC1" w:rsidRDefault="006F3CCC" w:rsidP="006F3CCC">
            <w:pPr>
              <w:widowControl/>
              <w:spacing w:line="0" w:lineRule="atLeast"/>
              <w:jc w:val="left"/>
            </w:pPr>
          </w:p>
        </w:tc>
        <w:tc>
          <w:tcPr>
            <w:tcW w:w="1000" w:type="dxa"/>
            <w:gridSpan w:val="8"/>
            <w:vMerge/>
            <w:shd w:val="clear" w:color="auto" w:fill="auto"/>
            <w:vAlign w:val="bottom"/>
          </w:tcPr>
          <w:p w14:paraId="0F51A4F5" w14:textId="77777777" w:rsidR="006F3CCC" w:rsidRPr="00D04EC1" w:rsidRDefault="006F3CCC" w:rsidP="006F3CCC">
            <w:pPr>
              <w:widowControl/>
              <w:spacing w:line="0" w:lineRule="atLeast"/>
              <w:jc w:val="left"/>
            </w:pPr>
          </w:p>
        </w:tc>
        <w:tc>
          <w:tcPr>
            <w:tcW w:w="220" w:type="dxa"/>
            <w:shd w:val="clear" w:color="auto" w:fill="auto"/>
            <w:vAlign w:val="bottom"/>
          </w:tcPr>
          <w:p w14:paraId="4A3216D5" w14:textId="77777777" w:rsidR="006F3CCC" w:rsidRPr="00D04EC1" w:rsidRDefault="006F3CCC" w:rsidP="006F3CCC">
            <w:pPr>
              <w:widowControl/>
              <w:spacing w:line="0" w:lineRule="atLeast"/>
              <w:jc w:val="left"/>
            </w:pPr>
          </w:p>
        </w:tc>
        <w:tc>
          <w:tcPr>
            <w:tcW w:w="140" w:type="dxa"/>
            <w:gridSpan w:val="2"/>
            <w:shd w:val="clear" w:color="auto" w:fill="auto"/>
            <w:vAlign w:val="bottom"/>
          </w:tcPr>
          <w:p w14:paraId="7EA2BC52"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441F98EA" w14:textId="77777777" w:rsidR="006F3CCC" w:rsidRPr="00D04EC1" w:rsidRDefault="006F3CCC" w:rsidP="006F3CCC">
            <w:pPr>
              <w:widowControl/>
              <w:spacing w:line="0" w:lineRule="atLeast"/>
              <w:jc w:val="left"/>
            </w:pPr>
          </w:p>
        </w:tc>
        <w:tc>
          <w:tcPr>
            <w:tcW w:w="980" w:type="dxa"/>
            <w:gridSpan w:val="4"/>
            <w:vMerge/>
            <w:shd w:val="clear" w:color="auto" w:fill="auto"/>
            <w:vAlign w:val="bottom"/>
          </w:tcPr>
          <w:p w14:paraId="0B3A1E0E" w14:textId="77777777" w:rsidR="006F3CCC" w:rsidRPr="00D04EC1" w:rsidRDefault="006F3CCC" w:rsidP="006F3CCC">
            <w:pPr>
              <w:widowControl/>
              <w:spacing w:line="0" w:lineRule="atLeast"/>
              <w:jc w:val="left"/>
            </w:pPr>
          </w:p>
        </w:tc>
        <w:tc>
          <w:tcPr>
            <w:tcW w:w="100" w:type="dxa"/>
            <w:gridSpan w:val="2"/>
            <w:shd w:val="clear" w:color="auto" w:fill="auto"/>
            <w:vAlign w:val="bottom"/>
          </w:tcPr>
          <w:p w14:paraId="4F9FB8C8"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3D80A540" w14:textId="77777777" w:rsidR="006F3CCC" w:rsidRPr="00D04EC1" w:rsidRDefault="006F3CCC" w:rsidP="006F3CCC">
            <w:pPr>
              <w:widowControl/>
              <w:spacing w:line="0" w:lineRule="atLeast"/>
              <w:jc w:val="left"/>
            </w:pPr>
          </w:p>
        </w:tc>
      </w:tr>
      <w:tr w:rsidR="006F3CCC" w:rsidRPr="00D04EC1" w14:paraId="4918C0EC" w14:textId="77777777" w:rsidTr="00286DEB">
        <w:trPr>
          <w:trHeight w:val="126"/>
        </w:trPr>
        <w:tc>
          <w:tcPr>
            <w:tcW w:w="940" w:type="dxa"/>
            <w:gridSpan w:val="6"/>
            <w:vMerge w:val="restart"/>
            <w:shd w:val="clear" w:color="auto" w:fill="auto"/>
            <w:vAlign w:val="bottom"/>
          </w:tcPr>
          <w:p w14:paraId="263A393F" w14:textId="77777777" w:rsidR="006F3CCC" w:rsidRPr="00D04EC1" w:rsidRDefault="006F3CCC" w:rsidP="006F3CCC">
            <w:pPr>
              <w:widowControl/>
              <w:spacing w:line="0" w:lineRule="atLeast"/>
              <w:ind w:left="100"/>
              <w:jc w:val="left"/>
            </w:pPr>
            <w:r w:rsidRPr="00D04EC1">
              <w:t>G3 高级别</w:t>
            </w:r>
          </w:p>
        </w:tc>
        <w:tc>
          <w:tcPr>
            <w:tcW w:w="180" w:type="dxa"/>
            <w:shd w:val="clear" w:color="auto" w:fill="auto"/>
            <w:vAlign w:val="bottom"/>
          </w:tcPr>
          <w:p w14:paraId="22B2D9E4" w14:textId="77777777" w:rsidR="006F3CCC" w:rsidRPr="00D04EC1" w:rsidRDefault="006F3CCC" w:rsidP="006F3CCC">
            <w:pPr>
              <w:widowControl/>
              <w:spacing w:line="0" w:lineRule="atLeast"/>
              <w:jc w:val="left"/>
            </w:pPr>
          </w:p>
        </w:tc>
        <w:tc>
          <w:tcPr>
            <w:tcW w:w="60" w:type="dxa"/>
            <w:shd w:val="clear" w:color="auto" w:fill="auto"/>
            <w:vAlign w:val="bottom"/>
          </w:tcPr>
          <w:p w14:paraId="425DB58D" w14:textId="77777777" w:rsidR="006F3CCC" w:rsidRPr="00D04EC1" w:rsidRDefault="006F3CCC" w:rsidP="006F3CCC">
            <w:pPr>
              <w:widowControl/>
              <w:spacing w:line="0" w:lineRule="atLeast"/>
              <w:jc w:val="left"/>
            </w:pPr>
          </w:p>
        </w:tc>
        <w:tc>
          <w:tcPr>
            <w:tcW w:w="140" w:type="dxa"/>
            <w:shd w:val="clear" w:color="auto" w:fill="auto"/>
            <w:vAlign w:val="bottom"/>
          </w:tcPr>
          <w:p w14:paraId="200AC521" w14:textId="77777777" w:rsidR="006F3CCC" w:rsidRPr="00D04EC1" w:rsidRDefault="006F3CCC" w:rsidP="006F3CCC">
            <w:pPr>
              <w:widowControl/>
              <w:spacing w:line="0" w:lineRule="atLeast"/>
              <w:jc w:val="left"/>
            </w:pPr>
          </w:p>
        </w:tc>
        <w:tc>
          <w:tcPr>
            <w:tcW w:w="760" w:type="dxa"/>
            <w:gridSpan w:val="5"/>
            <w:vMerge w:val="restart"/>
            <w:shd w:val="clear" w:color="auto" w:fill="auto"/>
            <w:vAlign w:val="bottom"/>
          </w:tcPr>
          <w:p w14:paraId="583953D6" w14:textId="77777777" w:rsidR="006F3CCC" w:rsidRPr="00D04EC1" w:rsidRDefault="006F3CCC" w:rsidP="006F3CCC">
            <w:pPr>
              <w:widowControl/>
              <w:spacing w:line="196" w:lineRule="exact"/>
              <w:ind w:left="339"/>
              <w:jc w:val="center"/>
            </w:pPr>
            <w:r w:rsidRPr="00D04EC1">
              <w:t>＞ 20</w:t>
            </w:r>
          </w:p>
        </w:tc>
        <w:tc>
          <w:tcPr>
            <w:tcW w:w="20" w:type="dxa"/>
            <w:shd w:val="clear" w:color="auto" w:fill="auto"/>
            <w:vAlign w:val="bottom"/>
          </w:tcPr>
          <w:p w14:paraId="2A521235" w14:textId="77777777" w:rsidR="006F3CCC" w:rsidRPr="00D04EC1" w:rsidRDefault="006F3CCC" w:rsidP="006F3CCC">
            <w:pPr>
              <w:widowControl/>
              <w:spacing w:line="0" w:lineRule="atLeast"/>
              <w:jc w:val="left"/>
            </w:pPr>
          </w:p>
        </w:tc>
        <w:tc>
          <w:tcPr>
            <w:tcW w:w="220" w:type="dxa"/>
            <w:gridSpan w:val="2"/>
            <w:shd w:val="clear" w:color="auto" w:fill="auto"/>
            <w:vAlign w:val="bottom"/>
          </w:tcPr>
          <w:p w14:paraId="29915073" w14:textId="77777777" w:rsidR="006F3CCC" w:rsidRPr="00D04EC1" w:rsidRDefault="006F3CCC" w:rsidP="006F3CCC">
            <w:pPr>
              <w:widowControl/>
              <w:spacing w:line="0" w:lineRule="atLeast"/>
              <w:jc w:val="left"/>
            </w:pPr>
          </w:p>
        </w:tc>
        <w:tc>
          <w:tcPr>
            <w:tcW w:w="220" w:type="dxa"/>
            <w:shd w:val="clear" w:color="auto" w:fill="auto"/>
            <w:vAlign w:val="bottom"/>
          </w:tcPr>
          <w:p w14:paraId="46C81369" w14:textId="77777777" w:rsidR="006F3CCC" w:rsidRPr="00D04EC1" w:rsidRDefault="006F3CCC" w:rsidP="006F3CCC">
            <w:pPr>
              <w:widowControl/>
              <w:spacing w:line="0" w:lineRule="atLeast"/>
              <w:jc w:val="left"/>
            </w:pPr>
          </w:p>
        </w:tc>
        <w:tc>
          <w:tcPr>
            <w:tcW w:w="140" w:type="dxa"/>
            <w:gridSpan w:val="2"/>
            <w:shd w:val="clear" w:color="auto" w:fill="auto"/>
            <w:vAlign w:val="bottom"/>
          </w:tcPr>
          <w:p w14:paraId="049D6F80"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26CB3880" w14:textId="77777777" w:rsidR="006F3CCC" w:rsidRPr="00D04EC1" w:rsidRDefault="006F3CCC" w:rsidP="006F3CCC">
            <w:pPr>
              <w:widowControl/>
              <w:spacing w:line="0" w:lineRule="atLeast"/>
              <w:jc w:val="left"/>
            </w:pPr>
          </w:p>
        </w:tc>
        <w:tc>
          <w:tcPr>
            <w:tcW w:w="440" w:type="dxa"/>
            <w:shd w:val="clear" w:color="auto" w:fill="auto"/>
            <w:vAlign w:val="bottom"/>
          </w:tcPr>
          <w:p w14:paraId="5D43466A" w14:textId="77777777" w:rsidR="006F3CCC" w:rsidRPr="00D04EC1" w:rsidRDefault="006F3CCC" w:rsidP="006F3CCC">
            <w:pPr>
              <w:widowControl/>
              <w:spacing w:line="0" w:lineRule="atLeast"/>
              <w:jc w:val="left"/>
            </w:pPr>
          </w:p>
        </w:tc>
        <w:tc>
          <w:tcPr>
            <w:tcW w:w="540" w:type="dxa"/>
            <w:gridSpan w:val="3"/>
            <w:vMerge w:val="restart"/>
            <w:shd w:val="clear" w:color="auto" w:fill="auto"/>
            <w:vAlign w:val="bottom"/>
          </w:tcPr>
          <w:p w14:paraId="78F12805" w14:textId="77777777" w:rsidR="006F3CCC" w:rsidRPr="00D04EC1" w:rsidRDefault="006F3CCC" w:rsidP="006F3CCC">
            <w:pPr>
              <w:widowControl/>
              <w:spacing w:line="207" w:lineRule="exact"/>
              <w:ind w:left="20"/>
              <w:jc w:val="left"/>
            </w:pPr>
            <w:r w:rsidRPr="00D04EC1">
              <w:t>＞ 20</w:t>
            </w:r>
          </w:p>
        </w:tc>
        <w:tc>
          <w:tcPr>
            <w:tcW w:w="100" w:type="dxa"/>
            <w:gridSpan w:val="2"/>
            <w:shd w:val="clear" w:color="auto" w:fill="auto"/>
            <w:vAlign w:val="bottom"/>
          </w:tcPr>
          <w:p w14:paraId="56994E03"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5252AF37" w14:textId="77777777" w:rsidR="006F3CCC" w:rsidRPr="00D04EC1" w:rsidRDefault="006F3CCC" w:rsidP="006F3CCC">
            <w:pPr>
              <w:widowControl/>
              <w:spacing w:line="0" w:lineRule="atLeast"/>
              <w:jc w:val="left"/>
            </w:pPr>
          </w:p>
        </w:tc>
      </w:tr>
      <w:tr w:rsidR="006F3CCC" w:rsidRPr="00D04EC1" w14:paraId="693DA421" w14:textId="77777777" w:rsidTr="00286DEB">
        <w:trPr>
          <w:trHeight w:val="119"/>
        </w:trPr>
        <w:tc>
          <w:tcPr>
            <w:tcW w:w="940" w:type="dxa"/>
            <w:gridSpan w:val="6"/>
            <w:vMerge/>
            <w:tcBorders>
              <w:bottom w:val="single" w:sz="8" w:space="0" w:color="auto"/>
            </w:tcBorders>
            <w:shd w:val="clear" w:color="auto" w:fill="auto"/>
            <w:vAlign w:val="bottom"/>
          </w:tcPr>
          <w:p w14:paraId="55AE05CF" w14:textId="77777777" w:rsidR="006F3CCC" w:rsidRPr="00D04EC1" w:rsidRDefault="006F3CCC" w:rsidP="006F3CCC">
            <w:pPr>
              <w:widowControl/>
              <w:spacing w:line="0" w:lineRule="atLeast"/>
              <w:jc w:val="left"/>
            </w:pPr>
          </w:p>
        </w:tc>
        <w:tc>
          <w:tcPr>
            <w:tcW w:w="180" w:type="dxa"/>
            <w:tcBorders>
              <w:bottom w:val="single" w:sz="8" w:space="0" w:color="auto"/>
            </w:tcBorders>
            <w:shd w:val="clear" w:color="auto" w:fill="auto"/>
            <w:vAlign w:val="bottom"/>
          </w:tcPr>
          <w:p w14:paraId="1021BB81" w14:textId="77777777" w:rsidR="006F3CCC" w:rsidRPr="00D04EC1" w:rsidRDefault="006F3CCC" w:rsidP="006F3CCC">
            <w:pPr>
              <w:widowControl/>
              <w:spacing w:line="0" w:lineRule="atLeast"/>
              <w:jc w:val="left"/>
            </w:pPr>
          </w:p>
        </w:tc>
        <w:tc>
          <w:tcPr>
            <w:tcW w:w="60" w:type="dxa"/>
            <w:tcBorders>
              <w:bottom w:val="single" w:sz="8" w:space="0" w:color="auto"/>
            </w:tcBorders>
            <w:shd w:val="clear" w:color="auto" w:fill="auto"/>
            <w:vAlign w:val="bottom"/>
          </w:tcPr>
          <w:p w14:paraId="79230D84" w14:textId="77777777" w:rsidR="006F3CCC" w:rsidRPr="00D04EC1" w:rsidRDefault="006F3CCC" w:rsidP="006F3CCC">
            <w:pPr>
              <w:widowControl/>
              <w:spacing w:line="0" w:lineRule="atLeast"/>
              <w:jc w:val="left"/>
            </w:pPr>
          </w:p>
        </w:tc>
        <w:tc>
          <w:tcPr>
            <w:tcW w:w="140" w:type="dxa"/>
            <w:tcBorders>
              <w:bottom w:val="single" w:sz="8" w:space="0" w:color="auto"/>
            </w:tcBorders>
            <w:shd w:val="clear" w:color="auto" w:fill="auto"/>
            <w:vAlign w:val="bottom"/>
          </w:tcPr>
          <w:p w14:paraId="50CA6FFF" w14:textId="77777777" w:rsidR="006F3CCC" w:rsidRPr="00D04EC1" w:rsidRDefault="006F3CCC" w:rsidP="006F3CCC">
            <w:pPr>
              <w:widowControl/>
              <w:spacing w:line="0" w:lineRule="atLeast"/>
              <w:jc w:val="left"/>
            </w:pPr>
          </w:p>
        </w:tc>
        <w:tc>
          <w:tcPr>
            <w:tcW w:w="760" w:type="dxa"/>
            <w:gridSpan w:val="5"/>
            <w:vMerge/>
            <w:tcBorders>
              <w:bottom w:val="single" w:sz="8" w:space="0" w:color="auto"/>
            </w:tcBorders>
            <w:shd w:val="clear" w:color="auto" w:fill="auto"/>
            <w:vAlign w:val="bottom"/>
          </w:tcPr>
          <w:p w14:paraId="01376AF9" w14:textId="77777777" w:rsidR="006F3CCC" w:rsidRPr="00D04EC1" w:rsidRDefault="006F3CCC" w:rsidP="006F3CCC">
            <w:pPr>
              <w:widowControl/>
              <w:spacing w:line="0" w:lineRule="atLeast"/>
              <w:jc w:val="left"/>
            </w:pPr>
          </w:p>
        </w:tc>
        <w:tc>
          <w:tcPr>
            <w:tcW w:w="20" w:type="dxa"/>
            <w:tcBorders>
              <w:bottom w:val="single" w:sz="8" w:space="0" w:color="auto"/>
            </w:tcBorders>
            <w:shd w:val="clear" w:color="auto" w:fill="auto"/>
            <w:vAlign w:val="bottom"/>
          </w:tcPr>
          <w:p w14:paraId="460F840F" w14:textId="77777777" w:rsidR="006F3CCC" w:rsidRPr="00D04EC1" w:rsidRDefault="006F3CCC" w:rsidP="006F3CCC">
            <w:pPr>
              <w:widowControl/>
              <w:spacing w:line="0" w:lineRule="atLeast"/>
              <w:jc w:val="left"/>
            </w:pPr>
          </w:p>
        </w:tc>
        <w:tc>
          <w:tcPr>
            <w:tcW w:w="220" w:type="dxa"/>
            <w:gridSpan w:val="2"/>
            <w:tcBorders>
              <w:bottom w:val="single" w:sz="8" w:space="0" w:color="auto"/>
            </w:tcBorders>
            <w:shd w:val="clear" w:color="auto" w:fill="auto"/>
            <w:vAlign w:val="bottom"/>
          </w:tcPr>
          <w:p w14:paraId="5C4A16BB" w14:textId="77777777" w:rsidR="006F3CCC" w:rsidRPr="00D04EC1" w:rsidRDefault="006F3CCC" w:rsidP="006F3CCC">
            <w:pPr>
              <w:widowControl/>
              <w:spacing w:line="0" w:lineRule="atLeast"/>
              <w:jc w:val="left"/>
            </w:pPr>
          </w:p>
        </w:tc>
        <w:tc>
          <w:tcPr>
            <w:tcW w:w="220" w:type="dxa"/>
            <w:tcBorders>
              <w:bottom w:val="single" w:sz="8" w:space="0" w:color="auto"/>
            </w:tcBorders>
            <w:shd w:val="clear" w:color="auto" w:fill="auto"/>
            <w:vAlign w:val="bottom"/>
          </w:tcPr>
          <w:p w14:paraId="2156DCBA" w14:textId="77777777" w:rsidR="006F3CCC" w:rsidRPr="00D04EC1" w:rsidRDefault="006F3CCC" w:rsidP="006F3CCC">
            <w:pPr>
              <w:widowControl/>
              <w:spacing w:line="0" w:lineRule="atLeast"/>
              <w:jc w:val="left"/>
            </w:pPr>
          </w:p>
        </w:tc>
        <w:tc>
          <w:tcPr>
            <w:tcW w:w="140" w:type="dxa"/>
            <w:gridSpan w:val="2"/>
            <w:tcBorders>
              <w:bottom w:val="single" w:sz="8" w:space="0" w:color="auto"/>
            </w:tcBorders>
            <w:shd w:val="clear" w:color="auto" w:fill="auto"/>
            <w:vAlign w:val="bottom"/>
          </w:tcPr>
          <w:p w14:paraId="1C5E886A" w14:textId="77777777" w:rsidR="006F3CCC" w:rsidRPr="00D04EC1" w:rsidRDefault="006F3CCC" w:rsidP="006F3CCC">
            <w:pPr>
              <w:widowControl/>
              <w:spacing w:line="0" w:lineRule="atLeast"/>
              <w:jc w:val="left"/>
            </w:pPr>
          </w:p>
        </w:tc>
        <w:tc>
          <w:tcPr>
            <w:tcW w:w="420" w:type="dxa"/>
            <w:gridSpan w:val="2"/>
            <w:tcBorders>
              <w:bottom w:val="single" w:sz="8" w:space="0" w:color="auto"/>
            </w:tcBorders>
            <w:shd w:val="clear" w:color="auto" w:fill="auto"/>
            <w:vAlign w:val="bottom"/>
          </w:tcPr>
          <w:p w14:paraId="71A410DD" w14:textId="77777777" w:rsidR="006F3CCC" w:rsidRPr="00D04EC1" w:rsidRDefault="006F3CCC" w:rsidP="006F3CCC">
            <w:pPr>
              <w:widowControl/>
              <w:spacing w:line="0" w:lineRule="atLeast"/>
              <w:jc w:val="left"/>
            </w:pPr>
          </w:p>
        </w:tc>
        <w:tc>
          <w:tcPr>
            <w:tcW w:w="440" w:type="dxa"/>
            <w:tcBorders>
              <w:bottom w:val="single" w:sz="8" w:space="0" w:color="auto"/>
            </w:tcBorders>
            <w:shd w:val="clear" w:color="auto" w:fill="auto"/>
            <w:vAlign w:val="bottom"/>
          </w:tcPr>
          <w:p w14:paraId="3E27DDA1" w14:textId="77777777" w:rsidR="006F3CCC" w:rsidRPr="00D04EC1" w:rsidRDefault="006F3CCC" w:rsidP="006F3CCC">
            <w:pPr>
              <w:widowControl/>
              <w:spacing w:line="0" w:lineRule="atLeast"/>
              <w:jc w:val="left"/>
            </w:pPr>
          </w:p>
        </w:tc>
        <w:tc>
          <w:tcPr>
            <w:tcW w:w="540" w:type="dxa"/>
            <w:gridSpan w:val="3"/>
            <w:vMerge/>
            <w:tcBorders>
              <w:bottom w:val="single" w:sz="8" w:space="0" w:color="auto"/>
            </w:tcBorders>
            <w:shd w:val="clear" w:color="auto" w:fill="auto"/>
            <w:vAlign w:val="bottom"/>
          </w:tcPr>
          <w:p w14:paraId="1A6E4055" w14:textId="77777777" w:rsidR="006F3CCC" w:rsidRPr="00D04EC1" w:rsidRDefault="006F3CCC" w:rsidP="006F3CCC">
            <w:pPr>
              <w:widowControl/>
              <w:spacing w:line="0" w:lineRule="atLeast"/>
              <w:jc w:val="left"/>
            </w:pPr>
          </w:p>
        </w:tc>
        <w:tc>
          <w:tcPr>
            <w:tcW w:w="100" w:type="dxa"/>
            <w:gridSpan w:val="2"/>
            <w:tcBorders>
              <w:bottom w:val="single" w:sz="8" w:space="0" w:color="auto"/>
            </w:tcBorders>
            <w:shd w:val="clear" w:color="auto" w:fill="auto"/>
            <w:vAlign w:val="bottom"/>
          </w:tcPr>
          <w:p w14:paraId="12A6C45D" w14:textId="77777777" w:rsidR="006F3CCC" w:rsidRPr="00D04EC1" w:rsidRDefault="006F3CCC" w:rsidP="006F3CCC">
            <w:pPr>
              <w:widowControl/>
              <w:spacing w:line="0" w:lineRule="atLeast"/>
              <w:jc w:val="left"/>
            </w:pPr>
          </w:p>
        </w:tc>
        <w:tc>
          <w:tcPr>
            <w:tcW w:w="420" w:type="dxa"/>
            <w:gridSpan w:val="2"/>
            <w:tcBorders>
              <w:bottom w:val="single" w:sz="8" w:space="0" w:color="auto"/>
            </w:tcBorders>
            <w:shd w:val="clear" w:color="auto" w:fill="auto"/>
            <w:vAlign w:val="bottom"/>
          </w:tcPr>
          <w:p w14:paraId="22C7E234" w14:textId="77777777" w:rsidR="006F3CCC" w:rsidRPr="00D04EC1" w:rsidRDefault="006F3CCC" w:rsidP="006F3CCC">
            <w:pPr>
              <w:widowControl/>
              <w:spacing w:line="0" w:lineRule="atLeast"/>
              <w:jc w:val="left"/>
            </w:pPr>
          </w:p>
        </w:tc>
      </w:tr>
      <w:tr w:rsidR="006F3CCC" w:rsidRPr="00D04EC1" w14:paraId="4968B018" w14:textId="77777777" w:rsidTr="00286DEB">
        <w:trPr>
          <w:gridAfter w:val="3"/>
          <w:wAfter w:w="480" w:type="dxa"/>
          <w:trHeight w:val="131"/>
        </w:trPr>
        <w:tc>
          <w:tcPr>
            <w:tcW w:w="180" w:type="dxa"/>
            <w:shd w:val="clear" w:color="auto" w:fill="auto"/>
            <w:vAlign w:val="bottom"/>
          </w:tcPr>
          <w:p w14:paraId="7CCE6B83" w14:textId="77777777" w:rsidR="006F3CCC" w:rsidRPr="00D04EC1" w:rsidRDefault="006F3CCC" w:rsidP="006F3CCC">
            <w:pPr>
              <w:widowControl/>
              <w:spacing w:line="0" w:lineRule="atLeast"/>
              <w:jc w:val="left"/>
            </w:pPr>
          </w:p>
        </w:tc>
        <w:tc>
          <w:tcPr>
            <w:tcW w:w="280" w:type="dxa"/>
            <w:shd w:val="clear" w:color="auto" w:fill="auto"/>
            <w:vAlign w:val="bottom"/>
          </w:tcPr>
          <w:p w14:paraId="15FF8584" w14:textId="77777777" w:rsidR="006F3CCC" w:rsidRPr="00D04EC1" w:rsidRDefault="006F3CCC" w:rsidP="006F3CCC">
            <w:pPr>
              <w:widowControl/>
              <w:spacing w:line="0" w:lineRule="atLeast"/>
              <w:jc w:val="left"/>
            </w:pPr>
          </w:p>
        </w:tc>
        <w:tc>
          <w:tcPr>
            <w:tcW w:w="180" w:type="dxa"/>
            <w:shd w:val="clear" w:color="auto" w:fill="auto"/>
            <w:vAlign w:val="bottom"/>
          </w:tcPr>
          <w:p w14:paraId="06B1D56D" w14:textId="77777777" w:rsidR="006F3CCC" w:rsidRPr="00D04EC1" w:rsidRDefault="006F3CCC" w:rsidP="006F3CCC">
            <w:pPr>
              <w:widowControl/>
              <w:spacing w:line="0" w:lineRule="atLeast"/>
              <w:jc w:val="left"/>
            </w:pPr>
          </w:p>
        </w:tc>
        <w:tc>
          <w:tcPr>
            <w:tcW w:w="60" w:type="dxa"/>
            <w:shd w:val="clear" w:color="auto" w:fill="auto"/>
            <w:vAlign w:val="bottom"/>
          </w:tcPr>
          <w:p w14:paraId="6F555A1C" w14:textId="77777777" w:rsidR="006F3CCC" w:rsidRPr="00D04EC1" w:rsidRDefault="006F3CCC" w:rsidP="006F3CCC">
            <w:pPr>
              <w:widowControl/>
              <w:spacing w:line="0" w:lineRule="atLeast"/>
              <w:jc w:val="left"/>
            </w:pPr>
          </w:p>
        </w:tc>
        <w:tc>
          <w:tcPr>
            <w:tcW w:w="140" w:type="dxa"/>
            <w:shd w:val="clear" w:color="auto" w:fill="auto"/>
            <w:vAlign w:val="bottom"/>
          </w:tcPr>
          <w:p w14:paraId="386EE81F" w14:textId="77777777" w:rsidR="006F3CCC" w:rsidRPr="00D04EC1" w:rsidRDefault="006F3CCC" w:rsidP="006F3CCC">
            <w:pPr>
              <w:widowControl/>
              <w:spacing w:line="0" w:lineRule="atLeast"/>
              <w:jc w:val="left"/>
            </w:pPr>
          </w:p>
        </w:tc>
        <w:tc>
          <w:tcPr>
            <w:tcW w:w="760" w:type="dxa"/>
            <w:gridSpan w:val="5"/>
            <w:shd w:val="clear" w:color="auto" w:fill="auto"/>
            <w:vAlign w:val="bottom"/>
          </w:tcPr>
          <w:p w14:paraId="11CBC229" w14:textId="77777777" w:rsidR="006F3CCC" w:rsidRPr="00D04EC1" w:rsidRDefault="006F3CCC" w:rsidP="006F3CCC">
            <w:pPr>
              <w:widowControl/>
              <w:spacing w:line="0" w:lineRule="atLeast"/>
              <w:jc w:val="left"/>
            </w:pPr>
          </w:p>
        </w:tc>
        <w:tc>
          <w:tcPr>
            <w:tcW w:w="20" w:type="dxa"/>
            <w:shd w:val="clear" w:color="auto" w:fill="auto"/>
            <w:vAlign w:val="bottom"/>
          </w:tcPr>
          <w:p w14:paraId="50E44AA7" w14:textId="77777777" w:rsidR="006F3CCC" w:rsidRPr="00D04EC1" w:rsidRDefault="006F3CCC" w:rsidP="006F3CCC">
            <w:pPr>
              <w:widowControl/>
              <w:spacing w:line="0" w:lineRule="atLeast"/>
              <w:jc w:val="left"/>
            </w:pPr>
          </w:p>
        </w:tc>
        <w:tc>
          <w:tcPr>
            <w:tcW w:w="220" w:type="dxa"/>
            <w:shd w:val="clear" w:color="auto" w:fill="auto"/>
            <w:vAlign w:val="bottom"/>
          </w:tcPr>
          <w:p w14:paraId="6110C581" w14:textId="77777777" w:rsidR="006F3CCC" w:rsidRPr="00D04EC1" w:rsidRDefault="006F3CCC" w:rsidP="006F3CCC">
            <w:pPr>
              <w:widowControl/>
              <w:spacing w:line="0" w:lineRule="atLeast"/>
              <w:jc w:val="left"/>
            </w:pPr>
          </w:p>
        </w:tc>
        <w:tc>
          <w:tcPr>
            <w:tcW w:w="220" w:type="dxa"/>
            <w:shd w:val="clear" w:color="auto" w:fill="auto"/>
            <w:vAlign w:val="bottom"/>
          </w:tcPr>
          <w:p w14:paraId="5B75C1B9" w14:textId="77777777" w:rsidR="006F3CCC" w:rsidRPr="00D04EC1" w:rsidRDefault="006F3CCC" w:rsidP="006F3CCC">
            <w:pPr>
              <w:widowControl/>
              <w:spacing w:line="0" w:lineRule="atLeast"/>
              <w:jc w:val="left"/>
            </w:pPr>
          </w:p>
        </w:tc>
        <w:tc>
          <w:tcPr>
            <w:tcW w:w="140" w:type="dxa"/>
            <w:gridSpan w:val="3"/>
            <w:shd w:val="clear" w:color="auto" w:fill="auto"/>
            <w:vAlign w:val="bottom"/>
          </w:tcPr>
          <w:p w14:paraId="4F95CA92" w14:textId="77777777" w:rsidR="006F3CCC" w:rsidRPr="00D04EC1" w:rsidRDefault="006F3CCC" w:rsidP="006F3CCC">
            <w:pPr>
              <w:widowControl/>
              <w:spacing w:line="0" w:lineRule="atLeast"/>
              <w:jc w:val="left"/>
            </w:pPr>
          </w:p>
        </w:tc>
        <w:tc>
          <w:tcPr>
            <w:tcW w:w="420" w:type="dxa"/>
            <w:gridSpan w:val="3"/>
            <w:shd w:val="clear" w:color="auto" w:fill="auto"/>
            <w:vAlign w:val="bottom"/>
          </w:tcPr>
          <w:p w14:paraId="40892040" w14:textId="77777777" w:rsidR="006F3CCC" w:rsidRPr="00D04EC1" w:rsidRDefault="006F3CCC" w:rsidP="006F3CCC">
            <w:pPr>
              <w:widowControl/>
              <w:spacing w:line="0" w:lineRule="atLeast"/>
              <w:jc w:val="left"/>
            </w:pPr>
          </w:p>
        </w:tc>
        <w:tc>
          <w:tcPr>
            <w:tcW w:w="440" w:type="dxa"/>
            <w:gridSpan w:val="2"/>
            <w:shd w:val="clear" w:color="auto" w:fill="auto"/>
            <w:vAlign w:val="bottom"/>
          </w:tcPr>
          <w:p w14:paraId="67A70F97" w14:textId="77777777" w:rsidR="006F3CCC" w:rsidRPr="00D04EC1" w:rsidRDefault="006F3CCC" w:rsidP="006F3CCC">
            <w:pPr>
              <w:widowControl/>
              <w:spacing w:line="0" w:lineRule="atLeast"/>
              <w:jc w:val="left"/>
            </w:pPr>
          </w:p>
        </w:tc>
        <w:tc>
          <w:tcPr>
            <w:tcW w:w="540" w:type="dxa"/>
            <w:gridSpan w:val="3"/>
            <w:shd w:val="clear" w:color="auto" w:fill="auto"/>
            <w:vAlign w:val="bottom"/>
          </w:tcPr>
          <w:p w14:paraId="0F0DF39E" w14:textId="77777777" w:rsidR="006F3CCC" w:rsidRPr="00D04EC1" w:rsidRDefault="006F3CCC" w:rsidP="006F3CCC">
            <w:pPr>
              <w:widowControl/>
              <w:spacing w:line="0" w:lineRule="atLeast"/>
              <w:jc w:val="left"/>
            </w:pPr>
          </w:p>
        </w:tc>
        <w:tc>
          <w:tcPr>
            <w:tcW w:w="100" w:type="dxa"/>
            <w:shd w:val="clear" w:color="auto" w:fill="auto"/>
            <w:vAlign w:val="bottom"/>
          </w:tcPr>
          <w:p w14:paraId="2547AD1F" w14:textId="77777777" w:rsidR="006F3CCC" w:rsidRPr="00D04EC1" w:rsidRDefault="006F3CCC" w:rsidP="006F3CCC">
            <w:pPr>
              <w:widowControl/>
              <w:spacing w:line="0" w:lineRule="atLeast"/>
              <w:jc w:val="left"/>
            </w:pPr>
          </w:p>
        </w:tc>
        <w:tc>
          <w:tcPr>
            <w:tcW w:w="420" w:type="dxa"/>
            <w:gridSpan w:val="2"/>
            <w:shd w:val="clear" w:color="auto" w:fill="auto"/>
            <w:vAlign w:val="bottom"/>
          </w:tcPr>
          <w:p w14:paraId="49C944FE" w14:textId="77777777" w:rsidR="006F3CCC" w:rsidRPr="00D04EC1" w:rsidRDefault="006F3CCC" w:rsidP="006F3CCC">
            <w:pPr>
              <w:widowControl/>
              <w:spacing w:line="0" w:lineRule="atLeast"/>
              <w:jc w:val="left"/>
            </w:pPr>
          </w:p>
        </w:tc>
      </w:tr>
      <w:tr w:rsidR="008A103B" w:rsidRPr="00D04EC1" w14:paraId="141BA881" w14:textId="77777777" w:rsidTr="00286DEB">
        <w:trPr>
          <w:gridAfter w:val="3"/>
          <w:wAfter w:w="480" w:type="dxa"/>
          <w:trHeight w:val="131"/>
        </w:trPr>
        <w:tc>
          <w:tcPr>
            <w:tcW w:w="180" w:type="dxa"/>
            <w:shd w:val="clear" w:color="auto" w:fill="auto"/>
            <w:vAlign w:val="bottom"/>
          </w:tcPr>
          <w:p w14:paraId="1E2BC767" w14:textId="77777777" w:rsidR="008A103B" w:rsidRPr="00D04EC1" w:rsidRDefault="008A103B" w:rsidP="006F3CCC">
            <w:pPr>
              <w:widowControl/>
              <w:spacing w:line="0" w:lineRule="atLeast"/>
              <w:jc w:val="left"/>
            </w:pPr>
          </w:p>
        </w:tc>
        <w:tc>
          <w:tcPr>
            <w:tcW w:w="280" w:type="dxa"/>
            <w:shd w:val="clear" w:color="auto" w:fill="auto"/>
            <w:vAlign w:val="bottom"/>
          </w:tcPr>
          <w:p w14:paraId="108D7DB5" w14:textId="77777777" w:rsidR="008A103B" w:rsidRPr="00D04EC1" w:rsidRDefault="008A103B" w:rsidP="006F3CCC">
            <w:pPr>
              <w:widowControl/>
              <w:spacing w:line="0" w:lineRule="atLeast"/>
              <w:jc w:val="left"/>
            </w:pPr>
          </w:p>
        </w:tc>
        <w:tc>
          <w:tcPr>
            <w:tcW w:w="180" w:type="dxa"/>
            <w:shd w:val="clear" w:color="auto" w:fill="auto"/>
            <w:vAlign w:val="bottom"/>
          </w:tcPr>
          <w:p w14:paraId="1F1C4094" w14:textId="77777777" w:rsidR="008A103B" w:rsidRPr="00D04EC1" w:rsidRDefault="008A103B" w:rsidP="006F3CCC">
            <w:pPr>
              <w:widowControl/>
              <w:spacing w:line="0" w:lineRule="atLeast"/>
              <w:jc w:val="left"/>
            </w:pPr>
          </w:p>
        </w:tc>
        <w:tc>
          <w:tcPr>
            <w:tcW w:w="60" w:type="dxa"/>
            <w:shd w:val="clear" w:color="auto" w:fill="auto"/>
            <w:vAlign w:val="bottom"/>
          </w:tcPr>
          <w:p w14:paraId="19E62D9B" w14:textId="77777777" w:rsidR="008A103B" w:rsidRPr="00D04EC1" w:rsidRDefault="008A103B" w:rsidP="006F3CCC">
            <w:pPr>
              <w:widowControl/>
              <w:spacing w:line="0" w:lineRule="atLeast"/>
              <w:jc w:val="left"/>
            </w:pPr>
          </w:p>
        </w:tc>
        <w:tc>
          <w:tcPr>
            <w:tcW w:w="140" w:type="dxa"/>
            <w:shd w:val="clear" w:color="auto" w:fill="auto"/>
            <w:vAlign w:val="bottom"/>
          </w:tcPr>
          <w:p w14:paraId="2E7063DC" w14:textId="77777777" w:rsidR="008A103B" w:rsidRPr="00D04EC1" w:rsidRDefault="008A103B" w:rsidP="006F3CCC">
            <w:pPr>
              <w:widowControl/>
              <w:spacing w:line="0" w:lineRule="atLeast"/>
              <w:jc w:val="left"/>
            </w:pPr>
          </w:p>
        </w:tc>
        <w:tc>
          <w:tcPr>
            <w:tcW w:w="760" w:type="dxa"/>
            <w:gridSpan w:val="5"/>
            <w:shd w:val="clear" w:color="auto" w:fill="auto"/>
            <w:vAlign w:val="bottom"/>
          </w:tcPr>
          <w:p w14:paraId="28B3AC84" w14:textId="77777777" w:rsidR="008A103B" w:rsidRPr="00D04EC1" w:rsidRDefault="008A103B" w:rsidP="006F3CCC">
            <w:pPr>
              <w:widowControl/>
              <w:spacing w:line="0" w:lineRule="atLeast"/>
              <w:jc w:val="left"/>
            </w:pPr>
          </w:p>
        </w:tc>
        <w:tc>
          <w:tcPr>
            <w:tcW w:w="20" w:type="dxa"/>
            <w:shd w:val="clear" w:color="auto" w:fill="auto"/>
            <w:vAlign w:val="bottom"/>
          </w:tcPr>
          <w:p w14:paraId="0FEE0345" w14:textId="77777777" w:rsidR="008A103B" w:rsidRPr="00D04EC1" w:rsidRDefault="008A103B" w:rsidP="006F3CCC">
            <w:pPr>
              <w:widowControl/>
              <w:spacing w:line="0" w:lineRule="atLeast"/>
              <w:jc w:val="left"/>
            </w:pPr>
          </w:p>
        </w:tc>
        <w:tc>
          <w:tcPr>
            <w:tcW w:w="220" w:type="dxa"/>
            <w:shd w:val="clear" w:color="auto" w:fill="auto"/>
            <w:vAlign w:val="bottom"/>
          </w:tcPr>
          <w:p w14:paraId="39003433" w14:textId="77777777" w:rsidR="008A103B" w:rsidRPr="00D04EC1" w:rsidRDefault="008A103B" w:rsidP="006F3CCC">
            <w:pPr>
              <w:widowControl/>
              <w:spacing w:line="0" w:lineRule="atLeast"/>
              <w:jc w:val="left"/>
            </w:pPr>
          </w:p>
        </w:tc>
        <w:tc>
          <w:tcPr>
            <w:tcW w:w="220" w:type="dxa"/>
            <w:shd w:val="clear" w:color="auto" w:fill="auto"/>
            <w:vAlign w:val="bottom"/>
          </w:tcPr>
          <w:p w14:paraId="57DF62F7" w14:textId="77777777" w:rsidR="008A103B" w:rsidRPr="00D04EC1" w:rsidRDefault="008A103B" w:rsidP="006F3CCC">
            <w:pPr>
              <w:widowControl/>
              <w:spacing w:line="0" w:lineRule="atLeast"/>
              <w:jc w:val="left"/>
            </w:pPr>
          </w:p>
        </w:tc>
        <w:tc>
          <w:tcPr>
            <w:tcW w:w="140" w:type="dxa"/>
            <w:gridSpan w:val="3"/>
            <w:shd w:val="clear" w:color="auto" w:fill="auto"/>
            <w:vAlign w:val="bottom"/>
          </w:tcPr>
          <w:p w14:paraId="2FE480C9" w14:textId="77777777" w:rsidR="008A103B" w:rsidRPr="00D04EC1" w:rsidRDefault="008A103B" w:rsidP="006F3CCC">
            <w:pPr>
              <w:widowControl/>
              <w:spacing w:line="0" w:lineRule="atLeast"/>
              <w:jc w:val="left"/>
            </w:pPr>
          </w:p>
        </w:tc>
        <w:tc>
          <w:tcPr>
            <w:tcW w:w="420" w:type="dxa"/>
            <w:gridSpan w:val="3"/>
            <w:shd w:val="clear" w:color="auto" w:fill="auto"/>
            <w:vAlign w:val="bottom"/>
          </w:tcPr>
          <w:p w14:paraId="6C2D7DCD" w14:textId="77777777" w:rsidR="008A103B" w:rsidRPr="00D04EC1" w:rsidRDefault="008A103B" w:rsidP="006F3CCC">
            <w:pPr>
              <w:widowControl/>
              <w:spacing w:line="0" w:lineRule="atLeast"/>
              <w:jc w:val="left"/>
            </w:pPr>
          </w:p>
        </w:tc>
        <w:tc>
          <w:tcPr>
            <w:tcW w:w="440" w:type="dxa"/>
            <w:gridSpan w:val="2"/>
            <w:shd w:val="clear" w:color="auto" w:fill="auto"/>
            <w:vAlign w:val="bottom"/>
          </w:tcPr>
          <w:p w14:paraId="2840190F" w14:textId="77777777" w:rsidR="008A103B" w:rsidRPr="00D04EC1" w:rsidRDefault="008A103B" w:rsidP="006F3CCC">
            <w:pPr>
              <w:widowControl/>
              <w:spacing w:line="0" w:lineRule="atLeast"/>
              <w:jc w:val="left"/>
            </w:pPr>
          </w:p>
        </w:tc>
        <w:tc>
          <w:tcPr>
            <w:tcW w:w="540" w:type="dxa"/>
            <w:gridSpan w:val="3"/>
            <w:shd w:val="clear" w:color="auto" w:fill="auto"/>
            <w:vAlign w:val="bottom"/>
          </w:tcPr>
          <w:p w14:paraId="3E0E2A64" w14:textId="77777777" w:rsidR="008A103B" w:rsidRPr="00D04EC1" w:rsidRDefault="008A103B" w:rsidP="006F3CCC">
            <w:pPr>
              <w:widowControl/>
              <w:spacing w:line="0" w:lineRule="atLeast"/>
              <w:jc w:val="left"/>
            </w:pPr>
          </w:p>
        </w:tc>
        <w:tc>
          <w:tcPr>
            <w:tcW w:w="100" w:type="dxa"/>
            <w:shd w:val="clear" w:color="auto" w:fill="auto"/>
            <w:vAlign w:val="bottom"/>
          </w:tcPr>
          <w:p w14:paraId="407D2548" w14:textId="77777777" w:rsidR="008A103B" w:rsidRPr="00D04EC1" w:rsidRDefault="008A103B" w:rsidP="006F3CCC">
            <w:pPr>
              <w:widowControl/>
              <w:spacing w:line="0" w:lineRule="atLeast"/>
              <w:jc w:val="left"/>
            </w:pPr>
          </w:p>
        </w:tc>
        <w:tc>
          <w:tcPr>
            <w:tcW w:w="420" w:type="dxa"/>
            <w:gridSpan w:val="2"/>
            <w:shd w:val="clear" w:color="auto" w:fill="auto"/>
            <w:vAlign w:val="bottom"/>
          </w:tcPr>
          <w:p w14:paraId="1C0C04AA" w14:textId="77777777" w:rsidR="008A103B" w:rsidRPr="00D04EC1" w:rsidRDefault="008A103B" w:rsidP="006F3CCC">
            <w:pPr>
              <w:widowControl/>
              <w:spacing w:line="0" w:lineRule="atLeast"/>
              <w:jc w:val="left"/>
            </w:pPr>
          </w:p>
        </w:tc>
      </w:tr>
    </w:tbl>
    <w:p w14:paraId="5484B0CE" w14:textId="51CE002D" w:rsidR="008A103B" w:rsidRPr="00D04EC1" w:rsidRDefault="008A103B" w:rsidP="008A103B">
      <w:pPr>
        <w:autoSpaceDE w:val="0"/>
        <w:autoSpaceDN w:val="0"/>
        <w:adjustRightInd w:val="0"/>
        <w:jc w:val="left"/>
      </w:pPr>
      <w:r w:rsidRPr="00D04EC1">
        <w:rPr>
          <w:rFonts w:hint="eastAsia"/>
        </w:rPr>
        <w:t>若</w:t>
      </w:r>
      <w:r w:rsidRPr="00D04EC1">
        <w:t>Ki-67</w:t>
      </w:r>
      <w:r w:rsidRPr="00D04EC1">
        <w:rPr>
          <w:rFonts w:hint="eastAsia"/>
        </w:rPr>
        <w:t>指数与核分裂象数所属分级不一致，则采纳分级较高的结果。混合型神经内分泌癌（</w:t>
      </w:r>
      <w:r w:rsidRPr="00D04EC1">
        <w:t>mixed adenoneuroendocrinecarcinomas</w:t>
      </w:r>
      <w:r w:rsidRPr="00D04EC1">
        <w:rPr>
          <w:rFonts w:hint="eastAsia"/>
        </w:rPr>
        <w:t>，</w:t>
      </w:r>
      <w:r w:rsidRPr="00D04EC1">
        <w:t>MANECs</w:t>
      </w:r>
      <w:r w:rsidRPr="00D04EC1">
        <w:rPr>
          <w:rFonts w:hint="eastAsia"/>
        </w:rPr>
        <w:t>）属于</w:t>
      </w:r>
      <w:r w:rsidRPr="00D04EC1">
        <w:t xml:space="preserve">G3 </w:t>
      </w:r>
      <w:r w:rsidRPr="00D04EC1">
        <w:rPr>
          <w:rFonts w:hint="eastAsia"/>
        </w:rPr>
        <w:t>级，主要由腺癌和神经例的</w:t>
      </w:r>
      <w:r w:rsidRPr="00D04EC1">
        <w:t>30%</w:t>
      </w:r>
      <w:r w:rsidRPr="00D04EC1">
        <w:rPr>
          <w:rFonts w:hint="eastAsia"/>
        </w:rPr>
        <w:t>），含有鳞癌成分的</w:t>
      </w:r>
      <w:r w:rsidRPr="00D04EC1">
        <w:t xml:space="preserve">MANECs </w:t>
      </w:r>
      <w:r w:rsidRPr="00D04EC1">
        <w:rPr>
          <w:rFonts w:hint="eastAsia"/>
        </w:rPr>
        <w:t>较罕见</w:t>
      </w:r>
      <w:r w:rsidR="009321A3" w:rsidRPr="00097C84">
        <w:rPr>
          <w:rFonts w:hint="eastAsia"/>
          <w:sz w:val="10"/>
          <w:szCs w:val="10"/>
        </w:rPr>
        <w:t>【</w:t>
      </w:r>
      <w:r w:rsidRPr="00097C84">
        <w:rPr>
          <w:rFonts w:hint="eastAsia"/>
          <w:sz w:val="10"/>
          <w:szCs w:val="10"/>
        </w:rPr>
        <w:t>16</w:t>
      </w:r>
      <w:r w:rsidR="009321A3" w:rsidRPr="00097C84">
        <w:rPr>
          <w:rFonts w:hint="eastAsia"/>
          <w:sz w:val="10"/>
          <w:szCs w:val="10"/>
        </w:rPr>
        <w:t>】</w:t>
      </w:r>
      <w:r w:rsidRPr="00D04EC1">
        <w:rPr>
          <w:rFonts w:hint="eastAsia"/>
        </w:rPr>
        <w:t>。</w:t>
      </w:r>
    </w:p>
    <w:p w14:paraId="1D7058BE" w14:textId="007AA1F4" w:rsidR="008A103B" w:rsidRDefault="008A103B" w:rsidP="00D04EC1">
      <w:pPr>
        <w:autoSpaceDE w:val="0"/>
        <w:autoSpaceDN w:val="0"/>
        <w:adjustRightInd w:val="0"/>
        <w:jc w:val="left"/>
      </w:pPr>
    </w:p>
    <w:p w14:paraId="63AC98BE" w14:textId="603D2165" w:rsidR="002744A0" w:rsidRDefault="002744A0" w:rsidP="009321A3">
      <w:pPr>
        <w:autoSpaceDE w:val="0"/>
        <w:autoSpaceDN w:val="0"/>
        <w:adjustRightInd w:val="0"/>
        <w:ind w:firstLineChars="200" w:firstLine="420"/>
        <w:jc w:val="left"/>
      </w:pPr>
      <w:r>
        <w:rPr>
          <w:rFonts w:hint="eastAsia"/>
        </w:rPr>
        <w:t>4，组织学表现</w:t>
      </w:r>
    </w:p>
    <w:p w14:paraId="20E2901D" w14:textId="6F3C12C4" w:rsidR="002744A0" w:rsidRPr="009321A3" w:rsidRDefault="002744A0" w:rsidP="009321A3">
      <w:pPr>
        <w:autoSpaceDE w:val="0"/>
        <w:autoSpaceDN w:val="0"/>
        <w:adjustRightInd w:val="0"/>
        <w:ind w:firstLineChars="200" w:firstLine="420"/>
        <w:jc w:val="left"/>
      </w:pPr>
      <w:r w:rsidRPr="009321A3">
        <w:t xml:space="preserve">G1 </w:t>
      </w:r>
      <w:r w:rsidRPr="009321A3">
        <w:rPr>
          <w:rFonts w:hint="eastAsia"/>
        </w:rPr>
        <w:t>级</w:t>
      </w:r>
      <w:r w:rsidRPr="009321A3">
        <w:t xml:space="preserve">R-NENs </w:t>
      </w:r>
      <w:r w:rsidRPr="009321A3">
        <w:rPr>
          <w:rFonts w:hint="eastAsia"/>
        </w:rPr>
        <w:t>的组织学形态呈带状或回旋状排列，具有管状或宽的菊形团样的不规则梁状排列，也可为实性巢团或者类器官结构；肿瘤细胞大小均匀，核规则，呈圆形或卵圆形，染色质粗颗粒状核仁不明显，一般无细胞异型性。</w:t>
      </w:r>
      <w:r w:rsidRPr="009321A3">
        <w:t xml:space="preserve">G2 </w:t>
      </w:r>
      <w:r w:rsidRPr="009321A3">
        <w:rPr>
          <w:rFonts w:hint="eastAsia"/>
        </w:rPr>
        <w:t>级</w:t>
      </w:r>
      <w:r w:rsidRPr="009321A3">
        <w:t xml:space="preserve">R-NENs </w:t>
      </w:r>
      <w:r w:rsidRPr="009321A3">
        <w:rPr>
          <w:rFonts w:hint="eastAsia"/>
        </w:rPr>
        <w:t>的组织学形态与</w:t>
      </w:r>
      <w:r w:rsidRPr="009321A3">
        <w:t xml:space="preserve">G1 </w:t>
      </w:r>
      <w:r w:rsidRPr="009321A3">
        <w:rPr>
          <w:rFonts w:hint="eastAsia"/>
        </w:rPr>
        <w:t>级类似，呈菊形团样、实性巢团或者类器官结构，细胞大小较均匀，呈圆形或卵圆形，坏死少见，散在核分裂象.</w:t>
      </w:r>
      <w:r w:rsidRPr="009321A3">
        <w:t xml:space="preserve"> G3 </w:t>
      </w:r>
      <w:r w:rsidRPr="009321A3">
        <w:rPr>
          <w:rFonts w:hint="eastAsia"/>
        </w:rPr>
        <w:t>级</w:t>
      </w:r>
      <w:r w:rsidRPr="009321A3">
        <w:t xml:space="preserve">R-NENs </w:t>
      </w:r>
      <w:r w:rsidRPr="009321A3">
        <w:rPr>
          <w:rFonts w:hint="eastAsia"/>
        </w:rPr>
        <w:t>是低分化神经内分泌肿瘤，包括小细胞癌和大细胞癌。小细胞癌显示弥漫或巢状生长方式，由小至中等大小的细胞构成；小细胞癌的肿瘤细胞似淋巴细胞，细胞质稀少，核梭形，染色质颗粒状，核分裂象、坏死常见，可有一些稍大的细胞或者肿瘤细胞出现核仁。大细胞癌的体积大，其体积常大于</w:t>
      </w:r>
      <w:r w:rsidRPr="009321A3">
        <w:t xml:space="preserve">3 </w:t>
      </w:r>
      <w:r w:rsidRPr="009321A3">
        <w:rPr>
          <w:rFonts w:hint="eastAsia"/>
        </w:rPr>
        <w:t>个淋巴细胞，肿瘤呈器官样、巢状、梁状、菊形团样或栅栏状，大片状坏死常见</w:t>
      </w:r>
      <w:r w:rsidRPr="00097C84">
        <w:rPr>
          <w:rFonts w:hint="eastAsia"/>
          <w:sz w:val="10"/>
          <w:szCs w:val="10"/>
        </w:rPr>
        <w:t>【3</w:t>
      </w:r>
      <w:r w:rsidR="00170DA0" w:rsidRPr="00097C84">
        <w:rPr>
          <w:rFonts w:hint="eastAsia"/>
          <w:sz w:val="10"/>
          <w:szCs w:val="10"/>
        </w:rPr>
        <w:t>8</w:t>
      </w:r>
      <w:r w:rsidRPr="00097C84">
        <w:rPr>
          <w:rFonts w:hint="eastAsia"/>
          <w:sz w:val="10"/>
          <w:szCs w:val="10"/>
        </w:rPr>
        <w:t>】</w:t>
      </w:r>
      <w:r w:rsidR="009321A3">
        <w:rPr>
          <w:rFonts w:hint="eastAsia"/>
        </w:rPr>
        <w:t>。</w:t>
      </w:r>
    </w:p>
    <w:p w14:paraId="3EFE7C18" w14:textId="77777777" w:rsidR="002744A0" w:rsidRPr="00D04EC1" w:rsidRDefault="002744A0" w:rsidP="009321A3">
      <w:pPr>
        <w:autoSpaceDE w:val="0"/>
        <w:autoSpaceDN w:val="0"/>
        <w:adjustRightInd w:val="0"/>
        <w:ind w:firstLineChars="200" w:firstLine="420"/>
        <w:jc w:val="left"/>
      </w:pPr>
      <w:r>
        <w:rPr>
          <w:rFonts w:hint="eastAsia"/>
        </w:rPr>
        <w:t>5，</w:t>
      </w:r>
      <w:r w:rsidRPr="00D04EC1">
        <w:rPr>
          <w:rFonts w:hint="eastAsia"/>
        </w:rPr>
        <w:t>免疫组织化学检查</w:t>
      </w:r>
    </w:p>
    <w:p w14:paraId="55F1F986" w14:textId="28A58B67" w:rsidR="002744A0" w:rsidRPr="009321A3" w:rsidRDefault="002744A0" w:rsidP="009321A3">
      <w:pPr>
        <w:autoSpaceDE w:val="0"/>
        <w:autoSpaceDN w:val="0"/>
        <w:adjustRightInd w:val="0"/>
        <w:ind w:firstLineChars="200" w:firstLine="420"/>
        <w:jc w:val="left"/>
      </w:pPr>
      <w:r w:rsidRPr="00D04EC1">
        <w:rPr>
          <w:rFonts w:hint="eastAsia"/>
        </w:rPr>
        <w:t>免疫组织化学检查对辅助诊断直肠神经内分泌肿瘤有独特诊断价值。囊泡突触素（</w:t>
      </w:r>
      <w:r w:rsidRPr="00D04EC1">
        <w:t>Synaptophysin</w:t>
      </w:r>
      <w:r w:rsidRPr="00D04EC1">
        <w:rPr>
          <w:rFonts w:hint="eastAsia"/>
        </w:rPr>
        <w:t>）</w:t>
      </w:r>
      <w:r w:rsidRPr="00D04EC1">
        <w:t>Syn</w:t>
      </w:r>
      <w:r w:rsidRPr="00D04EC1">
        <w:rPr>
          <w:rFonts w:hint="eastAsia"/>
        </w:rPr>
        <w:t>、嗜铬粒素（</w:t>
      </w:r>
      <w:r w:rsidRPr="00D04EC1">
        <w:t>Chromogranin</w:t>
      </w:r>
      <w:r w:rsidRPr="00D04EC1">
        <w:rPr>
          <w:rFonts w:hint="eastAsia"/>
        </w:rPr>
        <w:t>）</w:t>
      </w:r>
      <w:r w:rsidRPr="00D04EC1">
        <w:t>A</w:t>
      </w:r>
      <w:r w:rsidRPr="00D04EC1">
        <w:rPr>
          <w:rFonts w:hint="eastAsia"/>
        </w:rPr>
        <w:t>，</w:t>
      </w:r>
      <w:r w:rsidRPr="00D04EC1">
        <w:t>CgA</w:t>
      </w:r>
      <w:r w:rsidRPr="00D04EC1">
        <w:rPr>
          <w:rFonts w:hint="eastAsia"/>
        </w:rPr>
        <w:t>）及神经特异性烯醇化酶（</w:t>
      </w:r>
      <w:r w:rsidRPr="00D04EC1">
        <w:t>NSE</w:t>
      </w:r>
      <w:r w:rsidRPr="00D04EC1">
        <w:rPr>
          <w:rFonts w:hint="eastAsia"/>
        </w:rPr>
        <w:t>）是目前公认的通用标志物</w:t>
      </w:r>
      <w:r w:rsidR="009321A3" w:rsidRPr="00097C84">
        <w:rPr>
          <w:rFonts w:hint="eastAsia"/>
          <w:sz w:val="10"/>
          <w:szCs w:val="10"/>
        </w:rPr>
        <w:t>【</w:t>
      </w:r>
      <w:r w:rsidRPr="00097C84">
        <w:rPr>
          <w:sz w:val="10"/>
          <w:szCs w:val="10"/>
        </w:rPr>
        <w:t>12</w:t>
      </w:r>
      <w:r w:rsidR="009321A3" w:rsidRPr="00097C84">
        <w:rPr>
          <w:rFonts w:hint="eastAsia"/>
          <w:sz w:val="10"/>
          <w:szCs w:val="10"/>
        </w:rPr>
        <w:t>】</w:t>
      </w:r>
      <w:r w:rsidRPr="00D04EC1">
        <w:rPr>
          <w:rFonts w:hint="eastAsia"/>
        </w:rPr>
        <w:t>。</w:t>
      </w:r>
      <w:r w:rsidRPr="00D04EC1">
        <w:t>Secretagogin</w:t>
      </w:r>
      <w:r w:rsidRPr="00D04EC1">
        <w:rPr>
          <w:rFonts w:hint="eastAsia"/>
        </w:rPr>
        <w:t>作为一个新的神经内分泌肿瘤标志物，阳性表达率较高</w:t>
      </w:r>
      <w:r w:rsidR="009321A3">
        <w:rPr>
          <w:rFonts w:hint="eastAsia"/>
        </w:rPr>
        <w:t>。</w:t>
      </w:r>
      <w:r w:rsidR="009321A3" w:rsidRPr="009321A3">
        <w:rPr>
          <w:rFonts w:hint="eastAsia"/>
        </w:rPr>
        <w:t xml:space="preserve"> </w:t>
      </w:r>
    </w:p>
    <w:p w14:paraId="01F43EB8" w14:textId="5249BE0D" w:rsidR="006F3CCC" w:rsidRPr="00D04EC1" w:rsidRDefault="002744A0" w:rsidP="009321A3">
      <w:pPr>
        <w:autoSpaceDE w:val="0"/>
        <w:autoSpaceDN w:val="0"/>
        <w:adjustRightInd w:val="0"/>
        <w:ind w:firstLineChars="200" w:firstLine="420"/>
        <w:jc w:val="left"/>
      </w:pPr>
      <w:r>
        <w:rPr>
          <w:rFonts w:hint="eastAsia"/>
        </w:rPr>
        <w:t>6，</w:t>
      </w:r>
      <w:r w:rsidR="006A1823" w:rsidRPr="00D04EC1">
        <w:rPr>
          <w:rFonts w:hint="eastAsia"/>
        </w:rPr>
        <w:t>影像学检查</w:t>
      </w:r>
    </w:p>
    <w:p w14:paraId="5BF51AEA" w14:textId="45164B08" w:rsidR="008A103B" w:rsidRPr="00D04EC1" w:rsidRDefault="008A103B" w:rsidP="009321A3">
      <w:pPr>
        <w:autoSpaceDE w:val="0"/>
        <w:autoSpaceDN w:val="0"/>
        <w:adjustRightInd w:val="0"/>
        <w:ind w:firstLineChars="200" w:firstLine="420"/>
        <w:jc w:val="left"/>
      </w:pPr>
      <w:r w:rsidRPr="00D04EC1">
        <w:rPr>
          <w:rFonts w:hint="eastAsia"/>
        </w:rPr>
        <w:t>腔内超声</w:t>
      </w:r>
      <w:r w:rsidRPr="00D04EC1">
        <w:t xml:space="preserve">( TEUS) </w:t>
      </w:r>
      <w:r w:rsidRPr="00D04EC1">
        <w:rPr>
          <w:rFonts w:hint="eastAsia"/>
        </w:rPr>
        <w:t>、</w:t>
      </w:r>
      <w:r w:rsidRPr="00D04EC1">
        <w:t>M</w:t>
      </w:r>
      <w:r w:rsidRPr="00D04EC1">
        <w:rPr>
          <w:rFonts w:hint="eastAsia"/>
        </w:rPr>
        <w:t>Ｒ</w:t>
      </w:r>
      <w:r w:rsidRPr="00D04EC1">
        <w:t>I</w:t>
      </w:r>
      <w:r w:rsidRPr="00D04EC1">
        <w:rPr>
          <w:rFonts w:hint="eastAsia"/>
        </w:rPr>
        <w:t>、</w:t>
      </w:r>
      <w:r w:rsidRPr="00D04EC1">
        <w:t xml:space="preserve">PET/CT </w:t>
      </w:r>
      <w:r w:rsidRPr="00D04EC1">
        <w:rPr>
          <w:rFonts w:hint="eastAsia"/>
        </w:rPr>
        <w:t>以及生长抑素受体显像</w:t>
      </w:r>
      <w:r w:rsidRPr="00D04EC1">
        <w:t>( S</w:t>
      </w:r>
      <w:r w:rsidRPr="00D04EC1">
        <w:rPr>
          <w:rFonts w:hint="eastAsia"/>
        </w:rPr>
        <w:t>Ｒ</w:t>
      </w:r>
      <w:r w:rsidRPr="00D04EC1">
        <w:t xml:space="preserve">S) </w:t>
      </w:r>
      <w:r w:rsidRPr="00D04EC1">
        <w:rPr>
          <w:rFonts w:hint="eastAsia"/>
        </w:rPr>
        <w:t>等。对于直径＜</w:t>
      </w:r>
      <w:r w:rsidRPr="00D04EC1">
        <w:t xml:space="preserve">1 cm </w:t>
      </w:r>
      <w:r w:rsidRPr="00D04EC1">
        <w:rPr>
          <w:rFonts w:hint="eastAsia"/>
        </w:rPr>
        <w:t>且完全切除的结直肠病灶，不需要额外的检查或随访，因肠镜早期发现病变并予相应的内镜下治疗，随访预后良好，转移风险低。而对于≥</w:t>
      </w:r>
      <w:r w:rsidRPr="00D04EC1">
        <w:t xml:space="preserve">1 cm </w:t>
      </w:r>
      <w:r w:rsidRPr="00D04EC1">
        <w:rPr>
          <w:rFonts w:hint="eastAsia"/>
        </w:rPr>
        <w:t>的结直肠</w:t>
      </w:r>
      <w:r w:rsidRPr="00D04EC1">
        <w:t>NETs</w:t>
      </w:r>
      <w:r w:rsidRPr="00D04EC1">
        <w:rPr>
          <w:rFonts w:hint="eastAsia"/>
        </w:rPr>
        <w:t>，与结直肠腺癌一样，腔内超声经常联合</w:t>
      </w:r>
      <w:r w:rsidRPr="00D04EC1">
        <w:t>M</w:t>
      </w:r>
      <w:r w:rsidRPr="00D04EC1">
        <w:rPr>
          <w:rFonts w:hint="eastAsia"/>
        </w:rPr>
        <w:t>Ｒ</w:t>
      </w:r>
      <w:r w:rsidRPr="00D04EC1">
        <w:t xml:space="preserve">I </w:t>
      </w:r>
      <w:r w:rsidRPr="00D04EC1">
        <w:rPr>
          <w:rFonts w:hint="eastAsia"/>
        </w:rPr>
        <w:t>用于评估肿瘤大小，浸润深度和淋巴结受累情况。当肿瘤为</w:t>
      </w:r>
      <w:r w:rsidRPr="00D04EC1">
        <w:t>T2</w:t>
      </w:r>
      <w:r w:rsidRPr="00D04EC1">
        <w:rPr>
          <w:rFonts w:hint="eastAsia"/>
        </w:rPr>
        <w:t>～</w:t>
      </w:r>
      <w:r w:rsidRPr="00D04EC1">
        <w:t xml:space="preserve"> T4 </w:t>
      </w:r>
      <w:r w:rsidRPr="00D04EC1">
        <w:rPr>
          <w:rFonts w:hint="eastAsia"/>
        </w:rPr>
        <w:t>期时均应进行腹部和盆腔的多期</w:t>
      </w:r>
      <w:r w:rsidRPr="00D04EC1">
        <w:t xml:space="preserve">CT </w:t>
      </w:r>
      <w:r w:rsidRPr="00D04EC1">
        <w:rPr>
          <w:rFonts w:hint="eastAsia"/>
        </w:rPr>
        <w:t>或</w:t>
      </w:r>
      <w:r w:rsidRPr="00D04EC1">
        <w:t>M</w:t>
      </w:r>
      <w:r w:rsidRPr="00D04EC1">
        <w:rPr>
          <w:rFonts w:hint="eastAsia"/>
        </w:rPr>
        <w:t>Ｒ</w:t>
      </w:r>
      <w:r w:rsidRPr="00D04EC1">
        <w:t xml:space="preserve">I </w:t>
      </w:r>
      <w:r w:rsidRPr="00D04EC1">
        <w:rPr>
          <w:rFonts w:hint="eastAsia"/>
        </w:rPr>
        <w:t>以排除转移性疾病</w:t>
      </w:r>
      <w:r w:rsidRPr="00097C84">
        <w:rPr>
          <w:rFonts w:hint="eastAsia"/>
          <w:sz w:val="10"/>
          <w:szCs w:val="10"/>
        </w:rPr>
        <w:t>【15】</w:t>
      </w:r>
      <w:r w:rsidRPr="00D04EC1">
        <w:rPr>
          <w:rFonts w:hint="eastAsia"/>
        </w:rPr>
        <w:t>。</w:t>
      </w:r>
    </w:p>
    <w:p w14:paraId="6EFE3D46" w14:textId="2A81A9C8" w:rsidR="0044383A" w:rsidRPr="00D04EC1" w:rsidRDefault="0044383A" w:rsidP="0044383A">
      <w:pPr>
        <w:autoSpaceDE w:val="0"/>
        <w:autoSpaceDN w:val="0"/>
        <w:adjustRightInd w:val="0"/>
        <w:jc w:val="left"/>
      </w:pPr>
    </w:p>
    <w:p w14:paraId="4B5B212B" w14:textId="2D8F8D5A" w:rsidR="0044383A" w:rsidRPr="00D04EC1" w:rsidRDefault="0044383A" w:rsidP="003C70FA">
      <w:pPr>
        <w:pStyle w:val="a3"/>
        <w:numPr>
          <w:ilvl w:val="0"/>
          <w:numId w:val="5"/>
        </w:numPr>
        <w:autoSpaceDE w:val="0"/>
        <w:autoSpaceDN w:val="0"/>
        <w:adjustRightInd w:val="0"/>
        <w:ind w:firstLineChars="0"/>
        <w:jc w:val="left"/>
      </w:pPr>
      <w:r w:rsidRPr="00D04EC1">
        <w:rPr>
          <w:rFonts w:hint="eastAsia"/>
        </w:rPr>
        <w:t>治疗</w:t>
      </w:r>
    </w:p>
    <w:p w14:paraId="2A740983" w14:textId="77777777" w:rsidR="003C70FA" w:rsidRDefault="0009146F" w:rsidP="003C70FA">
      <w:pPr>
        <w:widowControl/>
        <w:shd w:val="clear" w:color="auto" w:fill="FFFFFF"/>
        <w:spacing w:before="166" w:after="166"/>
        <w:ind w:firstLineChars="200" w:firstLine="420"/>
        <w:jc w:val="left"/>
      </w:pPr>
      <w:r w:rsidRPr="00D04EC1">
        <w:lastRenderedPageBreak/>
        <w:t>手术切除被认为是最合适的治疗方法。常见的手术方法有内镜黏膜下剥离术、内镜黏膜切除术、经肛门内镜显微手术、前切除术和会阴切除术。手术方法的选择取决于肿瘤的大小、浸润深度、区域淋巴结、远处转移和肿瘤的恶性程度。2010年直肠神经内分泌癌诊断和治疗指南表明，内镜下切除或内镜解剖是直肠类癌的首选，其恶性程度较低，粘膜或粘膜下层的大小不超过2cm。而直径大于2cm的肿瘤表现为血管内肌层浸润和血管转移，需手术治疗。</w:t>
      </w:r>
      <w:r w:rsidR="00FF4409" w:rsidRPr="00D04EC1">
        <w:t>目前公布的指导方针推荐局部内镜切除直肠</w:t>
      </w:r>
      <w:r w:rsidR="00FF4409" w:rsidRPr="00D04EC1">
        <w:rPr>
          <w:rFonts w:hint="eastAsia"/>
        </w:rPr>
        <w:t>神经内分泌肿瘤</w:t>
      </w:r>
      <w:r w:rsidR="00FF4409" w:rsidRPr="00D04EC1">
        <w:t>≤10 mm，无转移危险因素。一项研究表明，直肠</w:t>
      </w:r>
      <w:r w:rsidR="00FF4409" w:rsidRPr="00D04EC1">
        <w:rPr>
          <w:rFonts w:hint="eastAsia"/>
        </w:rPr>
        <w:t>神经内分泌肿瘤</w:t>
      </w:r>
      <w:r w:rsidR="00FF4409" w:rsidRPr="00D04EC1">
        <w:t>≤10 mm，不侵犯固有肌，未见凹陷或溃疡，可安全地局部切除</w:t>
      </w:r>
      <w:r w:rsidR="003C70FA" w:rsidRPr="00097C84">
        <w:rPr>
          <w:rFonts w:hint="eastAsia"/>
          <w:sz w:val="10"/>
          <w:szCs w:val="10"/>
        </w:rPr>
        <w:t>【</w:t>
      </w:r>
      <w:r w:rsidR="00FF4409" w:rsidRPr="00097C84">
        <w:rPr>
          <w:rFonts w:hint="eastAsia"/>
          <w:sz w:val="10"/>
          <w:szCs w:val="10"/>
        </w:rPr>
        <w:t>21</w:t>
      </w:r>
      <w:r w:rsidR="003C70FA" w:rsidRPr="00097C84">
        <w:rPr>
          <w:rFonts w:hint="eastAsia"/>
          <w:sz w:val="10"/>
          <w:szCs w:val="10"/>
        </w:rPr>
        <w:t>】</w:t>
      </w:r>
      <w:r w:rsidR="00FF4409" w:rsidRPr="00D04EC1">
        <w:t>。直肠</w:t>
      </w:r>
      <w:r w:rsidR="00FF4409" w:rsidRPr="00D04EC1">
        <w:rPr>
          <w:rFonts w:hint="eastAsia"/>
        </w:rPr>
        <w:t>神经内分泌肿瘤</w:t>
      </w:r>
      <w:r w:rsidR="00FF4409" w:rsidRPr="00D04EC1">
        <w:t>在10-20毫米之间已经引发了</w:t>
      </w:r>
      <w:r w:rsidR="003C70FA">
        <w:rPr>
          <w:rFonts w:hint="eastAsia"/>
        </w:rPr>
        <w:t>很</w:t>
      </w:r>
      <w:r w:rsidR="00FF4409" w:rsidRPr="00D04EC1">
        <w:t>多的争议，可以通过内镜或手术来处理，视阶段/等级而定。或者，大于20 mm的大病变应该像直肠腺癌那样接受低位前切除术，或者在罕见的情况下，腹部会阴切除术</w:t>
      </w:r>
      <w:r w:rsidR="003C70FA" w:rsidRPr="00097C84">
        <w:rPr>
          <w:rFonts w:hint="eastAsia"/>
          <w:sz w:val="10"/>
          <w:szCs w:val="10"/>
        </w:rPr>
        <w:t>【</w:t>
      </w:r>
      <w:r w:rsidR="00FF4409" w:rsidRPr="00097C84">
        <w:rPr>
          <w:rFonts w:hint="eastAsia"/>
          <w:sz w:val="10"/>
          <w:szCs w:val="10"/>
        </w:rPr>
        <w:t>20</w:t>
      </w:r>
      <w:r w:rsidR="003C70FA" w:rsidRPr="00097C84">
        <w:rPr>
          <w:rFonts w:hint="eastAsia"/>
          <w:sz w:val="10"/>
          <w:szCs w:val="10"/>
        </w:rPr>
        <w:t>】</w:t>
      </w:r>
      <w:r w:rsidR="003C70FA">
        <w:rPr>
          <w:rFonts w:hint="eastAsia"/>
        </w:rPr>
        <w:t>。</w:t>
      </w:r>
      <w:r w:rsidR="00FF4409" w:rsidRPr="00D04EC1">
        <w:t>在内镜下切除直肠</w:t>
      </w:r>
      <w:r w:rsidR="00FF4409" w:rsidRPr="00D04EC1">
        <w:rPr>
          <w:rFonts w:hint="eastAsia"/>
        </w:rPr>
        <w:t>神经内分泌肿瘤</w:t>
      </w:r>
      <w:r w:rsidR="00FF4409" w:rsidRPr="00D04EC1">
        <w:t>(≤10 mm)，包括内镜黏膜切除(EMR)、改良EMR(m-EMR)(如带结扎)和内镜黏膜下剥离(ESD)，多种治疗方法已成为目前的热门选择。许多直肠</w:t>
      </w:r>
      <w:r w:rsidR="00FF4409" w:rsidRPr="00D04EC1">
        <w:rPr>
          <w:rFonts w:hint="eastAsia"/>
        </w:rPr>
        <w:t>神经内分泌肿瘤</w:t>
      </w:r>
      <w:r w:rsidR="00FF4409" w:rsidRPr="00D04EC1">
        <w:t>通常是偶然发现的，并在病灶切除后</w:t>
      </w:r>
      <w:r w:rsidR="00FF4409" w:rsidRPr="00D04EC1">
        <w:rPr>
          <w:rFonts w:hint="eastAsia"/>
        </w:rPr>
        <w:t>进行</w:t>
      </w:r>
      <w:r w:rsidR="003C70FA">
        <w:rPr>
          <w:rFonts w:hint="eastAsia"/>
        </w:rPr>
        <w:t>了</w:t>
      </w:r>
      <w:r w:rsidR="00FF4409" w:rsidRPr="00D04EC1">
        <w:t>回顾性诊断</w:t>
      </w:r>
      <w:r w:rsidR="00FF4409" w:rsidRPr="00097C84">
        <w:rPr>
          <w:rFonts w:hint="eastAsia"/>
          <w:sz w:val="10"/>
          <w:szCs w:val="10"/>
        </w:rPr>
        <w:t>【19】</w:t>
      </w:r>
      <w:r w:rsidR="00FF4409" w:rsidRPr="00D04EC1">
        <w:rPr>
          <w:rFonts w:hint="eastAsia"/>
        </w:rPr>
        <w:t>。</w:t>
      </w:r>
      <w:r w:rsidR="00B3546D" w:rsidRPr="00D04EC1">
        <w:t>目前，只有完全切除才是治疗直肠</w:t>
      </w:r>
      <w:r w:rsidR="00B3546D" w:rsidRPr="00D04EC1">
        <w:rPr>
          <w:rFonts w:hint="eastAsia"/>
        </w:rPr>
        <w:t>神经内分泌肿瘤</w:t>
      </w:r>
      <w:r w:rsidR="00B3546D" w:rsidRPr="00D04EC1">
        <w:t>的唯一有效方法。位于粘膜下层的&lt;1cm的直肠</w:t>
      </w:r>
      <w:r w:rsidR="00B3546D" w:rsidRPr="00D04EC1">
        <w:rPr>
          <w:rFonts w:hint="eastAsia"/>
        </w:rPr>
        <w:t>神经内分泌肿瘤</w:t>
      </w:r>
      <w:r w:rsidR="00B3546D" w:rsidRPr="00D04EC1">
        <w:t>由于转移风险低(&lt;3%)，可经内镜切除。</w:t>
      </w:r>
      <w:r w:rsidR="00B3546D" w:rsidRPr="00097C84">
        <w:rPr>
          <w:rFonts w:hint="eastAsia"/>
          <w:sz w:val="10"/>
          <w:szCs w:val="10"/>
        </w:rPr>
        <w:t>【33</w:t>
      </w:r>
      <w:r w:rsidR="00B3546D" w:rsidRPr="00097C84">
        <w:rPr>
          <w:sz w:val="10"/>
          <w:szCs w:val="10"/>
        </w:rPr>
        <w:t>,</w:t>
      </w:r>
      <w:r w:rsidR="00B3546D" w:rsidRPr="00097C84">
        <w:rPr>
          <w:rFonts w:hint="eastAsia"/>
          <w:sz w:val="10"/>
          <w:szCs w:val="10"/>
        </w:rPr>
        <w:t>34</w:t>
      </w:r>
      <w:r w:rsidR="003C70FA" w:rsidRPr="00097C84">
        <w:rPr>
          <w:rFonts w:hint="eastAsia"/>
          <w:sz w:val="10"/>
          <w:szCs w:val="10"/>
        </w:rPr>
        <w:t>】</w:t>
      </w:r>
      <w:r w:rsidR="00B3546D" w:rsidRPr="00D04EC1">
        <w:t>。然而，其他危险因素(有丝分裂率&gt;2/10 HPF或淋巴血管浸润)也应在内镜下肿瘤切除后监测，如果发现任何已知的危险因素，应考虑手术切除。如果病灶&gt;2cm，转移风险较高(60-80%)，需要根治性手术切除全直肠系膜</w:t>
      </w:r>
      <w:r w:rsidR="00B3546D" w:rsidRPr="00097C84">
        <w:rPr>
          <w:rFonts w:hint="eastAsia"/>
          <w:sz w:val="10"/>
          <w:szCs w:val="10"/>
        </w:rPr>
        <w:t>【32</w:t>
      </w:r>
      <w:r w:rsidR="00B3546D" w:rsidRPr="00097C84">
        <w:rPr>
          <w:sz w:val="10"/>
          <w:szCs w:val="10"/>
        </w:rPr>
        <w:t>,</w:t>
      </w:r>
      <w:r w:rsidR="00B3546D" w:rsidRPr="00097C84">
        <w:rPr>
          <w:rFonts w:hint="eastAsia"/>
          <w:sz w:val="10"/>
          <w:szCs w:val="10"/>
        </w:rPr>
        <w:t>33</w:t>
      </w:r>
      <w:r w:rsidR="003C70FA" w:rsidRPr="00097C84">
        <w:rPr>
          <w:rFonts w:hint="eastAsia"/>
          <w:sz w:val="10"/>
          <w:szCs w:val="10"/>
        </w:rPr>
        <w:t>】</w:t>
      </w:r>
      <w:r w:rsidR="003C70FA">
        <w:rPr>
          <w:rFonts w:hint="eastAsia"/>
        </w:rPr>
        <w:t>。</w:t>
      </w:r>
      <w:r w:rsidR="00B3546D" w:rsidRPr="00D04EC1">
        <w:t>如果肿瘤大小在1至2厘米之间，局限于粘膜下层，且缺乏上述任何危险因素，则对最佳治疗方式(内镜或经肛门切除与根治性手术切除)存在分歧；</w:t>
      </w:r>
      <w:r w:rsidR="003C70FA">
        <w:rPr>
          <w:rFonts w:hint="eastAsia"/>
        </w:rPr>
        <w:t>然</w:t>
      </w:r>
      <w:r w:rsidR="00B3546D" w:rsidRPr="00D04EC1">
        <w:t>而，内镜因其最小的侵袭性和较高的整体切除率而被优先考虑</w:t>
      </w:r>
      <w:r w:rsidR="003C70FA" w:rsidRPr="00097C84">
        <w:rPr>
          <w:rFonts w:hint="eastAsia"/>
          <w:sz w:val="10"/>
          <w:szCs w:val="10"/>
        </w:rPr>
        <w:t>【</w:t>
      </w:r>
      <w:r w:rsidR="00B3546D" w:rsidRPr="00097C84">
        <w:rPr>
          <w:rFonts w:hint="eastAsia"/>
          <w:sz w:val="10"/>
          <w:szCs w:val="10"/>
        </w:rPr>
        <w:t>35</w:t>
      </w:r>
      <w:r w:rsidR="003C70FA" w:rsidRPr="00097C84">
        <w:rPr>
          <w:rFonts w:hint="eastAsia"/>
          <w:sz w:val="10"/>
          <w:szCs w:val="10"/>
        </w:rPr>
        <w:t>】</w:t>
      </w:r>
      <w:r w:rsidR="00B3546D" w:rsidRPr="00D04EC1">
        <w:t>.</w:t>
      </w:r>
    </w:p>
    <w:p w14:paraId="66DD7AC5" w14:textId="324B613D" w:rsidR="00877C09" w:rsidRPr="00D04EC1" w:rsidRDefault="00FF4409" w:rsidP="003C70FA">
      <w:pPr>
        <w:widowControl/>
        <w:shd w:val="clear" w:color="auto" w:fill="FFFFFF"/>
        <w:spacing w:before="166" w:after="166"/>
        <w:ind w:firstLineChars="200" w:firstLine="420"/>
        <w:jc w:val="left"/>
      </w:pPr>
      <w:r w:rsidRPr="00D04EC1">
        <w:t>此外，鉴于大多数胃肠道肿瘤的恶性倾向和转移，除了外科手术外，直肠神经内分泌肿瘤还需要多学科和多种干预相结合。例如，生长抑素类似物和分子靶向药物如苏尼替尼和依洛利莫能抑制肿瘤生长，具有抗血管生成作用，并已成功地应用于临床。此外，化疗药物链脲佐菌素以及类似类型的替莫唑胺对神经内分泌癌标准化治疗失败的患者有一定的疗效。近年来，肽受体介导的放射受体治疗在缓解症状和缩小肿瘤方面取得了一定的</w:t>
      </w:r>
      <w:r w:rsidR="003C70FA">
        <w:rPr>
          <w:rFonts w:hint="eastAsia"/>
        </w:rPr>
        <w:t>效</w:t>
      </w:r>
      <w:r w:rsidRPr="00D04EC1">
        <w:t>果，但其严重的副作用限制了其使用和推广。虽然上述辅助治疗的长期疗效仍未得到充分证实，但多学科多系统联合治疗是神经内分泌肿瘤治疗的必然趋势</w:t>
      </w:r>
      <w:r w:rsidRPr="00097C84">
        <w:rPr>
          <w:rFonts w:hint="eastAsia"/>
          <w:sz w:val="10"/>
          <w:szCs w:val="10"/>
        </w:rPr>
        <w:t>【18】</w:t>
      </w:r>
      <w:r w:rsidRPr="00D04EC1">
        <w:t>。</w:t>
      </w:r>
      <w:r w:rsidR="002A1426" w:rsidRPr="00D04EC1">
        <w:t>奥曲肽LAR，在类癌综合征的治疗中显示出与短效制剂相似的疗效。如今，奥曲肽LAR已经取代了短效奥曲肽的治疗</w:t>
      </w:r>
      <w:r w:rsidR="002A1426" w:rsidRPr="00097C84">
        <w:rPr>
          <w:rFonts w:hint="eastAsia"/>
          <w:sz w:val="10"/>
          <w:szCs w:val="10"/>
        </w:rPr>
        <w:t>【22</w:t>
      </w:r>
      <w:r w:rsidR="002A1426" w:rsidRPr="00097C84">
        <w:rPr>
          <w:sz w:val="10"/>
          <w:szCs w:val="10"/>
        </w:rPr>
        <w:t>, </w:t>
      </w:r>
      <w:r w:rsidR="002A1426" w:rsidRPr="00097C84">
        <w:rPr>
          <w:rFonts w:hint="eastAsia"/>
          <w:sz w:val="10"/>
          <w:szCs w:val="10"/>
        </w:rPr>
        <w:t>2</w:t>
      </w:r>
      <w:r w:rsidR="00877C09" w:rsidRPr="00097C84">
        <w:rPr>
          <w:rFonts w:hint="eastAsia"/>
          <w:sz w:val="10"/>
          <w:szCs w:val="10"/>
        </w:rPr>
        <w:t>3</w:t>
      </w:r>
      <w:r w:rsidR="003C70FA" w:rsidRPr="00097C84">
        <w:rPr>
          <w:rFonts w:hint="eastAsia"/>
          <w:sz w:val="10"/>
          <w:szCs w:val="10"/>
        </w:rPr>
        <w:t>】</w:t>
      </w:r>
      <w:r w:rsidR="002A1426" w:rsidRPr="00D04EC1">
        <w:t>。有时，可以在长效配方中加入短效制剂，以控制临床症状</w:t>
      </w:r>
      <w:r w:rsidR="002A1426" w:rsidRPr="00D04EC1">
        <w:rPr>
          <w:rFonts w:hint="eastAsia"/>
        </w:rPr>
        <w:t>。</w:t>
      </w:r>
      <w:r w:rsidR="002A1426" w:rsidRPr="00D04EC1">
        <w:t>许多直肠</w:t>
      </w:r>
      <w:r w:rsidR="002A1426" w:rsidRPr="00D04EC1">
        <w:rPr>
          <w:rFonts w:hint="eastAsia"/>
        </w:rPr>
        <w:t>神经内分泌肿瘤</w:t>
      </w:r>
      <w:r w:rsidR="002A1426" w:rsidRPr="00D04EC1">
        <w:t>(G1和G2)表达大量生长抑素受体(2型)。因此，用卢氏进行放射性处理177-DOTATATE</w:t>
      </w:r>
      <w:r w:rsidR="00877C09" w:rsidRPr="00D04EC1">
        <w:rPr>
          <w:rFonts w:hint="eastAsia"/>
        </w:rPr>
        <w:t>看起来有希望</w:t>
      </w:r>
      <w:r w:rsidR="002A1426" w:rsidRPr="00D04EC1">
        <w:t>，尽管到目前为止还没有进行随机对照试验。NEC-G3约占所有胃肠道肿瘤的5%，Ki-67&gt;20%</w:t>
      </w:r>
      <w:r w:rsidR="003C70FA" w:rsidRPr="00097C84">
        <w:rPr>
          <w:rFonts w:hint="eastAsia"/>
          <w:sz w:val="10"/>
          <w:szCs w:val="10"/>
        </w:rPr>
        <w:t>【</w:t>
      </w:r>
      <w:r w:rsidR="00877C09" w:rsidRPr="00097C84">
        <w:rPr>
          <w:rFonts w:hint="eastAsia"/>
          <w:sz w:val="10"/>
          <w:szCs w:val="10"/>
        </w:rPr>
        <w:t>24</w:t>
      </w:r>
      <w:r w:rsidR="003C70FA" w:rsidRPr="00097C84">
        <w:rPr>
          <w:rFonts w:hint="eastAsia"/>
          <w:sz w:val="10"/>
          <w:szCs w:val="10"/>
        </w:rPr>
        <w:t>】</w:t>
      </w:r>
      <w:r w:rsidR="002A1426" w:rsidRPr="00D04EC1">
        <w:t>。</w:t>
      </w:r>
      <w:r w:rsidR="00877C09" w:rsidRPr="00D04EC1">
        <w:t>化疗是转移性疾病的主要护理手段。一线治疗通常包括顺铂或卡铂联合依托泊苷。其他化疗组合有依立替康/顺铂和奥沙利铂(XELOX/FOLFOX)或依立替康为基础的FOLFIRI方案</w:t>
      </w:r>
      <w:r w:rsidR="003C70FA" w:rsidRPr="00097C84">
        <w:rPr>
          <w:rFonts w:hint="eastAsia"/>
          <w:sz w:val="10"/>
          <w:szCs w:val="10"/>
        </w:rPr>
        <w:t>【</w:t>
      </w:r>
      <w:r w:rsidR="00877C09" w:rsidRPr="00097C84">
        <w:rPr>
          <w:rFonts w:hint="eastAsia"/>
          <w:sz w:val="10"/>
          <w:szCs w:val="10"/>
        </w:rPr>
        <w:t>25</w:t>
      </w:r>
      <w:r w:rsidR="00877C09" w:rsidRPr="00097C84">
        <w:rPr>
          <w:sz w:val="10"/>
          <w:szCs w:val="10"/>
        </w:rPr>
        <w:t>, </w:t>
      </w:r>
      <w:r w:rsidR="00877C09" w:rsidRPr="00097C84">
        <w:rPr>
          <w:rFonts w:hint="eastAsia"/>
          <w:sz w:val="10"/>
          <w:szCs w:val="10"/>
        </w:rPr>
        <w:t>26</w:t>
      </w:r>
      <w:r w:rsidR="003C70FA" w:rsidRPr="00097C84">
        <w:rPr>
          <w:rFonts w:hint="eastAsia"/>
          <w:sz w:val="10"/>
          <w:szCs w:val="10"/>
        </w:rPr>
        <w:t>】</w:t>
      </w:r>
      <w:r w:rsidR="00877C09" w:rsidRPr="00D04EC1">
        <w:t>。替莫唑胺单独或联合卡培他滨或贝伐单抗作为NECS的二线或三线治疗有效，Ki-67&lt;50%</w:t>
      </w:r>
      <w:r w:rsidR="003C70FA" w:rsidRPr="00097C84">
        <w:rPr>
          <w:rFonts w:hint="eastAsia"/>
          <w:sz w:val="10"/>
          <w:szCs w:val="10"/>
        </w:rPr>
        <w:t>【</w:t>
      </w:r>
      <w:r w:rsidR="00877C09" w:rsidRPr="00097C84">
        <w:rPr>
          <w:rFonts w:hint="eastAsia"/>
          <w:sz w:val="10"/>
          <w:szCs w:val="10"/>
        </w:rPr>
        <w:t>27</w:t>
      </w:r>
      <w:r w:rsidR="003C70FA" w:rsidRPr="00097C84">
        <w:rPr>
          <w:rFonts w:hint="eastAsia"/>
          <w:sz w:val="10"/>
          <w:szCs w:val="10"/>
        </w:rPr>
        <w:t>】</w:t>
      </w:r>
      <w:r w:rsidR="003C70FA">
        <w:rPr>
          <w:rFonts w:hint="eastAsia"/>
        </w:rPr>
        <w:t>。</w:t>
      </w:r>
    </w:p>
    <w:p w14:paraId="624E9403" w14:textId="2FDB6ACC" w:rsidR="00877C09" w:rsidRPr="00D04EC1" w:rsidRDefault="00877C09" w:rsidP="003C70FA">
      <w:pPr>
        <w:widowControl/>
        <w:shd w:val="clear" w:color="auto" w:fill="FFFFFF"/>
        <w:spacing w:before="166" w:after="166"/>
        <w:ind w:firstLineChars="200" w:firstLine="420"/>
        <w:jc w:val="left"/>
      </w:pPr>
      <w:r w:rsidRPr="00D04EC1">
        <w:rPr>
          <w:rFonts w:hint="eastAsia"/>
        </w:rPr>
        <w:t>四，预后</w:t>
      </w:r>
    </w:p>
    <w:p w14:paraId="0F9CE483" w14:textId="0D4A2FD8" w:rsidR="00877C09" w:rsidRPr="00D04EC1" w:rsidRDefault="00DC3FE4" w:rsidP="003C70FA">
      <w:pPr>
        <w:autoSpaceDE w:val="0"/>
        <w:autoSpaceDN w:val="0"/>
        <w:adjustRightInd w:val="0"/>
        <w:ind w:firstLineChars="200" w:firstLine="420"/>
        <w:jc w:val="left"/>
      </w:pPr>
      <w:r w:rsidRPr="00D04EC1">
        <w:rPr>
          <w:rFonts w:hint="eastAsia"/>
        </w:rPr>
        <w:t>虽然小直肠神经内分泌肿瘤转移的风险一般较低，但有些患者即使是小于10</w:t>
      </w:r>
      <w:r w:rsidRPr="00D04EC1">
        <w:t>mm</w:t>
      </w:r>
      <w:r w:rsidRPr="00D04EC1">
        <w:rPr>
          <w:rFonts w:hint="eastAsia"/>
        </w:rPr>
        <w:t>的患者，也可能出现转移。这提醒人们，肿瘤的行为并不容易预测。</w:t>
      </w:r>
      <w:r w:rsidRPr="00D04EC1">
        <w:t>临床上，直肠神经内分泌肿瘤多为非功能性肿瘤</w:t>
      </w:r>
      <w:r w:rsidR="003C70FA">
        <w:rPr>
          <w:rFonts w:hint="eastAsia"/>
        </w:rPr>
        <w:t>。</w:t>
      </w:r>
      <w:r w:rsidRPr="00D04EC1">
        <w:t>此外，直肠神经内分泌肿瘤通常是单发性的，只有2%到4%是多发。以往的研究表明，MEN 1(神经内分泌肿瘤)基因、PI3-K/aKT、raf/mek/erk、Notch、GSK-3β等信号通路可能与多个直肠肿瘤的发生和转移有关</w:t>
      </w:r>
      <w:r w:rsidRPr="00097C84">
        <w:rPr>
          <w:rFonts w:hint="eastAsia"/>
          <w:sz w:val="10"/>
          <w:szCs w:val="10"/>
        </w:rPr>
        <w:t>【28】</w:t>
      </w:r>
      <w:r w:rsidRPr="00D04EC1">
        <w:t>。</w:t>
      </w:r>
      <w:r w:rsidR="00286DEB" w:rsidRPr="00D04EC1">
        <w:rPr>
          <w:rFonts w:hint="eastAsia"/>
        </w:rPr>
        <w:t>肿瘤大小、组织学分级</w:t>
      </w:r>
      <w:r w:rsidR="00286DEB" w:rsidRPr="00D04EC1">
        <w:t xml:space="preserve">( </w:t>
      </w:r>
      <w:r w:rsidR="00286DEB" w:rsidRPr="00D04EC1">
        <w:rPr>
          <w:rFonts w:hint="eastAsia"/>
        </w:rPr>
        <w:t>核分裂计数</w:t>
      </w:r>
      <w:r w:rsidR="00286DEB" w:rsidRPr="00D04EC1">
        <w:t xml:space="preserve">) </w:t>
      </w:r>
      <w:r w:rsidR="00286DEB" w:rsidRPr="00D04EC1">
        <w:rPr>
          <w:rFonts w:hint="eastAsia"/>
        </w:rPr>
        <w:t>、淋巴结转移是评估直肠</w:t>
      </w:r>
      <w:r w:rsidR="00286DEB" w:rsidRPr="00D04EC1">
        <w:t xml:space="preserve">NETs </w:t>
      </w:r>
      <w:r w:rsidR="00286DEB" w:rsidRPr="00D04EC1">
        <w:rPr>
          <w:rFonts w:hint="eastAsia"/>
        </w:rPr>
        <w:t>预后的依据，而肿瘤分级的临床意义也同样重要。</w:t>
      </w:r>
      <w:r w:rsidR="00286DEB" w:rsidRPr="00D04EC1">
        <w:t>少数研究提出了直肠</w:t>
      </w:r>
      <w:r w:rsidR="00286DEB" w:rsidRPr="00D04EC1">
        <w:rPr>
          <w:rFonts w:hint="eastAsia"/>
        </w:rPr>
        <w:t>神经内分泌肿瘤</w:t>
      </w:r>
      <w:r w:rsidR="00286DEB" w:rsidRPr="00D04EC1">
        <w:t>的潜在危险因素，包括性别、年龄、种族、癌症的一般家族史和饮</w:t>
      </w:r>
      <w:r w:rsidR="00286DEB" w:rsidRPr="00D04EC1">
        <w:lastRenderedPageBreak/>
        <w:t>酒</w:t>
      </w:r>
      <w:r w:rsidR="003C70FA" w:rsidRPr="00097C84">
        <w:rPr>
          <w:rFonts w:hint="eastAsia"/>
          <w:sz w:val="10"/>
          <w:szCs w:val="10"/>
        </w:rPr>
        <w:t>【</w:t>
      </w:r>
      <w:hyperlink r:id="rId8" w:anchor="b5-ol-0-0-8257" w:tgtFrame="_blank" w:history="1">
        <w:r w:rsidR="00286DEB" w:rsidRPr="00097C84">
          <w:rPr>
            <w:sz w:val="10"/>
            <w:szCs w:val="10"/>
          </w:rPr>
          <w:t>29</w:t>
        </w:r>
      </w:hyperlink>
      <w:r w:rsidR="00286DEB" w:rsidRPr="00097C84">
        <w:rPr>
          <w:sz w:val="10"/>
          <w:szCs w:val="10"/>
        </w:rPr>
        <w:t>–</w:t>
      </w:r>
      <w:hyperlink r:id="rId9" w:anchor="b7-ol-0-0-8257" w:tgtFrame="_blank" w:history="1">
        <w:r w:rsidR="00286DEB" w:rsidRPr="00097C84">
          <w:rPr>
            <w:sz w:val="10"/>
            <w:szCs w:val="10"/>
          </w:rPr>
          <w:t>31</w:t>
        </w:r>
      </w:hyperlink>
      <w:r w:rsidR="003C70FA" w:rsidRPr="00097C84">
        <w:rPr>
          <w:rFonts w:hint="eastAsia"/>
          <w:sz w:val="10"/>
          <w:szCs w:val="10"/>
        </w:rPr>
        <w:t>】</w:t>
      </w:r>
      <w:r w:rsidR="00286DEB" w:rsidRPr="00D04EC1">
        <w:t>。在一项对亚洲人群的研究中，男性比女性更容易患直肠</w:t>
      </w:r>
      <w:r w:rsidR="00286DEB" w:rsidRPr="00D04EC1">
        <w:rPr>
          <w:rFonts w:hint="eastAsia"/>
        </w:rPr>
        <w:t>神经内分泌肿瘤</w:t>
      </w:r>
      <w:r w:rsidR="00286DEB" w:rsidRPr="00D04EC1">
        <w:t>，而在来自美国或瑞典的人群中，女性占优势，这表明根据种族群体，对直肠</w:t>
      </w:r>
      <w:r w:rsidR="00286DEB" w:rsidRPr="00D04EC1">
        <w:rPr>
          <w:rFonts w:hint="eastAsia"/>
        </w:rPr>
        <w:t>神经内分泌肿瘤</w:t>
      </w:r>
      <w:r w:rsidR="00286DEB" w:rsidRPr="00D04EC1">
        <w:t>的易感性可能存在差异</w:t>
      </w:r>
      <w:r w:rsidR="003C70FA" w:rsidRPr="00097C84">
        <w:rPr>
          <w:rFonts w:hint="eastAsia"/>
          <w:sz w:val="10"/>
          <w:szCs w:val="10"/>
        </w:rPr>
        <w:t>【</w:t>
      </w:r>
      <w:hyperlink r:id="rId10" w:anchor="b5-ol-0-0-8257" w:tgtFrame="_blank" w:history="1">
        <w:r w:rsidR="00286DEB" w:rsidRPr="00097C84">
          <w:rPr>
            <w:sz w:val="10"/>
            <w:szCs w:val="10"/>
          </w:rPr>
          <w:t>29</w:t>
        </w:r>
      </w:hyperlink>
      <w:r w:rsidR="00286DEB" w:rsidRPr="00097C84">
        <w:rPr>
          <w:sz w:val="10"/>
          <w:szCs w:val="10"/>
        </w:rPr>
        <w:t>–</w:t>
      </w:r>
      <w:hyperlink r:id="rId11" w:anchor="b7-ol-0-0-8257" w:tgtFrame="_blank" w:history="1">
        <w:r w:rsidR="00286DEB" w:rsidRPr="00097C84">
          <w:rPr>
            <w:sz w:val="10"/>
            <w:szCs w:val="10"/>
          </w:rPr>
          <w:t>31</w:t>
        </w:r>
      </w:hyperlink>
      <w:r w:rsidR="003C70FA" w:rsidRPr="00097C84">
        <w:rPr>
          <w:rFonts w:hint="eastAsia"/>
          <w:sz w:val="10"/>
          <w:szCs w:val="10"/>
        </w:rPr>
        <w:t>】</w:t>
      </w:r>
      <w:r w:rsidR="00286DEB" w:rsidRPr="00D04EC1">
        <w:t>。此外，非白种人(西班牙裔、非洲裔或亚洲裔)直肠</w:t>
      </w:r>
      <w:r w:rsidR="00286DEB" w:rsidRPr="00D04EC1">
        <w:rPr>
          <w:rFonts w:hint="eastAsia"/>
        </w:rPr>
        <w:t>神经内分泌肿瘤</w:t>
      </w:r>
      <w:r w:rsidR="00286DEB" w:rsidRPr="00D04EC1">
        <w:t>的患病率高于白种人</w:t>
      </w:r>
      <w:r w:rsidR="003C70FA" w:rsidRPr="00097C84">
        <w:rPr>
          <w:rFonts w:hint="eastAsia"/>
          <w:sz w:val="10"/>
          <w:szCs w:val="10"/>
        </w:rPr>
        <w:t>【</w:t>
      </w:r>
      <w:hyperlink r:id="rId12" w:anchor="b6-ol-0-0-8257" w:tgtFrame="_blank" w:history="1">
        <w:r w:rsidR="00286DEB" w:rsidRPr="00097C84">
          <w:rPr>
            <w:sz w:val="10"/>
            <w:szCs w:val="10"/>
          </w:rPr>
          <w:t>30</w:t>
        </w:r>
      </w:hyperlink>
      <w:r w:rsidR="003C70FA" w:rsidRPr="00097C84">
        <w:rPr>
          <w:rFonts w:hint="eastAsia"/>
          <w:sz w:val="10"/>
          <w:szCs w:val="10"/>
        </w:rPr>
        <w:t>】</w:t>
      </w:r>
      <w:r w:rsidR="00286DEB" w:rsidRPr="00D04EC1">
        <w:t>。幼龄(&lt;50岁或≤60岁)也与直肠</w:t>
      </w:r>
      <w:r w:rsidR="00286DEB" w:rsidRPr="00D04EC1">
        <w:rPr>
          <w:rFonts w:hint="eastAsia"/>
        </w:rPr>
        <w:t>神经内分泌肿瘤</w:t>
      </w:r>
      <w:r w:rsidR="00286DEB" w:rsidRPr="00D04EC1">
        <w:t>形成的风险增加有关</w:t>
      </w:r>
      <w:r w:rsidR="003C70FA" w:rsidRPr="00097C84">
        <w:rPr>
          <w:rFonts w:hint="eastAsia"/>
          <w:sz w:val="10"/>
          <w:szCs w:val="10"/>
        </w:rPr>
        <w:t>【</w:t>
      </w:r>
      <w:hyperlink r:id="rId13" w:anchor="b5-ol-0-0-8257" w:tgtFrame="_blank" w:history="1">
        <w:r w:rsidR="00286DEB" w:rsidRPr="00097C84">
          <w:rPr>
            <w:sz w:val="10"/>
            <w:szCs w:val="10"/>
          </w:rPr>
          <w:t>29</w:t>
        </w:r>
      </w:hyperlink>
      <w:r w:rsidR="00286DEB" w:rsidRPr="00097C84">
        <w:rPr>
          <w:sz w:val="10"/>
          <w:szCs w:val="10"/>
        </w:rPr>
        <w:t>,</w:t>
      </w:r>
      <w:hyperlink r:id="rId14" w:anchor="b6-ol-0-0-8257" w:tgtFrame="_blank" w:history="1">
        <w:r w:rsidR="00286DEB" w:rsidRPr="00097C84">
          <w:rPr>
            <w:sz w:val="10"/>
            <w:szCs w:val="10"/>
          </w:rPr>
          <w:t>30</w:t>
        </w:r>
      </w:hyperlink>
      <w:r w:rsidR="003C70FA" w:rsidRPr="00097C84">
        <w:rPr>
          <w:rFonts w:hint="eastAsia"/>
          <w:sz w:val="10"/>
          <w:szCs w:val="10"/>
        </w:rPr>
        <w:t>】</w:t>
      </w:r>
      <w:r w:rsidR="00286DEB" w:rsidRPr="00D04EC1">
        <w:t>。此外，有关酒精和吸烟暴露的数据相互矛盾，但先前的一项研究表明，饮酒是一个重要的危险因素</w:t>
      </w:r>
      <w:r w:rsidR="003C70FA" w:rsidRPr="00097C84">
        <w:rPr>
          <w:rFonts w:hint="eastAsia"/>
          <w:sz w:val="10"/>
          <w:szCs w:val="10"/>
        </w:rPr>
        <w:t>【</w:t>
      </w:r>
      <w:hyperlink r:id="rId15" w:anchor="b5-ol-0-0-8257" w:tgtFrame="_blank" w:history="1">
        <w:r w:rsidR="00286DEB" w:rsidRPr="00097C84">
          <w:rPr>
            <w:sz w:val="10"/>
            <w:szCs w:val="10"/>
          </w:rPr>
          <w:t>29</w:t>
        </w:r>
      </w:hyperlink>
      <w:r w:rsidR="003C70FA" w:rsidRPr="00097C84">
        <w:rPr>
          <w:rFonts w:hint="eastAsia"/>
          <w:sz w:val="10"/>
          <w:szCs w:val="10"/>
        </w:rPr>
        <w:t>】</w:t>
      </w:r>
      <w:r w:rsidR="00286DEB" w:rsidRPr="00D04EC1">
        <w:t>。然而，由于缺乏大规模的流行病学研究，这些联系的强度还不完全清楚，需要更多的研究来确定与直肠</w:t>
      </w:r>
      <w:r w:rsidR="00286DEB" w:rsidRPr="00D04EC1">
        <w:rPr>
          <w:rFonts w:hint="eastAsia"/>
        </w:rPr>
        <w:t>神经内分泌肿瘤</w:t>
      </w:r>
      <w:r w:rsidR="00286DEB" w:rsidRPr="00D04EC1">
        <w:t>相关的风险。</w:t>
      </w:r>
      <w:r w:rsidR="00D04EC1" w:rsidRPr="00D04EC1">
        <w:rPr>
          <w:rFonts w:hint="eastAsia"/>
        </w:rPr>
        <w:t>Ｒ</w:t>
      </w:r>
      <w:r w:rsidR="00D04EC1" w:rsidRPr="00D04EC1">
        <w:t xml:space="preserve">-NET </w:t>
      </w:r>
      <w:r w:rsidR="00D04EC1" w:rsidRPr="00D04EC1">
        <w:rPr>
          <w:rFonts w:hint="eastAsia"/>
        </w:rPr>
        <w:t>最常见的远处转移部位为肝及肺，也有报道胰腺转移</w:t>
      </w:r>
      <w:r w:rsidR="00DD16E4" w:rsidRPr="00097C84">
        <w:rPr>
          <w:rFonts w:hint="eastAsia"/>
          <w:sz w:val="10"/>
          <w:szCs w:val="10"/>
        </w:rPr>
        <w:t>【</w:t>
      </w:r>
      <w:r w:rsidR="00D04EC1" w:rsidRPr="00097C84">
        <w:rPr>
          <w:rFonts w:hint="eastAsia"/>
          <w:sz w:val="10"/>
          <w:szCs w:val="10"/>
        </w:rPr>
        <w:t>3</w:t>
      </w:r>
      <w:r w:rsidR="00170DA0" w:rsidRPr="00097C84">
        <w:rPr>
          <w:rFonts w:hint="eastAsia"/>
          <w:sz w:val="10"/>
          <w:szCs w:val="10"/>
        </w:rPr>
        <w:t>7</w:t>
      </w:r>
      <w:r w:rsidR="00DD16E4" w:rsidRPr="00097C84">
        <w:rPr>
          <w:rFonts w:hint="eastAsia"/>
          <w:sz w:val="10"/>
          <w:szCs w:val="10"/>
        </w:rPr>
        <w:t>】</w:t>
      </w:r>
      <w:r w:rsidR="00D04EC1" w:rsidRPr="00D04EC1">
        <w:rPr>
          <w:rFonts w:hint="eastAsia"/>
        </w:rPr>
        <w:t>和发现时即有全身广泛转移的案例</w:t>
      </w:r>
      <w:r w:rsidR="002744A0">
        <w:rPr>
          <w:rFonts w:hint="eastAsia"/>
        </w:rPr>
        <w:t>。</w:t>
      </w:r>
    </w:p>
    <w:p w14:paraId="6BDD23C8" w14:textId="628B57DB" w:rsidR="0009146F" w:rsidRDefault="00DD16E4" w:rsidP="00DD16E4">
      <w:pPr>
        <w:autoSpaceDE w:val="0"/>
        <w:autoSpaceDN w:val="0"/>
        <w:adjustRightInd w:val="0"/>
        <w:ind w:firstLineChars="200" w:firstLine="420"/>
        <w:jc w:val="left"/>
      </w:pPr>
      <w:r>
        <w:rPr>
          <w:rFonts w:hint="eastAsia"/>
        </w:rPr>
        <w:t xml:space="preserve">总结 </w:t>
      </w:r>
      <w:r>
        <w:t xml:space="preserve"> </w:t>
      </w:r>
      <w:r w:rsidRPr="00DD16E4">
        <w:rPr>
          <w:rFonts w:hint="eastAsia"/>
        </w:rPr>
        <w:t>直肠神经内分泌肿瘤曾被认为是一种低度恶性的肿瘤，转移潜能不高，但现已明确这些肿瘤有显著的发病率和死亡率，由于其</w:t>
      </w:r>
      <w:r>
        <w:rPr>
          <w:rFonts w:hint="eastAsia"/>
        </w:rPr>
        <w:t>早期的</w:t>
      </w:r>
      <w:r w:rsidRPr="00DD16E4">
        <w:rPr>
          <w:rFonts w:hint="eastAsia"/>
        </w:rPr>
        <w:t>隐匿性，经常会误诊、漏诊，但肠镜筛查的普及正让我们更早发现肿瘤的病变，同时，因</w:t>
      </w:r>
      <w:r>
        <w:rPr>
          <w:rFonts w:hint="eastAsia"/>
        </w:rPr>
        <w:t>直肠神经内分泌肿瘤</w:t>
      </w:r>
      <w:r w:rsidRPr="00DD16E4">
        <w:rPr>
          <w:rFonts w:hint="eastAsia"/>
        </w:rPr>
        <w:t>分级、部位不同</w:t>
      </w:r>
      <w:r>
        <w:rPr>
          <w:rFonts w:hint="eastAsia"/>
        </w:rPr>
        <w:t>而</w:t>
      </w:r>
      <w:r w:rsidRPr="00DD16E4">
        <w:rPr>
          <w:rFonts w:hint="eastAsia"/>
        </w:rPr>
        <w:t>预后差异较大，</w:t>
      </w:r>
      <w:r>
        <w:rPr>
          <w:rFonts w:hint="eastAsia"/>
        </w:rPr>
        <w:t>这需要我们临床医生的继续研究与发现。</w:t>
      </w:r>
      <w:r>
        <w:t xml:space="preserve"> </w:t>
      </w:r>
    </w:p>
    <w:p w14:paraId="32E916B0" w14:textId="77777777" w:rsidR="003A0860" w:rsidRDefault="003A0860" w:rsidP="003A0860">
      <w:pPr>
        <w:widowControl/>
        <w:shd w:val="clear" w:color="auto" w:fill="FFFFFF"/>
        <w:spacing w:line="360" w:lineRule="atLeast"/>
        <w:ind w:firstLineChars="1100" w:firstLine="2310"/>
        <w:jc w:val="left"/>
        <w:textAlignment w:val="baseline"/>
      </w:pPr>
      <w:r>
        <w:rPr>
          <w:rFonts w:hint="eastAsia"/>
        </w:rPr>
        <w:t>参  考  文  献</w:t>
      </w:r>
    </w:p>
    <w:p w14:paraId="33183AC6"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【1】. Godwin JD 2nd. Carcinoid tumors. An analysis of 2837 cases.Cancer 36: 560-569, 1975.</w:t>
      </w:r>
    </w:p>
    <w:p w14:paraId="439399CB"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 Modlin IM, Sandor A. An analysis of 8305 cases of carcinoid tumors.Cancer 79: 813-829, 1997.</w:t>
      </w:r>
    </w:p>
    <w:p w14:paraId="107FCEC0"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 Modlin IM, Lye KD, Kidd M. A 5-decade analysis of 13,715 carcinoidtumors. Cancer 97: 934-959, 2003.</w:t>
      </w:r>
    </w:p>
    <w:p w14:paraId="122B529A"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【4】. ［1］ 亲和平，程天明，智发朝，等. 直肠类癌32 例临床及病理分析［J］. 现代消化及介入诊疗，2015，（15）：86-88.</w:t>
      </w:r>
    </w:p>
    <w:p w14:paraId="230C8FED"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【5】. AMIN M B，GＲEEN F L，EDGE S B，et al． AJCC CancerStaging Manual［M］． Berlin: Springer，2016: 803 － 819．</w:t>
      </w:r>
    </w:p>
    <w:p w14:paraId="33FA307E" w14:textId="77777777" w:rsidR="003A0860" w:rsidRDefault="003A0860" w:rsidP="003A0860">
      <w:pPr>
        <w:rPr>
          <w:rFonts w:cs="Minion Pro"/>
          <w:color w:val="000000"/>
          <w:sz w:val="16"/>
          <w:szCs w:val="16"/>
        </w:rPr>
      </w:pPr>
      <w:r>
        <w:rPr>
          <w:rFonts w:cs="Minion Pro" w:hint="eastAsia"/>
          <w:color w:val="000000"/>
          <w:sz w:val="16"/>
          <w:szCs w:val="16"/>
        </w:rPr>
        <w:t>【6】. Caplin M, Sundin A, Nillson O, et al. ENETS consensus guidelines for the management of patients with digestive neuroendocrine neoplasms: colorectal neuroendocrine neoplasms. Neuroendocrinology 2012;95:88- 97.</w:t>
      </w:r>
    </w:p>
    <w:p w14:paraId="202330DC" w14:textId="77777777" w:rsidR="003A0860" w:rsidRDefault="003A0860" w:rsidP="003A0860">
      <w:pPr>
        <w:rPr>
          <w:rFonts w:cs="Minion Pro"/>
          <w:color w:val="000000"/>
          <w:sz w:val="16"/>
          <w:szCs w:val="16"/>
        </w:rPr>
      </w:pPr>
      <w:r>
        <w:rPr>
          <w:rFonts w:cs="Minion Pro" w:hint="eastAsia"/>
          <w:color w:val="000000"/>
          <w:sz w:val="16"/>
          <w:szCs w:val="16"/>
        </w:rPr>
        <w:t>【7】. Anthony LB, Strosberg JR, Klimstra DS, et al. The NANETS consensus guidelines for the diagnosis and management of gastrointestinal neuro</w:t>
      </w:r>
      <w:r>
        <w:rPr>
          <w:rFonts w:cs="Minion Pro" w:hint="eastAsia"/>
          <w:color w:val="000000"/>
          <w:sz w:val="16"/>
          <w:szCs w:val="16"/>
        </w:rPr>
        <w:softHyphen/>
        <w:t>endocrine tumors (nets): well-differentiated nets of the distal colon and rectum. Pancreas 2010;39:767-774.</w:t>
      </w:r>
    </w:p>
    <w:p w14:paraId="01162EA9" w14:textId="77777777" w:rsidR="003A0860" w:rsidRDefault="003A0860" w:rsidP="00097C84">
      <w:pPr>
        <w:pStyle w:val="Pa24"/>
        <w:jc w:val="both"/>
        <w:rPr>
          <w:rFonts w:asciiTheme="minorHAnsi" w:eastAsiaTheme="minorEastAsia" w:cs="Minion Pro"/>
          <w:color w:val="000000"/>
          <w:sz w:val="16"/>
          <w:szCs w:val="16"/>
        </w:rPr>
      </w:pPr>
      <w:r>
        <w:rPr>
          <w:rFonts w:asciiTheme="minorHAnsi" w:eastAsiaTheme="minorEastAsia" w:cs="Minion Pro" w:hint="eastAsia"/>
          <w:color w:val="000000"/>
          <w:sz w:val="16"/>
          <w:szCs w:val="16"/>
        </w:rPr>
        <w:t xml:space="preserve">【8】. American Joint Committee on Cancer (AJCC). Cancer staging manual [Internet]. Chicago (IL): American Joint Committee on Cancer (AJCC); c2016 [cited 2017 Aug 22]. Available from: </w:t>
      </w:r>
      <w:hyperlink r:id="rId16" w:history="1">
        <w:r>
          <w:rPr>
            <w:rStyle w:val="a4"/>
            <w:rFonts w:asciiTheme="minorHAnsi" w:eastAsiaTheme="minorEastAsia" w:cs="Minion Pro" w:hint="eastAsia"/>
            <w:color w:val="000000"/>
            <w:sz w:val="16"/>
            <w:szCs w:val="16"/>
          </w:rPr>
          <w:t>https://cancerstaging.org/536 references-tools/deskreferences/Pages/default.aspx</w:t>
        </w:r>
      </w:hyperlink>
      <w:r>
        <w:rPr>
          <w:rFonts w:asciiTheme="minorHAnsi" w:eastAsiaTheme="minorEastAsia" w:cs="Minion Pro" w:hint="eastAsia"/>
          <w:color w:val="000000"/>
          <w:sz w:val="16"/>
          <w:szCs w:val="16"/>
        </w:rPr>
        <w:t>.</w:t>
      </w:r>
    </w:p>
    <w:p w14:paraId="4B08A87D"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【9】 Lin HH，Lin JK，Jiang JK，et al． Clinicopathological analysis of colorectal carcinoid tumors and patient outcomes［J］． World Joural of Surgical Oncology，2014，12( 1) : 366．</w:t>
      </w:r>
    </w:p>
    <w:p w14:paraId="2634ABDD"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【10】 Kojima M， Ikeda K，Saito N，et al． Neuroendocrine tumors of the large intestine: Clinicopathological features and predictive factors oflymph node metastasis［J］． Front Oncol，2016，6</w:t>
      </w:r>
    </w:p>
    <w:p w14:paraId="4DB2042B" w14:textId="77777777" w:rsidR="003A0860" w:rsidRDefault="003A0860" w:rsidP="003A0860">
      <w:pPr>
        <w:rPr>
          <w:rFonts w:cs="Minion Pro"/>
          <w:color w:val="000000"/>
          <w:sz w:val="16"/>
          <w:szCs w:val="16"/>
        </w:rPr>
      </w:pPr>
      <w:r>
        <w:rPr>
          <w:rFonts w:cs="Minion Pro" w:hint="eastAsia"/>
          <w:color w:val="000000"/>
          <w:sz w:val="16"/>
          <w:szCs w:val="16"/>
        </w:rPr>
        <w:t>( 173) : 3389．</w:t>
      </w:r>
    </w:p>
    <w:p w14:paraId="4156B904"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【11】 Chinese Gastroenteropancreatic Neuroendocrine Neoplasm Pathology Expert Group． Consensus opinion on pathological diagnosis ofgastroenteropancreatic neuroendocrine neoplasm in China［J］． Chin</w:t>
      </w:r>
    </w:p>
    <w:p w14:paraId="3704AEA9"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J Pathol，2011，40( 4) : 257 － 262．［中国胃肠胰神经内分泌肿瘤病理专家组． 中国胃肠胰神经内分泌肿瘤病理学诊断共识意见［J］． 中华病理学杂志，2011，40( 4) : 257 － 262．］</w:t>
      </w:r>
    </w:p>
    <w:p w14:paraId="49AD6BED"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【12】 Shen EF，Aronott ID，Plevris J，et al. Endoscopic ultrasonography in the diagnosis and management of suspected uppergastrointestinal submucosal tumors［J］. Br J Surg，2002，89（2）：231-235.</w:t>
      </w:r>
    </w:p>
    <w:p w14:paraId="1D123778" w14:textId="69D6F7FD" w:rsidR="003A0860" w:rsidRDefault="00097C84" w:rsidP="003A0860">
      <w:pPr>
        <w:rPr>
          <w:rFonts w:cs="Minion Pro"/>
          <w:color w:val="000000"/>
          <w:sz w:val="16"/>
          <w:szCs w:val="16"/>
        </w:rPr>
      </w:pPr>
      <w:r>
        <w:rPr>
          <w:rFonts w:cs="Minion Pro" w:hint="eastAsia"/>
          <w:color w:val="000000"/>
          <w:sz w:val="16"/>
          <w:szCs w:val="16"/>
        </w:rPr>
        <w:t>【13】</w:t>
      </w:r>
      <w:r w:rsidR="003A0860">
        <w:rPr>
          <w:rFonts w:cs="Minion Pro" w:hint="eastAsia"/>
          <w:color w:val="000000"/>
          <w:sz w:val="16"/>
          <w:szCs w:val="16"/>
        </w:rPr>
        <w:t>直肠神经内分泌肿瘤内镜下诊疗的临床研究  朱建华，郝凤媛，李楠                                        【14】 徐建明，梁后杰，秦叔逵，等． 中国胃肠胰神经内分泌肿瘤专家共识( 2016 年版) ［J］． 临床肿瘤学杂志，2016，21( 10) : 927 － 946．</w:t>
      </w:r>
    </w:p>
    <w:p w14:paraId="5EE6BE4C" w14:textId="77777777" w:rsidR="003A0860" w:rsidRDefault="003A0860" w:rsidP="003A0860">
      <w:pPr>
        <w:rPr>
          <w:rFonts w:cs="Minion Pro"/>
          <w:color w:val="000000"/>
          <w:sz w:val="16"/>
          <w:szCs w:val="16"/>
        </w:rPr>
      </w:pPr>
      <w:r>
        <w:rPr>
          <w:rFonts w:cs="Minion Pro" w:hint="eastAsia"/>
          <w:color w:val="000000"/>
          <w:sz w:val="16"/>
          <w:szCs w:val="16"/>
        </w:rPr>
        <w:t>【15】结直肠神经内分泌肿瘤研究进展  刘玥张梦慈陈玉根</w:t>
      </w:r>
    </w:p>
    <w:p w14:paraId="551F634B"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【16】 李增山, 李青. 2010 年版消化系统肿瘤WHO分类解读[J]. 中华病理学杂志,2011(5): 351-354.</w:t>
      </w:r>
    </w:p>
    <w:p w14:paraId="30310D7D"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lastRenderedPageBreak/>
        <w:t>【17】 曹乐．直肠神经内分泌肿瘤的研究进展［J］．中西医结合心血管病电子杂志，2017，5( 10) : 11-12．</w:t>
      </w:r>
    </w:p>
    <w:p w14:paraId="64DF34B2"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【18】Neurofibromatosis type 1-associated multiple rectalneuroendocrine tumors: A case report and review of the</w:t>
      </w:r>
    </w:p>
    <w:p w14:paraId="61F58B05"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literatureRui Xie, Kuang-I Fu, Shao-Min Chen, Bi-Guang Tuo, Hui-Chao Wu</w:t>
      </w:r>
    </w:p>
    <w:tbl>
      <w:tblPr>
        <w:tblW w:w="9630" w:type="dxa"/>
        <w:tblInd w:w="-108" w:type="dxa"/>
        <w:tblLayout w:type="fixed"/>
        <w:tblLook w:val="04A0" w:firstRow="1" w:lastRow="0" w:firstColumn="1" w:lastColumn="0" w:noHBand="0" w:noVBand="1"/>
      </w:tblPr>
      <w:tblGrid>
        <w:gridCol w:w="9630"/>
      </w:tblGrid>
      <w:tr w:rsidR="003A0860" w14:paraId="5DC4EDB5" w14:textId="77777777" w:rsidTr="003A0860">
        <w:trPr>
          <w:trHeight w:val="249"/>
        </w:trPr>
        <w:tc>
          <w:tcPr>
            <w:tcW w:w="9637" w:type="dxa"/>
            <w:tcBorders>
              <w:top w:val="nil"/>
              <w:left w:val="nil"/>
              <w:bottom w:val="nil"/>
              <w:right w:val="nil"/>
            </w:tcBorders>
            <w:hideMark/>
          </w:tcPr>
          <w:p w14:paraId="23E33069" w14:textId="77777777" w:rsidR="003A0860" w:rsidRDefault="003A0860">
            <w:pPr>
              <w:pStyle w:val="Default"/>
              <w:spacing w:line="360" w:lineRule="atLeast"/>
              <w:rPr>
                <w:rFonts w:asciiTheme="minorHAnsi" w:eastAsiaTheme="minorEastAsia"/>
                <w:kern w:val="2"/>
                <w:sz w:val="16"/>
                <w:szCs w:val="16"/>
              </w:rPr>
            </w:pPr>
            <w:r>
              <w:rPr>
                <w:rFonts w:asciiTheme="minorHAnsi" w:eastAsiaTheme="minorEastAsia" w:hint="eastAsia"/>
                <w:kern w:val="2"/>
                <w:sz w:val="16"/>
                <w:szCs w:val="16"/>
              </w:rPr>
              <w:t>【19】Diagnosis and Management of Rectal Neuroendocrine Tumors</w:t>
            </w:r>
          </w:p>
        </w:tc>
      </w:tr>
      <w:tr w:rsidR="003A0860" w14:paraId="3CD74729" w14:textId="77777777" w:rsidTr="003A0860">
        <w:trPr>
          <w:trHeight w:val="114"/>
        </w:trPr>
        <w:tc>
          <w:tcPr>
            <w:tcW w:w="9637" w:type="dxa"/>
            <w:tcBorders>
              <w:top w:val="nil"/>
              <w:left w:val="nil"/>
              <w:bottom w:val="nil"/>
              <w:right w:val="nil"/>
            </w:tcBorders>
            <w:hideMark/>
          </w:tcPr>
          <w:p w14:paraId="66E0101E" w14:textId="77777777" w:rsidR="003A0860" w:rsidRDefault="003A0860">
            <w:pPr>
              <w:pStyle w:val="Default"/>
              <w:spacing w:line="197" w:lineRule="atLeast"/>
              <w:jc w:val="both"/>
              <w:rPr>
                <w:rFonts w:asciiTheme="minorHAnsi" w:eastAsiaTheme="minorEastAsia"/>
                <w:kern w:val="2"/>
                <w:sz w:val="16"/>
                <w:szCs w:val="16"/>
              </w:rPr>
            </w:pPr>
            <w:r>
              <w:rPr>
                <w:rFonts w:asciiTheme="minorHAnsi" w:eastAsiaTheme="minorEastAsia" w:hint="eastAsia"/>
                <w:kern w:val="2"/>
                <w:sz w:val="16"/>
                <w:szCs w:val="16"/>
              </w:rPr>
              <w:t>Shreya Chablaney, Zachary A. Zator and Nikhil A. Kumta</w:t>
            </w:r>
          </w:p>
        </w:tc>
      </w:tr>
      <w:tr w:rsidR="003A0860" w14:paraId="4902E19D" w14:textId="77777777" w:rsidTr="003A0860">
        <w:trPr>
          <w:trHeight w:val="102"/>
        </w:trPr>
        <w:tc>
          <w:tcPr>
            <w:tcW w:w="9637" w:type="dxa"/>
            <w:tcBorders>
              <w:top w:val="nil"/>
              <w:left w:val="nil"/>
              <w:bottom w:val="nil"/>
              <w:right w:val="nil"/>
            </w:tcBorders>
            <w:hideMark/>
          </w:tcPr>
          <w:p w14:paraId="29D1B7D4" w14:textId="77777777" w:rsidR="003A0860" w:rsidRDefault="003A0860">
            <w:pPr>
              <w:pStyle w:val="Default"/>
              <w:spacing w:line="155" w:lineRule="atLeast"/>
              <w:jc w:val="both"/>
              <w:rPr>
                <w:rFonts w:asciiTheme="minorHAnsi" w:eastAsiaTheme="minorEastAsia"/>
                <w:kern w:val="2"/>
                <w:sz w:val="16"/>
                <w:szCs w:val="16"/>
              </w:rPr>
            </w:pPr>
            <w:r>
              <w:rPr>
                <w:rFonts w:asciiTheme="minorHAnsi" w:eastAsiaTheme="minorEastAsia" w:hint="eastAsia"/>
                <w:kern w:val="2"/>
                <w:sz w:val="16"/>
                <w:szCs w:val="16"/>
              </w:rPr>
              <w:t>Division of Gastroenterology, Icahn School of Medicine at Mount Sinai, New York, NY, USA</w:t>
            </w:r>
          </w:p>
          <w:p w14:paraId="6D8601E0" w14:textId="77777777" w:rsidR="003A0860" w:rsidRDefault="003A0860">
            <w:pPr>
              <w:pStyle w:val="Default"/>
              <w:spacing w:line="155" w:lineRule="atLeast"/>
              <w:jc w:val="both"/>
              <w:rPr>
                <w:rFonts w:asciiTheme="minorHAnsi" w:eastAsiaTheme="minorEastAsia"/>
                <w:kern w:val="2"/>
                <w:sz w:val="16"/>
                <w:szCs w:val="16"/>
              </w:rPr>
            </w:pPr>
            <w:r>
              <w:rPr>
                <w:rFonts w:asciiTheme="minorHAnsi" w:eastAsiaTheme="minorEastAsia" w:hint="eastAsia"/>
                <w:kern w:val="2"/>
                <w:sz w:val="16"/>
                <w:szCs w:val="16"/>
              </w:rPr>
              <w:t>【20】. Caplin M, Sundin A, Nillson O, et al. ENETS consensus guidelines for the management of patients with digestive neuroendocrine neoplasms: colorectal neuroendocrine neoplasms. Neuroendocrinology 2012;95:88- 97.</w:t>
            </w:r>
          </w:p>
        </w:tc>
      </w:tr>
    </w:tbl>
    <w:p w14:paraId="0E962BF7"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【21】. Kobayashi K, Katsumata T, Yoshizawa S, et al. Indications of endoscopic polypectomy for rectal carcinoid tumors and clinical usefulness of en</w:t>
      </w:r>
      <w:r>
        <w:rPr>
          <w:rFonts w:cs="Minion Pro" w:hint="eastAsia"/>
          <w:color w:val="000000"/>
          <w:sz w:val="16"/>
          <w:szCs w:val="16"/>
        </w:rPr>
        <w:softHyphen/>
        <w:t>doscopic ultrasonography. Dis Colon Rectum 2005;48:285-291.</w:t>
      </w:r>
    </w:p>
    <w:p w14:paraId="322153BC"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【22】 Kvols LK, Moertel CG, O’Connell MJ, Schutt AJ,Rubin J, Hahn RG: Treatment of the malignant carcinoidsyndrome. Evaluation of a long-acting somatostatinanalogue. N Engl J Med 1986; 315: 663–666.</w:t>
      </w:r>
    </w:p>
    <w:p w14:paraId="43962532"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【23】 Lancranjan I, Bruns C, Grass P, et al: Sandostatin LAR:a promising therapeutic tool in the management of acromegalic</w:t>
      </w:r>
    </w:p>
    <w:p w14:paraId="721DB718"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patients. Metabolism 1996; 45(suppl 1):67–71.</w:t>
      </w:r>
    </w:p>
    <w:p w14:paraId="7905FBF1"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【24】 Mandair D, Caplin ME: Colonic and rectal NET’s. BestPract Res 2012; 26: 775–789.</w:t>
      </w:r>
    </w:p>
    <w:p w14:paraId="759F3FDD"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【25】 Sorbye H, Welin S, Langer SW, et al: Predictive andprognostic factors for treatment and survival in 305patients with advanced gastrointestinal neuroendocrinecarcinoma (WHO G3): the NORDIC NEC study.Ann Oncol 2013; 24: 152–160.</w:t>
      </w:r>
    </w:p>
    <w:p w14:paraId="7961F01A"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【26】 Yamaguchi T, Machida N, Morizane C, et al: Multicenterretrospective analysis of systemic chemotherapyfor advanced neuroendocrine carcinoma of the digestivesystem. Cancer Sci 2014; 105: 1176–1181.</w:t>
      </w:r>
    </w:p>
    <w:p w14:paraId="3D450829"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【27】Welin S, Sorbye H, Sebjornsen S, Knappskog S, BuschC, Oberg K: Clinical effect of temozolomide-basedchemotherapy in poorly differentiated endocrine carcinomaafter progression on first-line chemotherapy.Cancer 2011; 117: 4617–4622.</w:t>
      </w:r>
    </w:p>
    <w:p w14:paraId="1C56EA55"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【28】Ning L, Chen H, Kunnimalaiyaan M. Focal adhesion kinase,a downstream mediator of Raf-1 signaling, suppresses cellularadhesion, migration, and neuroendocrine markers in BON carcinoidcells. Mol Cancer Res2010; 8: 775-782 [PMID: 20407018 DOI:10.1158/1541-7786.MCR-09-0525]</w:t>
      </w:r>
    </w:p>
    <w:p w14:paraId="4D6885C3" w14:textId="77777777" w:rsidR="003A0860" w:rsidRDefault="003A0860" w:rsidP="003A0860">
      <w:pPr>
        <w:pStyle w:val="Pa11"/>
        <w:jc w:val="both"/>
        <w:rPr>
          <w:rFonts w:asciiTheme="minorHAnsi" w:eastAsiaTheme="minorEastAsia" w:cs="Minion Pro"/>
          <w:color w:val="000000"/>
          <w:sz w:val="16"/>
          <w:szCs w:val="16"/>
        </w:rPr>
      </w:pPr>
      <w:r>
        <w:rPr>
          <w:rFonts w:asciiTheme="minorHAnsi" w:eastAsiaTheme="minorEastAsia" w:cs="Minion Pro" w:hint="eastAsia"/>
          <w:color w:val="000000"/>
          <w:sz w:val="16"/>
          <w:szCs w:val="16"/>
        </w:rPr>
        <w:t>【29】. Jung YS, Yun KE, Chang Y, Ryu S, Park JH, Kim HJ, Cho YK, Sohn CI, Jeon WK, Kim BI and Park DI: Risk factors associ</w:t>
      </w:r>
      <w:r>
        <w:rPr>
          <w:rFonts w:asciiTheme="minorHAnsi" w:eastAsiaTheme="minorEastAsia" w:cs="Minion Pro" w:hint="eastAsia"/>
          <w:color w:val="000000"/>
          <w:sz w:val="16"/>
          <w:szCs w:val="16"/>
        </w:rPr>
        <w:softHyphen/>
        <w:t>ated with rectal neuroendocrine tumors: A cross</w:t>
      </w:r>
      <w:r>
        <w:rPr>
          <w:rFonts w:asciiTheme="minorHAnsi" w:eastAsiaTheme="minorEastAsia" w:cs="Minion Pro" w:hint="eastAsia"/>
          <w:color w:val="000000"/>
          <w:sz w:val="16"/>
          <w:szCs w:val="16"/>
        </w:rPr>
        <w:noBreakHyphen/>
        <w:t>sectional study. Cancer Epidemiol Biomarkers Prev 23: 1406</w:t>
      </w:r>
      <w:r>
        <w:rPr>
          <w:rFonts w:asciiTheme="minorHAnsi" w:eastAsiaTheme="minorEastAsia" w:cs="Minion Pro" w:hint="eastAsia"/>
          <w:color w:val="000000"/>
          <w:sz w:val="16"/>
          <w:szCs w:val="16"/>
        </w:rPr>
        <w:noBreakHyphen/>
        <w:t xml:space="preserve">1413, 2014. </w:t>
      </w:r>
    </w:p>
    <w:p w14:paraId="3DE05D3C" w14:textId="77777777" w:rsidR="003A0860" w:rsidRDefault="003A0860" w:rsidP="003A0860">
      <w:pPr>
        <w:pStyle w:val="Pa11"/>
        <w:jc w:val="both"/>
        <w:rPr>
          <w:rFonts w:asciiTheme="minorHAnsi" w:eastAsiaTheme="minorEastAsia" w:cs="Minion Pro"/>
          <w:color w:val="000000"/>
          <w:sz w:val="16"/>
          <w:szCs w:val="16"/>
        </w:rPr>
      </w:pPr>
      <w:r>
        <w:rPr>
          <w:rFonts w:asciiTheme="minorHAnsi" w:eastAsiaTheme="minorEastAsia" w:cs="Minion Pro" w:hint="eastAsia"/>
          <w:color w:val="000000"/>
          <w:sz w:val="16"/>
          <w:szCs w:val="16"/>
        </w:rPr>
        <w:t>【30】. Hassan MM, Phan A, Li D, Dagohoy CG, Leary C and Yao JC: Risk factors associated with neuroendocrine tumors: A U.S.</w:t>
      </w:r>
      <w:r>
        <w:rPr>
          <w:rFonts w:asciiTheme="minorHAnsi" w:eastAsiaTheme="minorEastAsia" w:cs="Minion Pro" w:hint="eastAsia"/>
          <w:color w:val="000000"/>
          <w:sz w:val="16"/>
          <w:szCs w:val="16"/>
        </w:rPr>
        <w:noBreakHyphen/>
        <w:t>based case</w:t>
      </w:r>
      <w:r>
        <w:rPr>
          <w:rFonts w:asciiTheme="minorHAnsi" w:eastAsiaTheme="minorEastAsia" w:cs="Minion Pro" w:hint="eastAsia"/>
          <w:color w:val="000000"/>
          <w:sz w:val="16"/>
          <w:szCs w:val="16"/>
        </w:rPr>
        <w:noBreakHyphen/>
        <w:t>control study. Int J Cancer 123: 867</w:t>
      </w:r>
      <w:r>
        <w:rPr>
          <w:rFonts w:asciiTheme="minorHAnsi" w:eastAsiaTheme="minorEastAsia" w:cs="Minion Pro" w:hint="eastAsia"/>
          <w:color w:val="000000"/>
          <w:sz w:val="16"/>
          <w:szCs w:val="16"/>
        </w:rPr>
        <w:noBreakHyphen/>
        <w:t xml:space="preserve">873, 2008. </w:t>
      </w:r>
    </w:p>
    <w:p w14:paraId="6365A701"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【31】. Hemminki K and Li X: Incidence trends and risk factors of carci</w:t>
      </w:r>
      <w:r>
        <w:rPr>
          <w:rFonts w:cs="Minion Pro" w:hint="eastAsia"/>
          <w:color w:val="000000"/>
          <w:sz w:val="16"/>
          <w:szCs w:val="16"/>
        </w:rPr>
        <w:softHyphen/>
        <w:t>noid tumors: A nationwide epidemiologic study from Sweden. Cancer 92: 2204</w:t>
      </w:r>
      <w:r>
        <w:rPr>
          <w:rFonts w:cs="Minion Pro" w:hint="eastAsia"/>
          <w:color w:val="000000"/>
          <w:sz w:val="16"/>
          <w:szCs w:val="16"/>
        </w:rPr>
        <w:noBreakHyphen/>
        <w:t>2210, 2001.</w:t>
      </w:r>
    </w:p>
    <w:p w14:paraId="4DC4B3E5"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【32】. Fahy BN, Tang LH, Klimstra D, Wong WD, Guillem JG, Paty PB, Temple LK, Shia J and Weiser MR: Carcinoid of the rectum risk stratification (CaRRs): A strategy for preoperative outcome assessment. Ann Surg Oncol 14: 1735</w:t>
      </w:r>
      <w:r>
        <w:rPr>
          <w:rFonts w:cs="Minion Pro" w:hint="eastAsia"/>
          <w:color w:val="000000"/>
          <w:sz w:val="16"/>
          <w:szCs w:val="16"/>
        </w:rPr>
        <w:noBreakHyphen/>
        <w:t>1743, 2007.</w:t>
      </w:r>
    </w:p>
    <w:p w14:paraId="0E362C90"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【33】. Caplin M, Sundin A, Nillson O, Baum RP, Klose KJ, Kelestimur F, Plöckinger U, Papotti M, Salazar R and Pascher A; Barcelona Consensus Conference participants: ENETS Consensus Guidelines for the management of patients with digestive neuro</w:t>
      </w:r>
      <w:r>
        <w:rPr>
          <w:rFonts w:cs="Minion Pro" w:hint="eastAsia"/>
          <w:color w:val="000000"/>
          <w:sz w:val="16"/>
          <w:szCs w:val="16"/>
        </w:rPr>
        <w:softHyphen/>
        <w:t>endocrine neoplasms: Colorectal neuroendocrine neoplasms. Neuroendocrinology 95: 88</w:t>
      </w:r>
      <w:r>
        <w:rPr>
          <w:rFonts w:cs="Minion Pro" w:hint="eastAsia"/>
          <w:color w:val="000000"/>
          <w:sz w:val="16"/>
          <w:szCs w:val="16"/>
        </w:rPr>
        <w:noBreakHyphen/>
        <w:t>97, 2012.</w:t>
      </w:r>
    </w:p>
    <w:p w14:paraId="4F585805"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【34】. Onozato Y, Kakizaki S, Iizuka H, Sohara N, Mori M and Itoh H: Endoscopic treatment of rectal carcinoid tumors. Dis Colon Rectum 53: 169</w:t>
      </w:r>
      <w:r>
        <w:rPr>
          <w:rFonts w:cs="Minion Pro" w:hint="eastAsia"/>
          <w:color w:val="000000"/>
          <w:sz w:val="16"/>
          <w:szCs w:val="16"/>
        </w:rPr>
        <w:noBreakHyphen/>
        <w:t>176, 2010</w:t>
      </w:r>
    </w:p>
    <w:p w14:paraId="0B358B24"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【35】. Chen T, Yao LQ, Xu MD, Zhang YQ, Chen WF, Shi Q, Cai SL, Chen YY, Xie YH, Ji Y, et al: Efficacy and safety of endoscopic submucosal dissection for colorectal carcinoids. Clin Gastroenterol Hepatol 14: 575</w:t>
      </w:r>
      <w:r>
        <w:rPr>
          <w:rFonts w:cs="Minion Pro" w:hint="eastAsia"/>
          <w:color w:val="000000"/>
          <w:sz w:val="16"/>
          <w:szCs w:val="16"/>
        </w:rPr>
        <w:noBreakHyphen/>
        <w:t>581, 2016.</w:t>
      </w:r>
    </w:p>
    <w:p w14:paraId="202796F5"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【36】 邢晓明，王英红，黄琼，等. 应用蛋白质组学分析结直肠癌促泌素和糖调节蛋白78 蛋白变化及其意义［J］. 中华病理学杂志，2007，36（2）：107-112.</w:t>
      </w:r>
    </w:p>
    <w:p w14:paraId="29D6F54B"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lastRenderedPageBreak/>
        <w:t>【37】 Masuoka Y，Furukawa D，Yazawa N，et al． Ｒectal NeuroendocrineTumor with Synchronous Pancreatic Metastasis: A Case Ｒeport ［J］．Tokai J Exp Clin Med， 2018， 43( 2) : 38-44．</w:t>
      </w:r>
    </w:p>
    <w:p w14:paraId="368D123E" w14:textId="77777777" w:rsidR="003A0860" w:rsidRDefault="003A0860" w:rsidP="003A0860">
      <w:pPr>
        <w:autoSpaceDE w:val="0"/>
        <w:autoSpaceDN w:val="0"/>
        <w:adjustRightInd w:val="0"/>
        <w:jc w:val="left"/>
        <w:rPr>
          <w:rFonts w:cs="Minion Pro"/>
          <w:color w:val="000000"/>
          <w:sz w:val="16"/>
          <w:szCs w:val="16"/>
        </w:rPr>
      </w:pPr>
      <w:r>
        <w:rPr>
          <w:rFonts w:cs="Minion Pro" w:hint="eastAsia"/>
          <w:color w:val="000000"/>
          <w:sz w:val="16"/>
          <w:szCs w:val="16"/>
        </w:rPr>
        <w:t>【38】113 例直肠神经内分泌肿瘤的临床病理观察  郑楚伊1，施永恒1，刘 强1，陈晓宇2  1. 上海交通大学医学院附属仁济医院病理科，上海 200127；2. 上海交通大学医学院附属仁济医院消化科，上海 20012</w:t>
      </w:r>
    </w:p>
    <w:p w14:paraId="16B66AE4" w14:textId="77777777" w:rsidR="003A0860" w:rsidRPr="003A0860" w:rsidRDefault="003A0860" w:rsidP="00DD16E4">
      <w:pPr>
        <w:autoSpaceDE w:val="0"/>
        <w:autoSpaceDN w:val="0"/>
        <w:adjustRightInd w:val="0"/>
        <w:ind w:firstLineChars="200" w:firstLine="420"/>
        <w:jc w:val="left"/>
      </w:pPr>
    </w:p>
    <w:sectPr w:rsidR="003A0860" w:rsidRPr="003A0860">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EC67A" w14:textId="77777777" w:rsidR="00883C72" w:rsidRDefault="00883C72" w:rsidP="00950640">
      <w:r>
        <w:separator/>
      </w:r>
    </w:p>
  </w:endnote>
  <w:endnote w:type="continuationSeparator" w:id="0">
    <w:p w14:paraId="01DD07C1" w14:textId="77777777" w:rsidR="00883C72" w:rsidRDefault="00883C72" w:rsidP="00950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Minion Pro">
    <w:altName w:val="Minion Pro"/>
    <w:panose1 w:val="00000000000000000000"/>
    <w:charset w:val="86"/>
    <w:family w:val="roman"/>
    <w:notTrueType/>
    <w:pitch w:val="default"/>
    <w:sig w:usb0="00000001" w:usb1="080E0000" w:usb2="00000010" w:usb3="00000000" w:csb0="00040000" w:csb1="00000000"/>
  </w:font>
  <w:font w:name="Times">
    <w:altName w:val="Times"/>
    <w:panose1 w:val="02020603050405020304"/>
    <w:charset w:val="00"/>
    <w:family w:val="roman"/>
    <w:pitch w:val="variable"/>
    <w:sig w:usb0="E0002EFF" w:usb1="C80E785B" w:usb2="00000019" w:usb3="00000000" w:csb0="400401FF" w:csb1="FFFF0000"/>
  </w:font>
  <w:font w:name="黑体">
    <w:altName w:val="SimHei"/>
    <w:panose1 w:val="02010609060101010101"/>
    <w:charset w:val="86"/>
    <w:family w:val="modern"/>
    <w:pitch w:val="fixed"/>
    <w:sig w:usb0="800002BF" w:usb1="38CF7CFA"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E-BZ+ZBQBRs-2">
    <w:altName w:val="微软雅黑"/>
    <w:panose1 w:val="00000000000000000000"/>
    <w:charset w:val="86"/>
    <w:family w:val="auto"/>
    <w:notTrueType/>
    <w:pitch w:val="default"/>
    <w:sig w:usb0="00000001" w:usb1="080E0000" w:usb2="00000010" w:usb3="00000000" w:csb0="00040000" w:csb1="00000000"/>
  </w:font>
  <w:font w:name="SSJ0+ZGDAWc-1">
    <w:altName w:val="微软雅黑"/>
    <w:panose1 w:val="00000000000000000000"/>
    <w:charset w:val="86"/>
    <w:family w:val="auto"/>
    <w:notTrueType/>
    <w:pitch w:val="default"/>
    <w:sig w:usb0="00000001" w:usb1="080E0000" w:usb2="00000010" w:usb3="00000000" w:csb0="00040000" w:csb1="00000000"/>
  </w:font>
  <w:font w:name="E-HZ+ZGDAWc-6">
    <w:altName w:val="微软雅黑"/>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KTJ0+ZBfKht-5">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C3561" w14:textId="77777777" w:rsidR="00950640" w:rsidRDefault="0095064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2CD46" w14:textId="77777777" w:rsidR="00586701" w:rsidRPr="00950640" w:rsidRDefault="00586701" w:rsidP="00586701">
    <w:pPr>
      <w:rPr>
        <w:rFonts w:ascii="黑体" w:eastAsia="黑体" w:hAnsi="黑体"/>
        <w:sz w:val="11"/>
        <w:szCs w:val="11"/>
      </w:rPr>
    </w:pPr>
    <w:r w:rsidRPr="00950640">
      <w:rPr>
        <w:rFonts w:ascii="黑体" w:eastAsia="黑体" w:hAnsi="黑体" w:hint="eastAsia"/>
        <w:sz w:val="11"/>
        <w:szCs w:val="11"/>
      </w:rPr>
      <w:t>通信作者：赵贵君，</w:t>
    </w:r>
    <w:r w:rsidRPr="00950640">
      <w:rPr>
        <w:rFonts w:ascii="黑体" w:eastAsia="黑体" w:hAnsi="黑体"/>
        <w:sz w:val="11"/>
        <w:szCs w:val="11"/>
      </w:rPr>
      <w:t>E-mail:cnzhaoguijun@163.com</w:t>
    </w:r>
  </w:p>
  <w:p w14:paraId="79C3586D" w14:textId="413A22B8" w:rsidR="00586701" w:rsidRDefault="00586701">
    <w:pPr>
      <w:pStyle w:val="a7"/>
    </w:pPr>
  </w:p>
  <w:p w14:paraId="7A9D9CEA" w14:textId="77777777" w:rsidR="00950640" w:rsidRDefault="00950640">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D299C" w14:textId="77777777" w:rsidR="00950640" w:rsidRDefault="0095064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A5301" w14:textId="77777777" w:rsidR="00883C72" w:rsidRDefault="00883C72" w:rsidP="00950640">
      <w:r>
        <w:separator/>
      </w:r>
    </w:p>
  </w:footnote>
  <w:footnote w:type="continuationSeparator" w:id="0">
    <w:p w14:paraId="06DB579A" w14:textId="77777777" w:rsidR="00883C72" w:rsidRDefault="00883C72" w:rsidP="00950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74EFA" w14:textId="77777777" w:rsidR="00950640" w:rsidRDefault="00950640">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27A32" w14:textId="77777777" w:rsidR="00950640" w:rsidRDefault="00950640">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F7CA4" w14:textId="77777777" w:rsidR="00950640" w:rsidRDefault="0095064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30429"/>
    <w:multiLevelType w:val="hybridMultilevel"/>
    <w:tmpl w:val="77AC6FE0"/>
    <w:lvl w:ilvl="0" w:tplc="905CAED4">
      <w:start w:val="1"/>
      <w:numFmt w:val="japaneseCounting"/>
      <w:lvlText w:val="%1，"/>
      <w:lvlJc w:val="left"/>
      <w:pPr>
        <w:ind w:left="1050" w:hanging="4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0F6265EA"/>
    <w:multiLevelType w:val="hybridMultilevel"/>
    <w:tmpl w:val="D35AE32E"/>
    <w:lvl w:ilvl="0" w:tplc="AA3C668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F1562F"/>
    <w:multiLevelType w:val="hybridMultilevel"/>
    <w:tmpl w:val="B9B4C0D8"/>
    <w:lvl w:ilvl="0" w:tplc="7242E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D02834"/>
    <w:multiLevelType w:val="hybridMultilevel"/>
    <w:tmpl w:val="BBF2E262"/>
    <w:lvl w:ilvl="0" w:tplc="62445F6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D270B4"/>
    <w:multiLevelType w:val="hybridMultilevel"/>
    <w:tmpl w:val="45240BC0"/>
    <w:lvl w:ilvl="0" w:tplc="D3F277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425"/>
    <w:rsid w:val="0009146F"/>
    <w:rsid w:val="00097C84"/>
    <w:rsid w:val="00134D97"/>
    <w:rsid w:val="00170DA0"/>
    <w:rsid w:val="00185DEE"/>
    <w:rsid w:val="002744A0"/>
    <w:rsid w:val="0028367F"/>
    <w:rsid w:val="00286DEB"/>
    <w:rsid w:val="002A1426"/>
    <w:rsid w:val="00327DE4"/>
    <w:rsid w:val="003A0860"/>
    <w:rsid w:val="003C70FA"/>
    <w:rsid w:val="00421F84"/>
    <w:rsid w:val="0044383A"/>
    <w:rsid w:val="00586701"/>
    <w:rsid w:val="006A1823"/>
    <w:rsid w:val="006F3CCC"/>
    <w:rsid w:val="00720A42"/>
    <w:rsid w:val="00771E66"/>
    <w:rsid w:val="00877C09"/>
    <w:rsid w:val="00883C72"/>
    <w:rsid w:val="008A103B"/>
    <w:rsid w:val="008C7E75"/>
    <w:rsid w:val="009321A3"/>
    <w:rsid w:val="00950640"/>
    <w:rsid w:val="00973073"/>
    <w:rsid w:val="00A106F4"/>
    <w:rsid w:val="00B3546D"/>
    <w:rsid w:val="00D04EC1"/>
    <w:rsid w:val="00DC3FE4"/>
    <w:rsid w:val="00DD16E4"/>
    <w:rsid w:val="00DE3FF1"/>
    <w:rsid w:val="00EB7425"/>
    <w:rsid w:val="00EC57BA"/>
    <w:rsid w:val="00EC5FB3"/>
    <w:rsid w:val="00FF4409"/>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A42"/>
    <w:pPr>
      <w:ind w:firstLineChars="200" w:firstLine="420"/>
    </w:pPr>
  </w:style>
  <w:style w:type="paragraph" w:customStyle="1" w:styleId="Pa24">
    <w:name w:val="Pa24"/>
    <w:basedOn w:val="a"/>
    <w:next w:val="a"/>
    <w:uiPriority w:val="99"/>
    <w:rsid w:val="00327DE4"/>
    <w:pPr>
      <w:autoSpaceDE w:val="0"/>
      <w:autoSpaceDN w:val="0"/>
      <w:adjustRightInd w:val="0"/>
      <w:spacing w:line="160" w:lineRule="atLeast"/>
      <w:jc w:val="left"/>
    </w:pPr>
    <w:rPr>
      <w:rFonts w:ascii="Minion Pro" w:eastAsia="Minion Pro"/>
      <w:kern w:val="0"/>
      <w:sz w:val="24"/>
      <w:szCs w:val="24"/>
    </w:rPr>
  </w:style>
  <w:style w:type="character" w:styleId="a4">
    <w:name w:val="Hyperlink"/>
    <w:basedOn w:val="a0"/>
    <w:uiPriority w:val="99"/>
    <w:unhideWhenUsed/>
    <w:rsid w:val="00973073"/>
    <w:rPr>
      <w:color w:val="0563C1" w:themeColor="hyperlink"/>
      <w:u w:val="single"/>
    </w:rPr>
  </w:style>
  <w:style w:type="character" w:customStyle="1" w:styleId="UnresolvedMention">
    <w:name w:val="Unresolved Mention"/>
    <w:basedOn w:val="a0"/>
    <w:uiPriority w:val="99"/>
    <w:semiHidden/>
    <w:unhideWhenUsed/>
    <w:rsid w:val="00973073"/>
    <w:rPr>
      <w:color w:val="605E5C"/>
      <w:shd w:val="clear" w:color="auto" w:fill="E1DFDD"/>
    </w:rPr>
  </w:style>
  <w:style w:type="paragraph" w:customStyle="1" w:styleId="Default">
    <w:name w:val="Default"/>
    <w:rsid w:val="0009146F"/>
    <w:pPr>
      <w:widowControl w:val="0"/>
      <w:autoSpaceDE w:val="0"/>
      <w:autoSpaceDN w:val="0"/>
      <w:adjustRightInd w:val="0"/>
    </w:pPr>
    <w:rPr>
      <w:rFonts w:ascii="Minion Pro" w:eastAsia="Minion Pro" w:cs="Minion Pro"/>
      <w:color w:val="000000"/>
      <w:kern w:val="0"/>
      <w:sz w:val="24"/>
      <w:szCs w:val="24"/>
    </w:rPr>
  </w:style>
  <w:style w:type="paragraph" w:customStyle="1" w:styleId="Pa11">
    <w:name w:val="Pa11"/>
    <w:basedOn w:val="Default"/>
    <w:next w:val="Default"/>
    <w:uiPriority w:val="99"/>
    <w:rsid w:val="00286DEB"/>
    <w:pPr>
      <w:spacing w:line="180" w:lineRule="atLeast"/>
    </w:pPr>
    <w:rPr>
      <w:rFonts w:ascii="Times" w:eastAsia="Times" w:cs="Times"/>
      <w:color w:val="auto"/>
    </w:rPr>
  </w:style>
  <w:style w:type="character" w:customStyle="1" w:styleId="A5">
    <w:name w:val="A5"/>
    <w:uiPriority w:val="99"/>
    <w:rsid w:val="00286DEB"/>
    <w:rPr>
      <w:color w:val="000000"/>
      <w:sz w:val="18"/>
      <w:szCs w:val="18"/>
    </w:rPr>
  </w:style>
  <w:style w:type="paragraph" w:styleId="a6">
    <w:name w:val="header"/>
    <w:basedOn w:val="a"/>
    <w:link w:val="Char"/>
    <w:uiPriority w:val="99"/>
    <w:unhideWhenUsed/>
    <w:rsid w:val="00950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50640"/>
    <w:rPr>
      <w:sz w:val="18"/>
      <w:szCs w:val="18"/>
    </w:rPr>
  </w:style>
  <w:style w:type="paragraph" w:styleId="a7">
    <w:name w:val="footer"/>
    <w:basedOn w:val="a"/>
    <w:link w:val="Char0"/>
    <w:uiPriority w:val="99"/>
    <w:unhideWhenUsed/>
    <w:rsid w:val="00950640"/>
    <w:pPr>
      <w:tabs>
        <w:tab w:val="center" w:pos="4153"/>
        <w:tab w:val="right" w:pos="8306"/>
      </w:tabs>
      <w:snapToGrid w:val="0"/>
      <w:jc w:val="left"/>
    </w:pPr>
    <w:rPr>
      <w:sz w:val="18"/>
      <w:szCs w:val="18"/>
    </w:rPr>
  </w:style>
  <w:style w:type="character" w:customStyle="1" w:styleId="Char0">
    <w:name w:val="页脚 Char"/>
    <w:basedOn w:val="a0"/>
    <w:link w:val="a7"/>
    <w:uiPriority w:val="99"/>
    <w:rsid w:val="009506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0A42"/>
    <w:pPr>
      <w:ind w:firstLineChars="200" w:firstLine="420"/>
    </w:pPr>
  </w:style>
  <w:style w:type="paragraph" w:customStyle="1" w:styleId="Pa24">
    <w:name w:val="Pa24"/>
    <w:basedOn w:val="a"/>
    <w:next w:val="a"/>
    <w:uiPriority w:val="99"/>
    <w:rsid w:val="00327DE4"/>
    <w:pPr>
      <w:autoSpaceDE w:val="0"/>
      <w:autoSpaceDN w:val="0"/>
      <w:adjustRightInd w:val="0"/>
      <w:spacing w:line="160" w:lineRule="atLeast"/>
      <w:jc w:val="left"/>
    </w:pPr>
    <w:rPr>
      <w:rFonts w:ascii="Minion Pro" w:eastAsia="Minion Pro"/>
      <w:kern w:val="0"/>
      <w:sz w:val="24"/>
      <w:szCs w:val="24"/>
    </w:rPr>
  </w:style>
  <w:style w:type="character" w:styleId="a4">
    <w:name w:val="Hyperlink"/>
    <w:basedOn w:val="a0"/>
    <w:uiPriority w:val="99"/>
    <w:unhideWhenUsed/>
    <w:rsid w:val="00973073"/>
    <w:rPr>
      <w:color w:val="0563C1" w:themeColor="hyperlink"/>
      <w:u w:val="single"/>
    </w:rPr>
  </w:style>
  <w:style w:type="character" w:customStyle="1" w:styleId="UnresolvedMention">
    <w:name w:val="Unresolved Mention"/>
    <w:basedOn w:val="a0"/>
    <w:uiPriority w:val="99"/>
    <w:semiHidden/>
    <w:unhideWhenUsed/>
    <w:rsid w:val="00973073"/>
    <w:rPr>
      <w:color w:val="605E5C"/>
      <w:shd w:val="clear" w:color="auto" w:fill="E1DFDD"/>
    </w:rPr>
  </w:style>
  <w:style w:type="paragraph" w:customStyle="1" w:styleId="Default">
    <w:name w:val="Default"/>
    <w:rsid w:val="0009146F"/>
    <w:pPr>
      <w:widowControl w:val="0"/>
      <w:autoSpaceDE w:val="0"/>
      <w:autoSpaceDN w:val="0"/>
      <w:adjustRightInd w:val="0"/>
    </w:pPr>
    <w:rPr>
      <w:rFonts w:ascii="Minion Pro" w:eastAsia="Minion Pro" w:cs="Minion Pro"/>
      <w:color w:val="000000"/>
      <w:kern w:val="0"/>
      <w:sz w:val="24"/>
      <w:szCs w:val="24"/>
    </w:rPr>
  </w:style>
  <w:style w:type="paragraph" w:customStyle="1" w:styleId="Pa11">
    <w:name w:val="Pa11"/>
    <w:basedOn w:val="Default"/>
    <w:next w:val="Default"/>
    <w:uiPriority w:val="99"/>
    <w:rsid w:val="00286DEB"/>
    <w:pPr>
      <w:spacing w:line="180" w:lineRule="atLeast"/>
    </w:pPr>
    <w:rPr>
      <w:rFonts w:ascii="Times" w:eastAsia="Times" w:cs="Times"/>
      <w:color w:val="auto"/>
    </w:rPr>
  </w:style>
  <w:style w:type="character" w:customStyle="1" w:styleId="A5">
    <w:name w:val="A5"/>
    <w:uiPriority w:val="99"/>
    <w:rsid w:val="00286DEB"/>
    <w:rPr>
      <w:color w:val="000000"/>
      <w:sz w:val="18"/>
      <w:szCs w:val="18"/>
    </w:rPr>
  </w:style>
  <w:style w:type="paragraph" w:styleId="a6">
    <w:name w:val="header"/>
    <w:basedOn w:val="a"/>
    <w:link w:val="Char"/>
    <w:uiPriority w:val="99"/>
    <w:unhideWhenUsed/>
    <w:rsid w:val="00950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50640"/>
    <w:rPr>
      <w:sz w:val="18"/>
      <w:szCs w:val="18"/>
    </w:rPr>
  </w:style>
  <w:style w:type="paragraph" w:styleId="a7">
    <w:name w:val="footer"/>
    <w:basedOn w:val="a"/>
    <w:link w:val="Char0"/>
    <w:uiPriority w:val="99"/>
    <w:unhideWhenUsed/>
    <w:rsid w:val="00950640"/>
    <w:pPr>
      <w:tabs>
        <w:tab w:val="center" w:pos="4153"/>
        <w:tab w:val="right" w:pos="8306"/>
      </w:tabs>
      <w:snapToGrid w:val="0"/>
      <w:jc w:val="left"/>
    </w:pPr>
    <w:rPr>
      <w:sz w:val="18"/>
      <w:szCs w:val="18"/>
    </w:rPr>
  </w:style>
  <w:style w:type="character" w:customStyle="1" w:styleId="Char0">
    <w:name w:val="页脚 Char"/>
    <w:basedOn w:val="a0"/>
    <w:link w:val="a7"/>
    <w:uiPriority w:val="99"/>
    <w:rsid w:val="009506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02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920250/" TargetMode="External"/><Relationship Id="rId13" Type="http://schemas.openxmlformats.org/officeDocument/2006/relationships/hyperlink" Target="https://www.ncbi.nlm.nih.gov/pmc/articles/PMC5920250/"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ncbi.nlm.nih.gov/pmc/articles/PMC5920250/"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ancerstaging.org/536%20references-tools/deskreferences/Pages/default.a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cbi.nlm.nih.gov/pmc/articles/PMC592025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5920250/" TargetMode="External"/><Relationship Id="rId23" Type="http://schemas.openxmlformats.org/officeDocument/2006/relationships/fontTable" Target="fontTable.xml"/><Relationship Id="rId10" Type="http://schemas.openxmlformats.org/officeDocument/2006/relationships/hyperlink" Target="https://www.ncbi.nlm.nih.gov/pmc/articles/PMC5920250/"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ncbi.nlm.nih.gov/pmc/articles/PMC5920250/" TargetMode="External"/><Relationship Id="rId14" Type="http://schemas.openxmlformats.org/officeDocument/2006/relationships/hyperlink" Target="https://www.ncbi.nlm.nih.gov/pmc/articles/PMC5920250/"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2061</Words>
  <Characters>11749</Characters>
  <Application>Microsoft Office Word</Application>
  <DocSecurity>0</DocSecurity>
  <Lines>97</Lines>
  <Paragraphs>27</Paragraphs>
  <ScaleCrop>false</ScaleCrop>
  <Company/>
  <LinksUpToDate>false</LinksUpToDate>
  <CharactersWithSpaces>13783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联想</dc:creator>
  <cp:lastModifiedBy>联想</cp:lastModifiedBy>
  <cp:revision>2</cp:revision>
  <dcterms:created xsi:type="dcterms:W3CDTF">2020-04-09T01:06:00Z</dcterms:created>
  <dcterms:modified xsi:type="dcterms:W3CDTF">2020-04-09T01:06:00Z</dcterms:modified>
</cp:coreProperties>
</file>