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黑体" w:hAnsi="黑体" w:eastAsia="黑体" w:cs="黑体"/>
          <w:b w:val="0"/>
          <w:bCs w:val="0"/>
          <w:sz w:val="24"/>
          <w:szCs w:val="24"/>
          <w:lang w:val="en-US" w:eastAsia="zh-CN"/>
        </w:rPr>
      </w:pPr>
      <w:r>
        <w:rPr>
          <w:rFonts w:hint="eastAsia" w:asciiTheme="minorEastAsia" w:hAnsiTheme="minorEastAsia" w:eastAsiaTheme="minorEastAsia" w:cstheme="minorEastAsia"/>
          <w:b/>
          <w:bCs/>
          <w:sz w:val="32"/>
          <w:szCs w:val="32"/>
          <w:lang w:val="en-US" w:eastAsia="zh-CN"/>
        </w:rPr>
        <w:t>基于在线开放课程打造外语“金课”</w:t>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包臻珍</w:t>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（东北石油大学，大庆 黑龙江）</w:t>
      </w:r>
    </w:p>
    <w:p>
      <w:pPr>
        <w:numPr>
          <w:ilvl w:val="0"/>
          <w:numId w:val="0"/>
        </w:numPr>
        <w:jc w:val="center"/>
        <w:rPr>
          <w:rFonts w:hint="eastAsia" w:ascii="仿宋" w:hAnsi="仿宋" w:eastAsia="仿宋" w:cs="仿宋"/>
          <w:b w:val="0"/>
          <w:bCs w:val="0"/>
          <w:sz w:val="24"/>
          <w:szCs w:val="24"/>
          <w:lang w:val="en-US" w:eastAsia="zh-CN"/>
        </w:rPr>
      </w:pPr>
    </w:p>
    <w:p>
      <w:pPr>
        <w:numPr>
          <w:ilvl w:val="0"/>
          <w:numId w:val="0"/>
        </w:numPr>
        <w:rPr>
          <w:rFonts w:hint="eastAsia" w:asciiTheme="minorEastAsia" w:hAnsiTheme="minorEastAsia" w:eastAsiaTheme="minorEastAsia" w:cstheme="minorEastAsia"/>
          <w:lang w:val="en-US" w:eastAsia="zh-CN"/>
        </w:rPr>
      </w:pPr>
      <w:r>
        <w:rPr>
          <w:rFonts w:hint="eastAsia" w:ascii="黑体" w:hAnsi="黑体" w:eastAsia="黑体" w:cs="黑体"/>
          <w:lang w:val="en-US" w:eastAsia="zh-CN"/>
        </w:rPr>
        <w:t>摘  要</w:t>
      </w:r>
      <w:r>
        <w:rPr>
          <w:rFonts w:hint="eastAsia" w:asciiTheme="minorEastAsia" w:hAnsiTheme="minorEastAsia" w:eastAsiaTheme="minorEastAsia" w:cstheme="minorEastAsia"/>
          <w:lang w:val="en-US" w:eastAsia="zh-CN"/>
        </w:rPr>
        <w:t>：淘汰“水课”，建设“金课”是高校全面落实全国教育大会和高校本科教育工作会议精神，深化教育教学改革，提升教学质量的重要措施，也是新时代中国高等教育走向内涵式发展道路的迫切需要。</w:t>
      </w:r>
      <w:r>
        <w:rPr>
          <w:rFonts w:hint="eastAsia" w:asciiTheme="minorEastAsia" w:hAnsiTheme="minorEastAsia" w:cstheme="minorEastAsia"/>
          <w:lang w:val="en-US" w:eastAsia="zh-CN"/>
        </w:rPr>
        <w:t>我国外语类教学进程在近几年失去了发展活力，因此在慕课发展的背景下，该研究主要聚焦于在线英语课堂的发展现状现状，</w:t>
      </w:r>
      <w:r>
        <w:rPr>
          <w:rFonts w:hint="eastAsia" w:asciiTheme="minorEastAsia" w:hAnsiTheme="minorEastAsia" w:eastAsiaTheme="minorEastAsia" w:cstheme="minorEastAsia"/>
          <w:lang w:val="en-US" w:eastAsia="zh-CN"/>
        </w:rPr>
        <w:t>分析了其存在的问题，并结合“金课”的建设要求提出了相应的对策与建设，以提高</w:t>
      </w:r>
      <w:r>
        <w:rPr>
          <w:rFonts w:hint="eastAsia" w:asciiTheme="minorEastAsia" w:hAnsiTheme="minorEastAsia" w:cstheme="minorEastAsia"/>
          <w:lang w:val="en-US" w:eastAsia="zh-CN"/>
        </w:rPr>
        <w:t>英语</w:t>
      </w:r>
      <w:r>
        <w:rPr>
          <w:rFonts w:hint="eastAsia" w:asciiTheme="minorEastAsia" w:hAnsiTheme="minorEastAsia" w:eastAsiaTheme="minorEastAsia" w:cstheme="minorEastAsia"/>
          <w:lang w:val="en-US" w:eastAsia="zh-CN"/>
        </w:rPr>
        <w:t>“金课”的建设水平，打造更多</w:t>
      </w:r>
      <w:r>
        <w:rPr>
          <w:rFonts w:hint="eastAsia" w:asciiTheme="minorEastAsia" w:hAnsiTheme="minorEastAsia" w:cstheme="minorEastAsia"/>
          <w:lang w:val="en-US" w:eastAsia="zh-CN"/>
        </w:rPr>
        <w:t>的</w:t>
      </w:r>
      <w:r>
        <w:rPr>
          <w:rFonts w:hint="eastAsia" w:asciiTheme="minorEastAsia" w:hAnsiTheme="minorEastAsia" w:eastAsiaTheme="minorEastAsia" w:cstheme="minorEastAsia"/>
          <w:lang w:val="en-US" w:eastAsia="zh-CN"/>
        </w:rPr>
        <w:t>智慧课堂。</w:t>
      </w:r>
    </w:p>
    <w:p>
      <w:pPr>
        <w:numPr>
          <w:ilvl w:val="0"/>
          <w:numId w:val="0"/>
        </w:numP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关键词：外语教学  金课  开放课程  教育改革</w:t>
      </w:r>
    </w:p>
    <w:p>
      <w:pPr>
        <w:numPr>
          <w:ilvl w:val="0"/>
          <w:numId w:val="0"/>
        </w:numPr>
        <w:rPr>
          <w:rFonts w:hint="eastAsia" w:ascii="黑体" w:hAnsi="黑体" w:eastAsia="黑体" w:cs="黑体"/>
          <w:sz w:val="21"/>
          <w:szCs w:val="21"/>
          <w:lang w:val="en-US" w:eastAsia="zh-CN"/>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金课”是我国推进现代化教育强国和“双一流”建设的重要保障，是推动全国教育工作“以本为本”“四个回归”和“两个基本点”的重要途径，其根本目的在于提高人才培养质量、突破传统教育桎梏，实现教育创新，是学生回归读书学习，教师回归教学本位。自2018年6月教育部部长陈宝生首次提出“金课”概念以来，打造“金课”的行动在全国高校广泛开展。教育部推出“双万”计划，只在今后两到三年时间内打造国家级和省级“金课”各一万门，分为线上、线下、线上线下混合、虚拟仿真和社会时间等五大类型优质课程。</w:t>
      </w:r>
      <w:r>
        <w:rPr>
          <w:rFonts w:hint="eastAsia" w:asciiTheme="minorEastAsia" w:hAnsiTheme="minorEastAsia" w:cstheme="minorEastAsia"/>
          <w:color w:val="auto"/>
          <w:sz w:val="24"/>
          <w:szCs w:val="24"/>
          <w:lang w:val="en-US" w:eastAsia="zh-CN"/>
        </w:rPr>
        <w:t>外语学习作为本科教育阶段举足轻重的学习内容，外语教师教学手段与教学方式的更新深刻影响着高校办学层次的提升与进步，将外语教学与互联网相结合才能站在时代潮流，采用信息化、数字化、智能化的手段提高学生的外语素质。本文整理了我国外语类在线开放课程的建设现状，在互联网的背景下提出相应的改革措施与建议，以期打造更多外语“金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外语类国家精品在线开放课程建设现状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国家精品在线开放课程是教育部认定的一批“</w:t>
      </w:r>
      <w:r>
        <w:rPr>
          <w:rFonts w:hint="eastAsia" w:asciiTheme="minorEastAsia" w:hAnsiTheme="minorEastAsia" w:cstheme="minorEastAsia"/>
          <w:sz w:val="24"/>
          <w:szCs w:val="24"/>
          <w:lang w:val="en-US" w:eastAsia="zh-CN"/>
        </w:rPr>
        <w:t>以</w:t>
      </w:r>
      <w:r>
        <w:rPr>
          <w:rFonts w:hint="eastAsia" w:asciiTheme="minorEastAsia" w:hAnsiTheme="minorEastAsia" w:eastAsiaTheme="minorEastAsia" w:cstheme="minorEastAsia"/>
          <w:sz w:val="24"/>
          <w:szCs w:val="24"/>
          <w:lang w:val="en-US" w:eastAsia="zh-CN"/>
        </w:rPr>
        <w:t>大规模在线开放课程为代表、课程应用与教学服务相融通的优质在线开放课程”。</w:t>
      </w:r>
      <w:r>
        <w:rPr>
          <w:rFonts w:hint="eastAsia" w:asciiTheme="minorEastAsia" w:hAnsiTheme="minorEastAsia" w:cstheme="minorEastAsia"/>
          <w:sz w:val="24"/>
          <w:szCs w:val="24"/>
          <w:lang w:val="en-US" w:eastAsia="zh-CN"/>
        </w:rPr>
        <w:t>自从2017年开通国家精品开放课程的认定工作以来，</w:t>
      </w:r>
      <w:r>
        <w:rPr>
          <w:rFonts w:hint="eastAsia" w:asciiTheme="minorEastAsia" w:hAnsiTheme="minorEastAsia" w:eastAsiaTheme="minorEastAsia" w:cstheme="minorEastAsia"/>
          <w:sz w:val="24"/>
          <w:szCs w:val="24"/>
          <w:lang w:val="en-US" w:eastAsia="zh-CN"/>
        </w:rPr>
        <w:t>经过两次共评选出1291门国家精品在线开放课程，其中外语类在线开放课程共有44门，占所有</w:t>
      </w:r>
      <w:r>
        <w:rPr>
          <w:rFonts w:hint="eastAsia" w:asciiTheme="minorEastAsia" w:hAnsiTheme="minorEastAsia" w:cstheme="minorEastAsia"/>
          <w:sz w:val="24"/>
          <w:szCs w:val="24"/>
          <w:lang w:val="en-US" w:eastAsia="zh-CN"/>
        </w:rPr>
        <w:t>开放课程</w:t>
      </w:r>
      <w:r>
        <w:rPr>
          <w:rFonts w:hint="eastAsia" w:asciiTheme="minorEastAsia" w:hAnsiTheme="minorEastAsia" w:eastAsiaTheme="minorEastAsia" w:cstheme="minorEastAsia"/>
          <w:sz w:val="24"/>
          <w:szCs w:val="24"/>
          <w:lang w:val="en-US" w:eastAsia="zh-CN"/>
        </w:rPr>
        <w:t>门数的3.4%。根据对这44门外语类在线开放课程的调查统计可知：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建课高校层次不一，外语类院校仅有上海外国语大学和四川外国语大学各建课一门；在课程地区分布方面，以北京、四川和江苏的高校最多，分别建有6门，其次是黑龙江有4门，再次就是浙江和福建分别有三门。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在课程类型方面，大多数课程为训练语言的听说读写译的课程，其中翻译类课程仅有2门，文学文化类课程8门，商务英语类和非通用语种类课程各占2门，而语言学类课程尚未有一门被认定为国精开。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课程参与人数方面，参与人数在1-10万之间占比63.6%，有10门课程参与人数在10-50万人之间；参与人数超过50万人的有两门课程。一门是清华大学建设的“生活英语听说”，参与人数截止目前有58.7万，另一门是国防科技大学建设的“大学英语口语”，参与人数截至目前达134万人，为所有课程参与之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三、高校在互联网+“金课”建设中存在的问题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由于互联网的迅猛发展，高校的教育教学改革也随之而来，与此同时</w:t>
      </w:r>
      <w:r>
        <w:rPr>
          <w:rFonts w:hint="eastAsia" w:asciiTheme="minorEastAsia" w:hAnsiTheme="minorEastAsia" w:eastAsiaTheme="minorEastAsia" w:cstheme="minorEastAsia"/>
          <w:sz w:val="24"/>
          <w:szCs w:val="24"/>
          <w:lang w:val="en-US" w:eastAsia="zh-CN"/>
        </w:rPr>
        <w:t>伴随着5G时代的到来，</w:t>
      </w:r>
      <w:r>
        <w:rPr>
          <w:rFonts w:hint="eastAsia" w:asciiTheme="minorEastAsia" w:hAnsiTheme="minorEastAsia" w:cstheme="minorEastAsia"/>
          <w:sz w:val="24"/>
          <w:szCs w:val="24"/>
          <w:lang w:val="en-US" w:eastAsia="zh-CN"/>
        </w:rPr>
        <w:t>高校教育生态体系也面临着新一轮的解体与重构。新时代背景下产生的数字优势与网络优势不断冲击着传统大学存在的价值与意义，也给传统课堂的发展提出了新的改革方向，高校的形态、教学模式以及培养方式也引起当今一线教师的重视与思考。</w:t>
      </w:r>
      <w:r>
        <w:rPr>
          <w:rFonts w:hint="eastAsia" w:asciiTheme="minorEastAsia" w:hAnsiTheme="minorEastAsia" w:eastAsiaTheme="minorEastAsia" w:cstheme="minorEastAsia"/>
          <w:sz w:val="24"/>
          <w:szCs w:val="24"/>
          <w:lang w:val="en-US" w:eastAsia="zh-CN"/>
        </w:rPr>
        <w:t>因此，</w:t>
      </w:r>
      <w:r>
        <w:rPr>
          <w:rFonts w:hint="eastAsia" w:asciiTheme="minorEastAsia" w:hAnsiTheme="minorEastAsia" w:cstheme="minorEastAsia"/>
          <w:sz w:val="24"/>
          <w:szCs w:val="24"/>
          <w:lang w:val="en-US" w:eastAsia="zh-CN"/>
        </w:rPr>
        <w:t>全国</w:t>
      </w:r>
      <w:r>
        <w:rPr>
          <w:rFonts w:hint="eastAsia" w:asciiTheme="minorEastAsia" w:hAnsiTheme="minorEastAsia" w:eastAsiaTheme="minorEastAsia" w:cstheme="minorEastAsia"/>
          <w:sz w:val="24"/>
          <w:szCs w:val="24"/>
          <w:lang w:val="en-US" w:eastAsia="zh-CN"/>
        </w:rPr>
        <w:t>高校</w:t>
      </w:r>
      <w:r>
        <w:rPr>
          <w:rFonts w:hint="eastAsia" w:asciiTheme="minorEastAsia" w:hAnsiTheme="minorEastAsia" w:cstheme="minorEastAsia"/>
          <w:sz w:val="24"/>
          <w:szCs w:val="24"/>
          <w:lang w:val="en-US" w:eastAsia="zh-CN"/>
        </w:rPr>
        <w:t>迅速响应教育部政策的号召，站在时代发展的前沿，顺应时代潮流，培养教师提升改进教学方法，提高教师队伍的信息化与智能化水平，在互联网的帮助下打造新一轮“金课”，从而提高学生的学习效率，优化课堂体系，更进一步推动教育系统的改良与升级。</w:t>
      </w:r>
      <w:r>
        <w:rPr>
          <w:rFonts w:hint="eastAsia" w:asciiTheme="minorEastAsia" w:hAnsiTheme="minorEastAsia" w:eastAsiaTheme="minorEastAsia" w:cstheme="minorEastAsia"/>
          <w:sz w:val="24"/>
          <w:szCs w:val="24"/>
          <w:lang w:val="en-US" w:eastAsia="zh-CN"/>
        </w:rPr>
        <w:t>但是，由于</w:t>
      </w:r>
      <w:r>
        <w:rPr>
          <w:rFonts w:hint="eastAsia" w:asciiTheme="minorEastAsia" w:hAnsiTheme="minorEastAsia" w:cstheme="minorEastAsia"/>
          <w:sz w:val="24"/>
          <w:szCs w:val="24"/>
          <w:lang w:val="en-US" w:eastAsia="zh-CN"/>
        </w:rPr>
        <w:t>一线教师素质参差不一，依然有许多</w:t>
      </w:r>
      <w:r>
        <w:rPr>
          <w:rFonts w:hint="eastAsia" w:asciiTheme="minorEastAsia" w:hAnsiTheme="minorEastAsia" w:eastAsiaTheme="minorEastAsia" w:cstheme="minorEastAsia"/>
          <w:sz w:val="24"/>
          <w:szCs w:val="24"/>
          <w:lang w:val="en-US" w:eastAsia="zh-CN"/>
        </w:rPr>
        <w:t>教师对“金课”认识不够，</w:t>
      </w:r>
      <w:r>
        <w:rPr>
          <w:rFonts w:hint="eastAsia" w:asciiTheme="minorEastAsia" w:hAnsiTheme="minorEastAsia" w:cstheme="minorEastAsia"/>
          <w:sz w:val="24"/>
          <w:szCs w:val="24"/>
          <w:lang w:val="en-US" w:eastAsia="zh-CN"/>
        </w:rPr>
        <w:t>许多</w:t>
      </w:r>
      <w:r>
        <w:rPr>
          <w:rFonts w:hint="eastAsia" w:asciiTheme="minorEastAsia" w:hAnsiTheme="minorEastAsia" w:eastAsiaTheme="minorEastAsia" w:cstheme="minorEastAsia"/>
          <w:sz w:val="24"/>
          <w:szCs w:val="24"/>
          <w:lang w:val="en-US" w:eastAsia="zh-CN"/>
        </w:rPr>
        <w:t>学校资金技术支持不足等原因，导致高校在“金课”建设中面临很多问题。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教师对“金课”的意识薄弱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教师队伍的建设关系着高校的发展和人才培养，尤其是教师教育教学能力的提升，</w:t>
      </w:r>
      <w:r>
        <w:rPr>
          <w:rFonts w:hint="eastAsia" w:asciiTheme="minorEastAsia" w:hAnsiTheme="minorEastAsia" w:cstheme="minorEastAsia"/>
          <w:sz w:val="24"/>
          <w:szCs w:val="24"/>
          <w:lang w:val="en-US" w:eastAsia="zh-CN"/>
        </w:rPr>
        <w:t>是高校提高办学层次和办学水平的核心竞争力，但是由于长期受到传统教育思想与教育方式的影响，多数教师对于新生事物的感知能力与接受能力较低，从而影响到高校对于“金课”的建设氛围，由于高校“金课”的建设氛围不够浓厚，教师对于高校“金课”的定位与建设重要性认识不足，全国教育改革转型将很难快速推进。另外，高校教师对信息技术的运用能力不足，在课堂和教学方法上缺乏探究精神，对互联网+“金课”的认识积极性不高，</w:t>
      </w:r>
      <w:r>
        <w:rPr>
          <w:rFonts w:hint="eastAsia" w:asciiTheme="minorEastAsia" w:hAnsiTheme="minorEastAsia" w:eastAsiaTheme="minorEastAsia" w:cstheme="minorEastAsia"/>
          <w:sz w:val="24"/>
          <w:szCs w:val="24"/>
          <w:lang w:val="en-US" w:eastAsia="zh-CN"/>
        </w:rPr>
        <w:t>因此，这是高校推进教育教学改革，打造</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金课</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，必须优先解决的现实问题。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（二）</w:t>
      </w:r>
      <w:r>
        <w:rPr>
          <w:rFonts w:hint="eastAsia" w:asciiTheme="minorEastAsia" w:hAnsiTheme="minorEastAsia" w:eastAsiaTheme="minorEastAsia" w:cstheme="minorEastAsia"/>
          <w:sz w:val="24"/>
          <w:szCs w:val="24"/>
          <w:lang w:val="en-US" w:eastAsia="zh-CN"/>
        </w:rPr>
        <w:t>学校技术设备匮乏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“金课”作为一种以多维度衡量的高</w:t>
      </w:r>
      <w:r>
        <w:rPr>
          <w:rFonts w:hint="eastAsia" w:asciiTheme="minorEastAsia" w:hAnsiTheme="minorEastAsia" w:cstheme="minorEastAsia"/>
          <w:sz w:val="24"/>
          <w:szCs w:val="24"/>
          <w:lang w:val="en-US" w:eastAsia="zh-CN"/>
        </w:rPr>
        <w:t>阶性课</w:t>
      </w:r>
      <w:r>
        <w:rPr>
          <w:rFonts w:hint="eastAsia" w:asciiTheme="minorEastAsia" w:hAnsiTheme="minorEastAsia" w:eastAsiaTheme="minorEastAsia" w:cstheme="minorEastAsia"/>
          <w:sz w:val="24"/>
          <w:szCs w:val="24"/>
          <w:lang w:val="en-US" w:eastAsia="zh-CN"/>
        </w:rPr>
        <w:t>程，</w:t>
      </w:r>
      <w:r>
        <w:rPr>
          <w:rFonts w:hint="eastAsia" w:asciiTheme="minorEastAsia" w:hAnsiTheme="minorEastAsia" w:cstheme="minorEastAsia"/>
          <w:sz w:val="24"/>
          <w:szCs w:val="24"/>
          <w:lang w:val="en-US" w:eastAsia="zh-CN"/>
        </w:rPr>
        <w:t>课程质量不仅仅体现在教授内容上，更在于学校经费的支持及智慧课堂的装备条件、支撑线上学习的校园网网速以及存储资源、规划课程体系所需要的人力、物力资源占比等众多因素的影响，</w:t>
      </w:r>
      <w:r>
        <w:rPr>
          <w:rFonts w:hint="eastAsia" w:asciiTheme="minorEastAsia" w:hAnsiTheme="minorEastAsia" w:eastAsiaTheme="minorEastAsia" w:cstheme="minorEastAsia"/>
          <w:sz w:val="24"/>
          <w:szCs w:val="24"/>
          <w:lang w:val="en-US" w:eastAsia="zh-CN"/>
        </w:rPr>
        <w:t>从高校实际</w:t>
      </w:r>
      <w:r>
        <w:rPr>
          <w:rFonts w:hint="eastAsia" w:asciiTheme="minorEastAsia" w:hAnsiTheme="minorEastAsia" w:cstheme="minorEastAsia"/>
          <w:sz w:val="24"/>
          <w:szCs w:val="24"/>
          <w:lang w:val="en-US" w:eastAsia="zh-CN"/>
        </w:rPr>
        <w:t>发展情况来看，教室规模、数量、功能、教学工具的配备、集中管理平台的搭建以及大数据采集系统、网络教学评价系统与“金课”多维度的要求并不匹配，不足以支撑高校大规模的开展在线开放课程的建设工作，因此，高校在人力、物力、资金等方面的投入成为互联网下“金课”建设的制约性因素之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（三）</w:t>
      </w:r>
      <w:r>
        <w:rPr>
          <w:rFonts w:hint="eastAsia" w:asciiTheme="minorEastAsia" w:hAnsiTheme="minorEastAsia" w:eastAsiaTheme="minorEastAsia" w:cstheme="minorEastAsia"/>
          <w:sz w:val="24"/>
          <w:szCs w:val="24"/>
          <w:lang w:val="en-US" w:eastAsia="zh-CN"/>
        </w:rPr>
        <w:t>学生参与“金课”建设意识淡化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学生是高校教育的主要教育对象，是课程学习的主体，课程最终教育的实效性是通过学生这个主体反映出来，学生的参与性是课程能够顺利开展的的关键因素。</w:t>
      </w:r>
      <w:r>
        <w:rPr>
          <w:rFonts w:hint="eastAsia" w:asciiTheme="minorEastAsia" w:hAnsiTheme="minorEastAsia" w:cstheme="minorEastAsia"/>
          <w:sz w:val="24"/>
          <w:szCs w:val="24"/>
          <w:lang w:val="en-US" w:eastAsia="zh-CN"/>
        </w:rPr>
        <w:t>根据授课教师的观察与调研发现，大部分学生在经过高考模式的培养之后，丧失了积极主动的学习状态，认为进入大学只需要取得毕业证即可，对自己在大学阶段的学习呈现漠不关心的状态，对各方面都缺乏必要的规划与上进心，学生整体的课堂参与程度逐渐淡化。</w:t>
      </w:r>
      <w:r>
        <w:rPr>
          <w:rFonts w:hint="eastAsia" w:asciiTheme="minorEastAsia" w:hAnsiTheme="minorEastAsia" w:eastAsiaTheme="minorEastAsia" w:cstheme="minorEastAsia"/>
          <w:sz w:val="24"/>
          <w:szCs w:val="24"/>
          <w:lang w:val="en-US" w:eastAsia="zh-CN"/>
        </w:rPr>
        <w:t>高校教育对于“金课”的推行，严格要求度</w:t>
      </w:r>
      <w:r>
        <w:rPr>
          <w:rFonts w:hint="eastAsia" w:asciiTheme="minorEastAsia" w:hAnsiTheme="minorEastAsia" w:cstheme="minorEastAsia"/>
          <w:sz w:val="24"/>
          <w:szCs w:val="24"/>
          <w:lang w:val="en-US" w:eastAsia="zh-CN"/>
        </w:rPr>
        <w:t>对</w:t>
      </w:r>
      <w:r>
        <w:rPr>
          <w:rFonts w:hint="eastAsia" w:asciiTheme="minorEastAsia" w:hAnsiTheme="minorEastAsia" w:eastAsiaTheme="minorEastAsia" w:cstheme="minorEastAsia"/>
          <w:sz w:val="24"/>
          <w:szCs w:val="24"/>
          <w:lang w:val="en-US" w:eastAsia="zh-CN"/>
        </w:rPr>
        <w:t>学生实施“两性一度”的标准，</w:t>
      </w:r>
      <w:r>
        <w:rPr>
          <w:rFonts w:hint="eastAsia" w:asciiTheme="minorEastAsia" w:hAnsiTheme="minorEastAsia" w:cstheme="minorEastAsia"/>
          <w:sz w:val="24"/>
          <w:szCs w:val="24"/>
          <w:lang w:val="en-US" w:eastAsia="zh-CN"/>
        </w:rPr>
        <w:t>即高阶性、创新性和挑战度。</w:t>
      </w:r>
      <w:r>
        <w:rPr>
          <w:rFonts w:hint="eastAsia" w:asciiTheme="minorEastAsia" w:hAnsiTheme="minorEastAsia" w:eastAsiaTheme="minorEastAsia" w:cstheme="minorEastAsia"/>
          <w:sz w:val="24"/>
          <w:szCs w:val="24"/>
          <w:lang w:val="en-US" w:eastAsia="zh-CN"/>
        </w:rPr>
        <w:t>这对于长时间处于一种松散式被动学习的学生来说，是无法接受的，</w:t>
      </w:r>
      <w:r>
        <w:rPr>
          <w:rFonts w:hint="eastAsia" w:asciiTheme="minorEastAsia" w:hAnsiTheme="minorEastAsia" w:cstheme="minorEastAsia"/>
          <w:sz w:val="24"/>
          <w:szCs w:val="24"/>
          <w:lang w:val="en-US" w:eastAsia="zh-CN"/>
        </w:rPr>
        <w:t>与此同时，由于互联网的发展给学生带来了强烈视觉听觉冲击，学生的娱乐项目既单一又多元，互联网大环境的诱惑占据了学生的大部分课余时间，而这类学生对于“金课”的低参与度增加了课程推广的难度。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四、对策与建议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（一）</w:t>
      </w:r>
      <w:r>
        <w:rPr>
          <w:rFonts w:hint="eastAsia" w:asciiTheme="minorEastAsia" w:hAnsiTheme="minorEastAsia" w:eastAsiaTheme="minorEastAsia" w:cstheme="minorEastAsia"/>
          <w:sz w:val="24"/>
          <w:szCs w:val="24"/>
          <w:lang w:val="en-US" w:eastAsia="zh-CN"/>
        </w:rPr>
        <w:t>线上线下互动，深化混合教学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推动在线开放课程的利用率，首先是要提高在线课程在师生心目中的熟悉度。教师采用翻转课堂的形式将线上线下进行混合，既提高开放课程的使用率，又帮助学生改变传统的学习方式，教师在课前或课后选择优质的在线开放课程内容作为学生学习的补充或预习，配合自己的传统课堂教学进行翻转教学，而学生通过课前、课中、课后学习的循环与互促，融合师生线上线下的交流与互动，形成慕课与传统课堂的良性循环，以此来提高外语类在线开放课程的使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（二）</w:t>
      </w:r>
      <w:r>
        <w:rPr>
          <w:rFonts w:hint="eastAsia" w:asciiTheme="minorEastAsia" w:hAnsiTheme="minorEastAsia" w:eastAsiaTheme="minorEastAsia" w:cstheme="minorEastAsia"/>
          <w:sz w:val="24"/>
          <w:szCs w:val="24"/>
          <w:lang w:val="en-US" w:eastAsia="zh-CN"/>
        </w:rPr>
        <w:t>打造智慧教学空间，创建育人新环境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lang w:val="en-US" w:eastAsia="zh-CN"/>
        </w:rPr>
        <w:t>学校要以“金课”建设为抓手推进教育教学改革，重构智慧教学生态圈，推动混合式教育改革、虚拟仿真、人工智能、智慧教学工具等教育创新进课堂，加快智慧教学空间的打造，推进教学环境的整体改造。加大多媒体教室的改造力度，升级更新公告设备，为适应新时代创新型教学提供保障；</w:t>
      </w:r>
      <w:r>
        <w:rPr>
          <w:rFonts w:hint="eastAsia" w:asciiTheme="minorEastAsia" w:hAnsiTheme="minorEastAsia" w:cstheme="minorEastAsia"/>
          <w:sz w:val="24"/>
          <w:szCs w:val="24"/>
          <w:lang w:val="en-US" w:eastAsia="zh-CN"/>
        </w:rPr>
        <w:t>加快</w:t>
      </w:r>
      <w:r>
        <w:rPr>
          <w:rFonts w:hint="eastAsia" w:asciiTheme="minorEastAsia" w:hAnsiTheme="minorEastAsia" w:eastAsiaTheme="minorEastAsia" w:cstheme="minorEastAsia"/>
          <w:sz w:val="24"/>
          <w:szCs w:val="24"/>
          <w:lang w:val="en-US" w:eastAsia="zh-CN"/>
        </w:rPr>
        <w:t>智慧教室的建设，</w:t>
      </w:r>
      <w:r>
        <w:rPr>
          <w:rFonts w:hint="eastAsia" w:asciiTheme="minorEastAsia" w:hAnsiTheme="minorEastAsia" w:eastAsiaTheme="minorEastAsia" w:cstheme="minorEastAsia"/>
          <w:color w:val="auto"/>
          <w:sz w:val="24"/>
          <w:szCs w:val="24"/>
          <w:lang w:val="en-US" w:eastAsia="zh-CN"/>
        </w:rPr>
        <w:t>引入智慧教学工具，全面打造智慧教学空间来推进课堂教学革命，对教师的教学模式、学生的学习过程、教学反馈评价体系等进行系统性重塑，形成以数字化、探讨型、研究性为主的教育新形态，真正实现“以学生为中心的教与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（三）</w:t>
      </w:r>
      <w:r>
        <w:rPr>
          <w:rFonts w:hint="eastAsia" w:asciiTheme="minorEastAsia" w:hAnsiTheme="minorEastAsia" w:eastAsiaTheme="minorEastAsia" w:cstheme="minorEastAsia"/>
          <w:color w:val="auto"/>
          <w:sz w:val="24"/>
          <w:szCs w:val="24"/>
          <w:lang w:val="en-US" w:eastAsia="zh-CN"/>
        </w:rPr>
        <w:t>转变学生参与“金课”的学习思维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高校教育主题要从学生的角度入手，充分考虑学生特点，根据学生当前的学习情况，深度结合学生对于外语的课程的学习实际，不能操之过急也不能停滞不前，针对学生学习的英语基础、学习习惯、学生的认知能力等方面，从侧面进行引导，实现课堂内外的互通，引发学生的问题意识，从而使教学知识先行进入学生的头脑，使学生能够积极参与到“金课”建设的学习实践中。要着重突出以学生为中心的课程教学理念，外语教学内容要体现时代性，课堂实施方法和途径要体现创造性，考核标准要确保挑战性，严格按照“两性一度”的标准进行教学改革，对重点学生要积极培养“金课”思维，让更多学生能够认识到在日常课程中，“金课”已经成为课程教育的显示，彻底改变固有的学习思维，将“金课”理念贯穿到自己学习的各个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五、结语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在线开放课程是高等教育线上</w:t>
      </w:r>
      <w:r>
        <w:rPr>
          <w:rFonts w:hint="eastAsia" w:asciiTheme="minorEastAsia" w:hAnsiTheme="minorEastAsia" w:cstheme="minorEastAsia"/>
          <w:sz w:val="24"/>
          <w:szCs w:val="24"/>
          <w:lang w:val="en-US" w:eastAsia="zh-CN"/>
        </w:rPr>
        <w:t>“金课”的代表，但是目前我国外语类在线开放课程认定门数不多，质量参差不齐，各省市高校建课数量不均，影响力有待加强，尚处于起步阶段。而5G时代的到来为在线开放课程的建设带来了新的发展契机，各高校应该积极参与“金课”的建设，用信息技术引领外语教学，提高外语教学质量，激发外语教学新的发展活力，推动教育改革，开创技术时代外语教学与改革的新范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参考文献</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吴 岩.剑豪用好学号国家精品在线开放课程 努力写好高等教育</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奋进之笔</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[J].中国大学教学,2018(1).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覃 军.技术驱动学习 打造外语</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金课</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--外语类国家精品在线开放课程建设现状、问题及对策研究[J].外语电化教学,2019(6):55-61.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薛 茜.高校金课建设面临的问题及应对措施[J].中国教育技术装备,2019(10):64-66.</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薄蓉蓉,冷明祥.高校</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金课</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建设的基本认知、现实困境与实践路径[J].黑龙江高教研究,2019(8):141-144.</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马凤岐.建设</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金课</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是提高通识教育质量的关键[J].高段教育管理,2019(4):57-63.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Creating "golden courses" based on online open courses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Bao Zhen-zhen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hint="eastAsia" w:asciiTheme="minorEastAsia" w:hAnsiTheme="minorEastAsia" w:cstheme="minorEastAsia"/>
          <w:sz w:val="24"/>
          <w:szCs w:val="24"/>
          <w:lang w:val="en-US" w:eastAsia="zh-CN"/>
        </w:rPr>
      </w:pPr>
      <w:r>
        <w:rPr>
          <w:rFonts w:hint="eastAsia" w:ascii="Times New Roman" w:hAnsi="Times New Roman" w:cs="Times New Roman"/>
          <w:sz w:val="24"/>
          <w:szCs w:val="24"/>
          <w:lang w:val="en-US" w:eastAsia="zh-CN"/>
        </w:rPr>
        <w:t>(School of Foreign Languages, Northeast Petroleum University, Daqing, China)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Abstract</w:t>
      </w:r>
      <w:r>
        <w:rPr>
          <w:rFonts w:hint="default" w:ascii="Times New Roman" w:hAnsi="Times New Roman" w:cs="Times New Roman"/>
          <w:sz w:val="24"/>
          <w:szCs w:val="24"/>
          <w:lang w:val="en-US" w:eastAsia="zh-CN"/>
        </w:rPr>
        <w:t>:Eliminating "water courses" and building "golden courses" are important measures for colleges and universities to fully implement the spirit of national education conference and university undergraduate education work conference, deepen educational and teaching reform, and improve teaching quality. And since lesson for first, China's foreign language classes online open courses construction progress faster, so the research is mainly focused on the English writing course teaching present situation, analyzes its existing problems, and combining with the construction of the "gold" requirement put forward the corresponding countermeasure and construction, to improve the level of English writing for the construction of the "gold", the wisdom of creating more class.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Key words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oreign language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teaching</w:t>
      </w:r>
      <w:r>
        <w:rPr>
          <w:rFonts w:hint="eastAsia" w:ascii="Times New Roman" w:hAnsi="Times New Roman" w:cs="Times New Roman"/>
          <w:sz w:val="24"/>
          <w:szCs w:val="24"/>
          <w:lang w:val="en-US" w:eastAsia="zh-CN"/>
        </w:rPr>
        <w:t>; G</w:t>
      </w:r>
      <w:r>
        <w:rPr>
          <w:rFonts w:hint="default" w:ascii="Times New Roman" w:hAnsi="Times New Roman" w:cs="Times New Roman"/>
          <w:sz w:val="24"/>
          <w:szCs w:val="24"/>
          <w:lang w:val="en-US" w:eastAsia="zh-CN"/>
        </w:rPr>
        <w:t>old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course</w:t>
      </w:r>
      <w:r>
        <w:rPr>
          <w:rFonts w:hint="eastAsia" w:ascii="Times New Roman" w:hAnsi="Times New Roman" w:cs="Times New Roman"/>
          <w:sz w:val="24"/>
          <w:szCs w:val="24"/>
          <w:lang w:val="en-US" w:eastAsia="zh-CN"/>
        </w:rPr>
        <w:t>; O</w:t>
      </w:r>
      <w:r>
        <w:rPr>
          <w:rFonts w:hint="default" w:ascii="Times New Roman" w:hAnsi="Times New Roman" w:cs="Times New Roman"/>
          <w:sz w:val="24"/>
          <w:szCs w:val="24"/>
          <w:lang w:val="en-US" w:eastAsia="zh-CN"/>
        </w:rPr>
        <w:t>pen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course</w:t>
      </w:r>
      <w:r>
        <w:rPr>
          <w:rFonts w:hint="eastAsia" w:ascii="Times New Roman" w:hAnsi="Times New Roman" w:cs="Times New Roman"/>
          <w:sz w:val="24"/>
          <w:szCs w:val="24"/>
          <w:lang w:val="en-US" w:eastAsia="zh-CN"/>
        </w:rPr>
        <w:t>; E</w:t>
      </w:r>
      <w:r>
        <w:rPr>
          <w:rFonts w:hint="default" w:ascii="Times New Roman" w:hAnsi="Times New Roman" w:cs="Times New Roman"/>
          <w:sz w:val="24"/>
          <w:szCs w:val="24"/>
          <w:lang w:val="en-US" w:eastAsia="zh-CN"/>
        </w:rPr>
        <w:t>ducation reform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作者简介：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姓名：包臻珍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出生年月：1996.4.16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学习单位：东北石油大学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学位：硕士</w:t>
      </w:r>
      <w:bookmarkStart w:id="0" w:name="_GoBack"/>
      <w:bookmarkEnd w:id="0"/>
      <w:r>
        <w:rPr>
          <w:rFonts w:hint="eastAsia" w:ascii="Times New Roman" w:hAnsi="Times New Roman" w:cs="Times New Roman"/>
          <w:sz w:val="24"/>
          <w:szCs w:val="24"/>
          <w:lang w:val="en-US" w:eastAsia="zh-CN"/>
        </w:rPr>
        <w:t>研究生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研究方向：英语语言教育学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通讯地址：黑龙江省大庆市龙凤区开发区黎明街道东北石油大学二号门学苑小区北门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联系电话：15333617013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邮箱：805480632@qq.com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default" w:eastAsiaTheme="minorEastAsia"/>
        <w:lang w:val="en-US"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4D439"/>
    <w:multiLevelType w:val="singleLevel"/>
    <w:tmpl w:val="8DA4D439"/>
    <w:lvl w:ilvl="0" w:tentative="0">
      <w:start w:val="1"/>
      <w:numFmt w:val="decimal"/>
      <w:lvlText w:val="[%1]"/>
      <w:lvlJc w:val="left"/>
      <w:pPr>
        <w:tabs>
          <w:tab w:val="left" w:pos="312"/>
        </w:tabs>
      </w:pPr>
    </w:lvl>
  </w:abstractNum>
  <w:abstractNum w:abstractNumId="1">
    <w:nsid w:val="FAD087BA"/>
    <w:multiLevelType w:val="singleLevel"/>
    <w:tmpl w:val="FAD087BA"/>
    <w:lvl w:ilvl="0" w:tentative="0">
      <w:start w:val="1"/>
      <w:numFmt w:val="chineseCounting"/>
      <w:suff w:val="nothing"/>
      <w:lvlText w:val="%1、"/>
      <w:lvlJc w:val="left"/>
      <w:rPr>
        <w:rFonts w:hint="eastAsia"/>
      </w:rPr>
    </w:lvl>
  </w:abstractNum>
  <w:abstractNum w:abstractNumId="2">
    <w:nsid w:val="43EE4B66"/>
    <w:multiLevelType w:val="singleLevel"/>
    <w:tmpl w:val="43EE4B66"/>
    <w:lvl w:ilvl="0" w:tentative="0">
      <w:start w:val="1"/>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975D7"/>
    <w:rsid w:val="091761FD"/>
    <w:rsid w:val="0E950F63"/>
    <w:rsid w:val="10804510"/>
    <w:rsid w:val="10BD15FF"/>
    <w:rsid w:val="189A00C7"/>
    <w:rsid w:val="1A8B73F6"/>
    <w:rsid w:val="1D9D34AD"/>
    <w:rsid w:val="26C05CC4"/>
    <w:rsid w:val="2DA507EB"/>
    <w:rsid w:val="34DA0548"/>
    <w:rsid w:val="387F782D"/>
    <w:rsid w:val="3BA27868"/>
    <w:rsid w:val="40C75690"/>
    <w:rsid w:val="45620D58"/>
    <w:rsid w:val="4ABC7303"/>
    <w:rsid w:val="4CAF075F"/>
    <w:rsid w:val="4D8507BC"/>
    <w:rsid w:val="4F053ABE"/>
    <w:rsid w:val="51111C16"/>
    <w:rsid w:val="52512A0A"/>
    <w:rsid w:val="5424006D"/>
    <w:rsid w:val="5ABD5613"/>
    <w:rsid w:val="5DB87312"/>
    <w:rsid w:val="5F4705A7"/>
    <w:rsid w:val="5F483FE2"/>
    <w:rsid w:val="62516243"/>
    <w:rsid w:val="6CD40BC8"/>
    <w:rsid w:val="709305B7"/>
    <w:rsid w:val="73FF3256"/>
    <w:rsid w:val="769724C3"/>
    <w:rsid w:val="77270F6F"/>
    <w:rsid w:val="780710C7"/>
    <w:rsid w:val="7C807F8F"/>
    <w:rsid w:val="7D694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WPS_1477473385</cp:lastModifiedBy>
  <dcterms:modified xsi:type="dcterms:W3CDTF">2020-04-09T12:03:57Z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