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lang w:eastAsia="zh-CN"/>
        </w:rPr>
      </w:pPr>
      <w:r>
        <w:rPr>
          <w:rFonts w:hint="eastAsia"/>
          <w:sz w:val="44"/>
          <w:szCs w:val="44"/>
          <w:lang w:eastAsia="zh-CN"/>
        </w:rPr>
        <w:t>潜江市农作物秸秆综合利用的实践与思考</w:t>
      </w:r>
    </w:p>
    <w:p>
      <w:pPr>
        <w:jc w:val="center"/>
        <w:rPr>
          <w:rFonts w:hint="default"/>
          <w:lang w:val="en-US" w:eastAsia="zh-CN"/>
        </w:rPr>
      </w:pPr>
      <w:r>
        <w:rPr>
          <w:rFonts w:hint="eastAsia"/>
          <w:lang w:eastAsia="zh-CN"/>
        </w:rPr>
        <w:t>张国栋</w:t>
      </w:r>
      <w:r>
        <w:rPr>
          <w:rFonts w:hint="eastAsia" w:eastAsiaTheme="minorEastAsia"/>
          <w:vertAlign w:val="superscript"/>
          <w:lang w:val="en-US" w:eastAsia="zh-CN"/>
        </w:rPr>
        <w:t>1</w:t>
      </w:r>
      <w:r>
        <w:rPr>
          <w:rFonts w:hint="eastAsia"/>
          <w:lang w:val="en-US" w:eastAsia="zh-CN"/>
        </w:rPr>
        <w:t xml:space="preserve">  任榆</w:t>
      </w:r>
      <w:r>
        <w:rPr>
          <w:rFonts w:hint="eastAsia" w:eastAsiaTheme="minorEastAsia"/>
          <w:vertAlign w:val="superscript"/>
          <w:lang w:val="en-US" w:eastAsia="zh-CN"/>
        </w:rPr>
        <w:t>1</w:t>
      </w:r>
      <w:r>
        <w:rPr>
          <w:rFonts w:hint="eastAsia"/>
          <w:lang w:val="en-US" w:eastAsia="zh-CN"/>
        </w:rPr>
        <w:t xml:space="preserve">   何书文</w:t>
      </w:r>
      <w:r>
        <w:rPr>
          <w:rFonts w:hint="eastAsia" w:eastAsiaTheme="minorEastAsia"/>
          <w:vertAlign w:val="superscript"/>
          <w:lang w:val="en-US" w:eastAsia="zh-CN"/>
        </w:rPr>
        <w:t>2</w:t>
      </w:r>
      <w:r>
        <w:rPr>
          <w:rFonts w:hint="eastAsia"/>
          <w:lang w:val="en-US" w:eastAsia="zh-CN"/>
        </w:rPr>
        <w:t xml:space="preserve">  钟宇萍</w:t>
      </w:r>
      <w:r>
        <w:rPr>
          <w:rFonts w:hint="eastAsia" w:eastAsiaTheme="minorEastAsia"/>
          <w:vertAlign w:val="superscript"/>
          <w:lang w:val="en-US" w:eastAsia="zh-CN"/>
        </w:rPr>
        <w:t>1</w:t>
      </w:r>
      <w:r>
        <w:rPr>
          <w:rFonts w:hint="eastAsia"/>
          <w:lang w:val="en-US" w:eastAsia="zh-CN"/>
        </w:rPr>
        <w:t xml:space="preserve">  胡凭祥</w:t>
      </w:r>
      <w:r>
        <w:rPr>
          <w:rFonts w:hint="eastAsia" w:eastAsiaTheme="minorEastAsia"/>
          <w:vertAlign w:val="superscript"/>
          <w:lang w:val="en-US" w:eastAsia="zh-CN"/>
        </w:rPr>
        <w:t>1</w:t>
      </w:r>
    </w:p>
    <w:p>
      <w:pPr>
        <w:keepNext w:val="0"/>
        <w:keepLines w:val="0"/>
        <w:pageBreakBefore w:val="0"/>
        <w:widowControl w:val="0"/>
        <w:kinsoku/>
        <w:wordWrap/>
        <w:overflowPunct/>
        <w:topLinePunct w:val="0"/>
        <w:autoSpaceDE/>
        <w:autoSpaceDN/>
        <w:bidi w:val="0"/>
        <w:adjustRightInd/>
        <w:snapToGrid/>
        <w:spacing w:line="530" w:lineRule="exact"/>
        <w:ind w:firstLine="420" w:firstLineChars="200"/>
        <w:textAlignment w:val="auto"/>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(1.潜江市生态能源局  湖北潜江 433100；2.潜江市农业农村局 湖北潜江 433100）</w:t>
      </w:r>
    </w:p>
    <w:p>
      <w:pPr>
        <w:keepNext w:val="0"/>
        <w:keepLines w:val="0"/>
        <w:pageBreakBefore w:val="0"/>
        <w:widowControl w:val="0"/>
        <w:kinsoku/>
        <w:wordWrap/>
        <w:overflowPunct/>
        <w:topLinePunct w:val="0"/>
        <w:autoSpaceDE/>
        <w:autoSpaceDN/>
        <w:bidi w:val="0"/>
        <w:adjustRightInd/>
        <w:snapToGrid/>
        <w:spacing w:line="47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lang w:val="en-US" w:eastAsia="zh-CN"/>
        </w:rPr>
        <w:t>摘要：潜江</w:t>
      </w:r>
      <w:r>
        <w:rPr>
          <w:rFonts w:hint="eastAsia" w:ascii="仿宋" w:hAnsi="仿宋" w:eastAsia="仿宋" w:cs="仿宋"/>
          <w:sz w:val="28"/>
          <w:szCs w:val="28"/>
        </w:rPr>
        <w:t>常年种植水稻、小麦、棉花、油菜、大豆、玉米等农作物</w:t>
      </w:r>
      <w:r>
        <w:rPr>
          <w:rFonts w:hint="eastAsia" w:ascii="仿宋" w:hAnsi="仿宋" w:eastAsia="仿宋" w:cs="仿宋"/>
          <w:sz w:val="28"/>
          <w:szCs w:val="28"/>
          <w:lang w:eastAsia="zh-CN"/>
        </w:rPr>
        <w:t>，秸秆资源丰富。文章分析了潜江秸秆综合利用现状、存在的问对题，由此提出了加大政策扶持、推广秸秆利用新技术、推进秸秆全量利用、完善收储运体系、加强综合服务等对策。</w:t>
      </w:r>
    </w:p>
    <w:p>
      <w:pPr>
        <w:keepNext w:val="0"/>
        <w:keepLines w:val="0"/>
        <w:pageBreakBefore w:val="0"/>
        <w:widowControl w:val="0"/>
        <w:kinsoku/>
        <w:wordWrap/>
        <w:overflowPunct/>
        <w:topLinePunct w:val="0"/>
        <w:autoSpaceDE/>
        <w:autoSpaceDN/>
        <w:bidi w:val="0"/>
        <w:adjustRightInd/>
        <w:snapToGrid/>
        <w:spacing w:line="470" w:lineRule="exact"/>
        <w:ind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eastAsia="zh-CN"/>
        </w:rPr>
        <w:t>关键词：潜江市；秸秆综合利用；存在的问题；建议</w:t>
      </w:r>
      <w:bookmarkStart w:id="0" w:name="_GoBack"/>
      <w:bookmarkEnd w:id="0"/>
    </w:p>
    <w:p>
      <w:pPr>
        <w:keepNext w:val="0"/>
        <w:keepLines w:val="0"/>
        <w:pageBreakBefore w:val="0"/>
        <w:widowControl w:val="0"/>
        <w:kinsoku/>
        <w:wordWrap/>
        <w:overflowPunct/>
        <w:topLinePunct w:val="0"/>
        <w:autoSpaceDE/>
        <w:autoSpaceDN/>
        <w:bidi w:val="0"/>
        <w:adjustRightInd/>
        <w:snapToGrid/>
        <w:spacing w:line="470" w:lineRule="exact"/>
        <w:ind w:firstLine="560" w:firstLineChars="200"/>
        <w:textAlignment w:val="auto"/>
        <w:rPr>
          <w:rFonts w:hint="eastAsia" w:ascii="仿宋" w:hAnsi="仿宋" w:eastAsia="仿宋" w:cs="仿宋"/>
          <w:sz w:val="28"/>
          <w:szCs w:val="28"/>
          <w:lang w:eastAsia="zh-CN"/>
        </w:rPr>
      </w:pPr>
      <w:r>
        <w:rPr>
          <w:rFonts w:hint="eastAsia" w:ascii="仿宋" w:hAnsi="仿宋" w:eastAsia="仿宋" w:cs="仿宋"/>
          <w:sz w:val="28"/>
          <w:szCs w:val="28"/>
        </w:rPr>
        <w:t>潜江市位于湖北省中南部，江汉平原腹地，素有“水乡园林</w:t>
      </w:r>
      <w:r>
        <w:rPr>
          <w:rFonts w:hint="eastAsia" w:ascii="仿宋" w:hAnsi="仿宋" w:eastAsia="仿宋" w:cs="仿宋"/>
          <w:sz w:val="28"/>
          <w:szCs w:val="28"/>
          <w:lang w:eastAsia="zh-CN"/>
        </w:rPr>
        <w:t>、龙虾之乡</w:t>
      </w:r>
      <w:r>
        <w:rPr>
          <w:rFonts w:hint="eastAsia" w:ascii="仿宋" w:hAnsi="仿宋" w:eastAsia="仿宋" w:cs="仿宋"/>
          <w:sz w:val="28"/>
          <w:szCs w:val="28"/>
        </w:rPr>
        <w:t>”美誉</w:t>
      </w:r>
      <w:r>
        <w:rPr>
          <w:rFonts w:hint="eastAsia" w:ascii="仿宋" w:hAnsi="仿宋" w:eastAsia="仿宋" w:cs="仿宋"/>
          <w:sz w:val="28"/>
          <w:szCs w:val="28"/>
          <w:lang w:eastAsia="zh-CN"/>
        </w:rPr>
        <w:t>，</w:t>
      </w:r>
      <w:r>
        <w:rPr>
          <w:rFonts w:hint="eastAsia" w:ascii="仿宋" w:hAnsi="仿宋" w:eastAsia="仿宋" w:cs="仿宋"/>
          <w:sz w:val="28"/>
          <w:szCs w:val="28"/>
        </w:rPr>
        <w:t>全市国土面积2004</w:t>
      </w:r>
      <w:r>
        <w:rPr>
          <w:rFonts w:hint="eastAsia" w:ascii="仿宋" w:hAnsi="仿宋" w:eastAsia="仿宋" w:cs="仿宋"/>
          <w:sz w:val="28"/>
          <w:szCs w:val="28"/>
          <w:lang w:val="en-US" w:eastAsia="zh-CN"/>
        </w:rPr>
        <w:t>km</w:t>
      </w:r>
      <w:r>
        <w:rPr>
          <w:rFonts w:hint="eastAsia" w:ascii="仿宋" w:hAnsi="仿宋" w:eastAsia="仿宋" w:cs="仿宋"/>
          <w:sz w:val="28"/>
          <w:szCs w:val="28"/>
          <w:vertAlign w:val="superscript"/>
          <w:lang w:val="en-US" w:eastAsia="zh-CN"/>
        </w:rPr>
        <w:t>2</w:t>
      </w:r>
      <w:r>
        <w:rPr>
          <w:rFonts w:hint="eastAsia" w:ascii="仿宋" w:hAnsi="仿宋" w:eastAsia="仿宋" w:cs="仿宋"/>
          <w:sz w:val="28"/>
          <w:szCs w:val="28"/>
        </w:rPr>
        <w:t>。潜江是全省优质粮棉油生产基地，常年种植水稻、小麦、棉花、油菜、大豆、玉米等农作物</w:t>
      </w:r>
      <w:r>
        <w:rPr>
          <w:rFonts w:hint="eastAsia" w:ascii="仿宋" w:hAnsi="仿宋" w:eastAsia="仿宋" w:cs="仿宋"/>
          <w:sz w:val="28"/>
          <w:szCs w:val="28"/>
          <w:lang w:eastAsia="zh-CN"/>
        </w:rPr>
        <w:t>，秸秆资源丰富。长期以来，由于对秸秆资源开发利用不足，每到收割季节都出现秸秆焚烧现象和大量秸秆废弃，造成巨大的资源浪费和环境污染。因此，推进秸秆综合利用，对提高耕地质量、促进农业增效、保护生态环境、改善农村生产生活条件、推动美丽乡村建设具有十分重要的意义。</w:t>
      </w: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firstLine="560" w:firstLineChars="200"/>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1.秸秆综合利用现状</w:t>
      </w: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firstLine="560"/>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2019年全市播种面积175.42万亩，总产63.88万吨。根据农业农村部不同区域秸秆可收集系数推荐值计算出全市秸秆资源总量为73.1万吨，可收集资源量56.23万吨（表1）。其中以水稻秸秆为主，秸秆可收集资源量为35.75万吨，占全部可收集资源量的63.58%。</w:t>
      </w:r>
    </w:p>
    <w:tbl>
      <w:tblPr>
        <w:tblStyle w:val="3"/>
        <w:tblW w:w="9495" w:type="dxa"/>
        <w:jc w:val="center"/>
        <w:shd w:val="clear" w:color="auto" w:fill="auto"/>
        <w:tblLayout w:type="autofit"/>
        <w:tblCellMar>
          <w:top w:w="0" w:type="dxa"/>
          <w:left w:w="0" w:type="dxa"/>
          <w:bottom w:w="0" w:type="dxa"/>
          <w:right w:w="0" w:type="dxa"/>
        </w:tblCellMar>
      </w:tblPr>
      <w:tblGrid>
        <w:gridCol w:w="315"/>
        <w:gridCol w:w="863"/>
        <w:gridCol w:w="1297"/>
        <w:gridCol w:w="1080"/>
        <w:gridCol w:w="1080"/>
        <w:gridCol w:w="1260"/>
        <w:gridCol w:w="1110"/>
        <w:gridCol w:w="1080"/>
        <w:gridCol w:w="1110"/>
        <w:gridCol w:w="300"/>
      </w:tblGrid>
      <w:tr>
        <w:tblPrEx>
          <w:shd w:val="clear" w:color="auto" w:fill="auto"/>
          <w:tblCellMar>
            <w:top w:w="0" w:type="dxa"/>
            <w:left w:w="0" w:type="dxa"/>
            <w:bottom w:w="0" w:type="dxa"/>
            <w:right w:w="0" w:type="dxa"/>
          </w:tblCellMar>
        </w:tblPrEx>
        <w:trPr>
          <w:trHeight w:val="405" w:hRule="atLeast"/>
          <w:jc w:val="center"/>
        </w:trPr>
        <w:tc>
          <w:tcPr>
            <w:tcW w:w="315"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880" w:type="dxa"/>
            <w:gridSpan w:val="8"/>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ascii="方正小标宋简体" w:hAnsi="方正小标宋简体" w:eastAsia="方正小标宋简体" w:cs="方正小标宋简体"/>
                <w:i w:val="0"/>
                <w:color w:val="000000"/>
                <w:sz w:val="28"/>
                <w:szCs w:val="28"/>
                <w:u w:val="none"/>
              </w:rPr>
            </w:pPr>
            <w:r>
              <w:rPr>
                <w:rFonts w:hint="default" w:ascii="方正小标宋简体" w:hAnsi="方正小标宋简体" w:eastAsia="方正小标宋简体" w:cs="方正小标宋简体"/>
                <w:i w:val="0"/>
                <w:color w:val="000000"/>
                <w:kern w:val="0"/>
                <w:sz w:val="28"/>
                <w:szCs w:val="28"/>
                <w:u w:val="none"/>
                <w:lang w:val="en-US" w:eastAsia="zh-CN" w:bidi="ar"/>
              </w:rPr>
              <w:t>表1  潜江市2019年农作物秸秆产量表</w:t>
            </w:r>
          </w:p>
        </w:tc>
        <w:tc>
          <w:tcPr>
            <w:tcW w:w="300" w:type="dxa"/>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761" w:hRule="atLeast"/>
          <w:jc w:val="center"/>
        </w:trPr>
        <w:tc>
          <w:tcPr>
            <w:tcW w:w="0" w:type="auto"/>
            <w:tcBorders>
              <w:top w:val="single" w:color="000000" w:sz="4" w:space="0"/>
              <w:left w:val="nil"/>
              <w:bottom w:val="single" w:color="000000" w:sz="4" w:space="0"/>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0"/>
                <w:szCs w:val="20"/>
                <w:u w:val="none"/>
                <w:lang w:val="en-US" w:eastAsia="zh-CN" w:bidi="ar"/>
              </w:rPr>
            </w:pPr>
            <w:r>
              <w:rPr>
                <w:rFonts w:hint="eastAsia" w:ascii="宋体" w:hAnsi="宋体" w:eastAsia="宋体" w:cs="宋体"/>
                <w:b/>
                <w:i w:val="0"/>
                <w:color w:val="000000"/>
                <w:kern w:val="0"/>
                <w:sz w:val="20"/>
                <w:szCs w:val="20"/>
                <w:u w:val="none"/>
                <w:lang w:val="en-US" w:eastAsia="zh-CN" w:bidi="ar"/>
              </w:rPr>
              <w:t>秸秆</w:t>
            </w:r>
          </w:p>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类型</w:t>
            </w:r>
          </w:p>
        </w:tc>
        <w:tc>
          <w:tcPr>
            <w:tcW w:w="1297"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0"/>
                <w:szCs w:val="20"/>
                <w:u w:val="none"/>
                <w:lang w:val="en-US" w:eastAsia="zh-CN" w:bidi="ar"/>
              </w:rPr>
            </w:pPr>
            <w:r>
              <w:rPr>
                <w:rFonts w:hint="eastAsia" w:ascii="宋体" w:hAnsi="宋体" w:eastAsia="宋体" w:cs="宋体"/>
                <w:b/>
                <w:i w:val="0"/>
                <w:color w:val="000000"/>
                <w:kern w:val="0"/>
                <w:sz w:val="20"/>
                <w:szCs w:val="20"/>
                <w:u w:val="none"/>
                <w:lang w:val="en-US" w:eastAsia="zh-CN" w:bidi="ar"/>
              </w:rPr>
              <w:t>播种面积</w:t>
            </w:r>
          </w:p>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（亩）</w:t>
            </w:r>
          </w:p>
        </w:tc>
        <w:tc>
          <w:tcPr>
            <w:tcW w:w="108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0"/>
                <w:szCs w:val="20"/>
                <w:u w:val="none"/>
                <w:lang w:val="en-US" w:eastAsia="zh-CN" w:bidi="ar"/>
              </w:rPr>
            </w:pPr>
            <w:r>
              <w:rPr>
                <w:rFonts w:hint="eastAsia" w:ascii="宋体" w:hAnsi="宋体" w:eastAsia="宋体" w:cs="宋体"/>
                <w:b/>
                <w:i w:val="0"/>
                <w:color w:val="000000"/>
                <w:kern w:val="0"/>
                <w:sz w:val="20"/>
                <w:szCs w:val="20"/>
                <w:u w:val="none"/>
                <w:lang w:val="en-US" w:eastAsia="zh-CN" w:bidi="ar"/>
              </w:rPr>
              <w:t>单产</w:t>
            </w:r>
          </w:p>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（公斤/亩）</w:t>
            </w:r>
          </w:p>
        </w:tc>
        <w:tc>
          <w:tcPr>
            <w:tcW w:w="108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总产（吨）</w:t>
            </w:r>
          </w:p>
        </w:tc>
        <w:tc>
          <w:tcPr>
            <w:tcW w:w="126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kern w:val="0"/>
                <w:sz w:val="20"/>
                <w:szCs w:val="20"/>
                <w:u w:val="none"/>
                <w:lang w:val="en-US" w:eastAsia="zh-CN" w:bidi="ar"/>
              </w:rPr>
            </w:pPr>
            <w:r>
              <w:rPr>
                <w:rFonts w:hint="eastAsia" w:ascii="宋体" w:hAnsi="宋体" w:eastAsia="宋体" w:cs="宋体"/>
                <w:b/>
                <w:i w:val="0"/>
                <w:color w:val="000000"/>
                <w:kern w:val="0"/>
                <w:sz w:val="20"/>
                <w:szCs w:val="20"/>
                <w:u w:val="none"/>
                <w:lang w:val="en-US" w:eastAsia="zh-CN" w:bidi="ar"/>
              </w:rPr>
              <w:t>草谷比</w:t>
            </w:r>
          </w:p>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（推荐值）</w:t>
            </w:r>
          </w:p>
        </w:tc>
        <w:tc>
          <w:tcPr>
            <w:tcW w:w="111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理论资源量（吨）</w:t>
            </w:r>
          </w:p>
        </w:tc>
        <w:tc>
          <w:tcPr>
            <w:tcW w:w="108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收集系数（推荐计算值）</w:t>
            </w:r>
          </w:p>
        </w:tc>
        <w:tc>
          <w:tcPr>
            <w:tcW w:w="111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可收集资源量（吨）</w:t>
            </w:r>
          </w:p>
        </w:tc>
        <w:tc>
          <w:tcPr>
            <w:tcW w:w="0" w:type="auto"/>
            <w:tcBorders>
              <w:top w:val="single" w:color="000000" w:sz="4" w:space="0"/>
              <w:left w:val="nil"/>
              <w:bottom w:val="single" w:color="000000" w:sz="4" w:space="0"/>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水稻</w:t>
            </w:r>
          </w:p>
        </w:tc>
        <w:tc>
          <w:tcPr>
            <w:tcW w:w="129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881509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550.02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484848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489696.48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0.73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357478.43</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小麦</w:t>
            </w:r>
          </w:p>
        </w:tc>
        <w:tc>
          <w:tcPr>
            <w:tcW w:w="129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411770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197.3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81242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1.19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96677.98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0.81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78309.16</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玉米</w:t>
            </w:r>
          </w:p>
        </w:tc>
        <w:tc>
          <w:tcPr>
            <w:tcW w:w="129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32650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310.44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10136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1.41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14291.76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12862.58</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9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薯类</w:t>
            </w:r>
          </w:p>
        </w:tc>
        <w:tc>
          <w:tcPr>
            <w:tcW w:w="129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2800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0.15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0.98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102.9</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花生</w:t>
            </w:r>
          </w:p>
        </w:tc>
        <w:tc>
          <w:tcPr>
            <w:tcW w:w="129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21900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269.86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5910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1.43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8451.3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0.98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8282.27</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油菜</w:t>
            </w:r>
          </w:p>
        </w:tc>
        <w:tc>
          <w:tcPr>
            <w:tcW w:w="129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211271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157.62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33300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1.88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62604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0.81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50709.24</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大豆</w:t>
            </w:r>
          </w:p>
        </w:tc>
        <w:tc>
          <w:tcPr>
            <w:tcW w:w="129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151321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99.66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15080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24128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0.84</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20267.52</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棉花</w:t>
            </w:r>
          </w:p>
        </w:tc>
        <w:tc>
          <w:tcPr>
            <w:tcW w:w="129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25500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210.2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5360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24656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0.98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24162.88</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其他</w:t>
            </w:r>
          </w:p>
        </w:tc>
        <w:tc>
          <w:tcPr>
            <w:tcW w:w="1297" w:type="dxa"/>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15500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148.39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2300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10350</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0.98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10143</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70" w:hRule="atLeast"/>
          <w:jc w:val="center"/>
        </w:trPr>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863" w:type="dxa"/>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合计</w:t>
            </w:r>
          </w:p>
        </w:tc>
        <w:tc>
          <w:tcPr>
            <w:tcW w:w="1297" w:type="dxa"/>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1754221</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0"/>
                <w:szCs w:val="20"/>
                <w:u w:val="none"/>
              </w:rPr>
            </w:pP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638876</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0"/>
                <w:szCs w:val="20"/>
                <w:u w:val="none"/>
              </w:rPr>
            </w:pP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730960.52</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0"/>
                <w:szCs w:val="20"/>
                <w:u w:val="none"/>
              </w:rPr>
            </w:pP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562317.99</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530" w:lineRule="exact"/>
        <w:ind w:leftChars="0" w:firstLine="578"/>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通过对潜江市2019年秸秆利用工作开展情况数据汇总和农作物秸秆台账调查分析，得出潜江市农作物秸秆利用现状表（表2）。</w:t>
      </w:r>
    </w:p>
    <w:tbl>
      <w:tblPr>
        <w:tblStyle w:val="3"/>
        <w:tblW w:w="9600" w:type="dxa"/>
        <w:jc w:val="center"/>
        <w:shd w:val="clear" w:color="auto" w:fill="auto"/>
        <w:tblLayout w:type="autofit"/>
        <w:tblCellMar>
          <w:top w:w="0" w:type="dxa"/>
          <w:left w:w="0" w:type="dxa"/>
          <w:bottom w:w="0" w:type="dxa"/>
          <w:right w:w="0" w:type="dxa"/>
        </w:tblCellMar>
      </w:tblPr>
      <w:tblGrid>
        <w:gridCol w:w="55"/>
        <w:gridCol w:w="1395"/>
        <w:gridCol w:w="1450"/>
        <w:gridCol w:w="1587"/>
        <w:gridCol w:w="1368"/>
        <w:gridCol w:w="1403"/>
        <w:gridCol w:w="1403"/>
        <w:gridCol w:w="1174"/>
        <w:gridCol w:w="72"/>
      </w:tblGrid>
      <w:tr>
        <w:tblPrEx>
          <w:shd w:val="clear" w:color="auto" w:fill="auto"/>
          <w:tblCellMar>
            <w:top w:w="0" w:type="dxa"/>
            <w:left w:w="0" w:type="dxa"/>
            <w:bottom w:w="0" w:type="dxa"/>
            <w:right w:w="0" w:type="dxa"/>
          </w:tblCellMar>
        </w:tblPrEx>
        <w:trPr>
          <w:trHeight w:val="600" w:hRule="atLeast"/>
          <w:jc w:val="center"/>
        </w:trPr>
        <w:tc>
          <w:tcPr>
            <w:tcW w:w="9600" w:type="dxa"/>
            <w:gridSpan w:val="9"/>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32"/>
                <w:szCs w:val="32"/>
                <w:u w:val="none"/>
              </w:rPr>
            </w:pPr>
            <w:r>
              <w:rPr>
                <w:rFonts w:hint="eastAsia" w:ascii="黑体" w:hAnsi="黑体" w:eastAsia="黑体" w:cs="黑体"/>
                <w:i w:val="0"/>
                <w:color w:val="000000"/>
                <w:kern w:val="0"/>
                <w:sz w:val="32"/>
                <w:szCs w:val="32"/>
                <w:u w:val="none"/>
                <w:lang w:val="en-US" w:eastAsia="zh-CN" w:bidi="ar"/>
              </w:rPr>
              <w:t>表2  潜江市2019年农作物秸秆利用现状表</w:t>
            </w:r>
          </w:p>
        </w:tc>
      </w:tr>
      <w:tr>
        <w:tblPrEx>
          <w:tblCellMar>
            <w:top w:w="0" w:type="dxa"/>
            <w:left w:w="0" w:type="dxa"/>
            <w:bottom w:w="0" w:type="dxa"/>
            <w:right w:w="0" w:type="dxa"/>
          </w:tblCellMar>
        </w:tblPrEx>
        <w:trPr>
          <w:trHeight w:val="560" w:hRule="atLeast"/>
          <w:jc w:val="center"/>
        </w:trPr>
        <w:tc>
          <w:tcPr>
            <w:tcW w:w="0" w:type="auto"/>
            <w:tcBorders>
              <w:top w:val="single" w:color="000000" w:sz="4" w:space="0"/>
              <w:left w:val="nil"/>
              <w:bottom w:val="single" w:color="000000" w:sz="4" w:space="0"/>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single" w:color="000000" w:sz="4" w:space="0"/>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秸秆类型</w:t>
            </w:r>
          </w:p>
        </w:tc>
        <w:tc>
          <w:tcPr>
            <w:tcW w:w="132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可利用资源</w:t>
            </w:r>
            <w:r>
              <w:rPr>
                <w:rFonts w:hint="eastAsia" w:ascii="宋体" w:hAnsi="宋体" w:eastAsia="宋体" w:cs="宋体"/>
                <w:b/>
                <w:bCs/>
                <w:i w:val="0"/>
                <w:color w:val="000000"/>
                <w:kern w:val="0"/>
                <w:sz w:val="22"/>
                <w:szCs w:val="22"/>
                <w:u w:val="none"/>
                <w:lang w:val="en-US" w:eastAsia="zh-CN" w:bidi="ar"/>
              </w:rPr>
              <w:br w:type="textWrapping"/>
            </w:r>
            <w:r>
              <w:rPr>
                <w:rFonts w:hint="eastAsia" w:ascii="宋体" w:hAnsi="宋体" w:eastAsia="宋体" w:cs="宋体"/>
                <w:b/>
                <w:bCs/>
                <w:i w:val="0"/>
                <w:color w:val="000000"/>
                <w:kern w:val="0"/>
                <w:sz w:val="22"/>
                <w:szCs w:val="22"/>
                <w:u w:val="none"/>
                <w:lang w:val="en-US" w:eastAsia="zh-CN" w:bidi="ar"/>
              </w:rPr>
              <w:t>量（万吨）</w:t>
            </w:r>
          </w:p>
        </w:tc>
        <w:tc>
          <w:tcPr>
            <w:tcW w:w="150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肥料化利用</w:t>
            </w:r>
            <w:r>
              <w:rPr>
                <w:rFonts w:hint="eastAsia" w:ascii="宋体" w:hAnsi="宋体" w:eastAsia="宋体" w:cs="宋体"/>
                <w:b/>
                <w:bCs/>
                <w:i w:val="0"/>
                <w:color w:val="000000"/>
                <w:kern w:val="0"/>
                <w:sz w:val="22"/>
                <w:szCs w:val="22"/>
                <w:u w:val="none"/>
                <w:lang w:val="en-US" w:eastAsia="zh-CN" w:bidi="ar"/>
              </w:rPr>
              <w:br w:type="textWrapping"/>
            </w:r>
            <w:r>
              <w:rPr>
                <w:rFonts w:hint="eastAsia" w:ascii="宋体" w:hAnsi="宋体" w:eastAsia="宋体" w:cs="宋体"/>
                <w:b/>
                <w:bCs/>
                <w:i w:val="0"/>
                <w:color w:val="000000"/>
                <w:kern w:val="0"/>
                <w:sz w:val="22"/>
                <w:szCs w:val="22"/>
                <w:u w:val="none"/>
                <w:lang w:val="en-US" w:eastAsia="zh-CN" w:bidi="ar"/>
              </w:rPr>
              <w:t>（万吨）</w:t>
            </w:r>
          </w:p>
        </w:tc>
        <w:tc>
          <w:tcPr>
            <w:tcW w:w="1320"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饲料化利用</w:t>
            </w:r>
            <w:r>
              <w:rPr>
                <w:rFonts w:hint="eastAsia" w:ascii="宋体" w:hAnsi="宋体" w:eastAsia="宋体" w:cs="宋体"/>
                <w:b/>
                <w:bCs/>
                <w:i w:val="0"/>
                <w:color w:val="000000"/>
                <w:kern w:val="0"/>
                <w:sz w:val="22"/>
                <w:szCs w:val="22"/>
                <w:u w:val="none"/>
                <w:lang w:val="en-US" w:eastAsia="zh-CN" w:bidi="ar"/>
              </w:rPr>
              <w:br w:type="textWrapping"/>
            </w:r>
            <w:r>
              <w:rPr>
                <w:rFonts w:hint="eastAsia" w:ascii="宋体" w:hAnsi="宋体" w:eastAsia="宋体" w:cs="宋体"/>
                <w:b/>
                <w:bCs/>
                <w:i w:val="0"/>
                <w:color w:val="000000"/>
                <w:kern w:val="0"/>
                <w:sz w:val="22"/>
                <w:szCs w:val="22"/>
                <w:u w:val="none"/>
                <w:lang w:val="en-US" w:eastAsia="zh-CN" w:bidi="ar"/>
              </w:rPr>
              <w:t>（万吨）</w:t>
            </w:r>
          </w:p>
        </w:tc>
        <w:tc>
          <w:tcPr>
            <w:tcW w:w="1365"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能源化利用</w:t>
            </w:r>
            <w:r>
              <w:rPr>
                <w:rFonts w:hint="eastAsia" w:ascii="宋体" w:hAnsi="宋体" w:eastAsia="宋体" w:cs="宋体"/>
                <w:b/>
                <w:bCs/>
                <w:i w:val="0"/>
                <w:color w:val="000000"/>
                <w:kern w:val="0"/>
                <w:sz w:val="22"/>
                <w:szCs w:val="22"/>
                <w:u w:val="none"/>
                <w:lang w:val="en-US" w:eastAsia="zh-CN" w:bidi="ar"/>
              </w:rPr>
              <w:br w:type="textWrapping"/>
            </w:r>
            <w:r>
              <w:rPr>
                <w:rFonts w:hint="eastAsia" w:ascii="宋体" w:hAnsi="宋体" w:eastAsia="宋体" w:cs="宋体"/>
                <w:b/>
                <w:bCs/>
                <w:i w:val="0"/>
                <w:color w:val="000000"/>
                <w:kern w:val="0"/>
                <w:sz w:val="22"/>
                <w:szCs w:val="22"/>
                <w:u w:val="none"/>
                <w:lang w:val="en-US" w:eastAsia="zh-CN" w:bidi="ar"/>
              </w:rPr>
              <w:t>（万吨）</w:t>
            </w:r>
          </w:p>
        </w:tc>
        <w:tc>
          <w:tcPr>
            <w:tcW w:w="1365" w:type="dxa"/>
            <w:tcBorders>
              <w:top w:val="single" w:color="000000" w:sz="4" w:space="0"/>
              <w:left w:val="nil"/>
              <w:bottom w:val="single" w:color="000000" w:sz="4" w:space="0"/>
              <w:right w:val="nil"/>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收储运利用</w:t>
            </w:r>
            <w:r>
              <w:rPr>
                <w:rFonts w:hint="eastAsia" w:ascii="宋体" w:hAnsi="宋体" w:eastAsia="宋体" w:cs="宋体"/>
                <w:b/>
                <w:bCs/>
                <w:i w:val="0"/>
                <w:color w:val="000000"/>
                <w:kern w:val="0"/>
                <w:sz w:val="22"/>
                <w:szCs w:val="22"/>
                <w:u w:val="none"/>
                <w:lang w:val="en-US" w:eastAsia="zh-CN" w:bidi="ar"/>
              </w:rPr>
              <w:br w:type="textWrapping"/>
            </w:r>
            <w:r>
              <w:rPr>
                <w:rFonts w:hint="eastAsia" w:ascii="宋体" w:hAnsi="宋体" w:eastAsia="宋体" w:cs="宋体"/>
                <w:b/>
                <w:bCs/>
                <w:i w:val="0"/>
                <w:color w:val="000000"/>
                <w:kern w:val="0"/>
                <w:sz w:val="22"/>
                <w:szCs w:val="22"/>
                <w:u w:val="none"/>
                <w:lang w:val="en-US" w:eastAsia="zh-CN" w:bidi="ar"/>
              </w:rPr>
              <w:t>（万吨）</w:t>
            </w:r>
          </w:p>
        </w:tc>
        <w:tc>
          <w:tcPr>
            <w:tcW w:w="0" w:type="auto"/>
            <w:gridSpan w:val="2"/>
            <w:tcBorders>
              <w:top w:val="single" w:color="000000" w:sz="4" w:space="0"/>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利用率（%）</w:t>
            </w:r>
          </w:p>
        </w:tc>
      </w:tr>
      <w:tr>
        <w:tblPrEx>
          <w:tblCellMar>
            <w:top w:w="0" w:type="dxa"/>
            <w:left w:w="0" w:type="dxa"/>
            <w:bottom w:w="0" w:type="dxa"/>
            <w:right w:w="0" w:type="dxa"/>
          </w:tblCellMar>
        </w:tblPrEx>
        <w:trPr>
          <w:trHeight w:val="34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水稻</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35.75</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23.23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5.80 </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92.41</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4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小麦</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w:t>
            </w: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86.46</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4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玉米</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0.96</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0.19</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0.08</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96.89</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4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花生</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0.72</w:t>
            </w: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86.74</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4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油菜</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5.07</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3.98</w:t>
            </w: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0.43</w:t>
            </w: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86.98</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4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大豆</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0.27</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1.46</w:t>
            </w: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86.70 </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4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棉花</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2.41</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0.99</w:t>
            </w: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82.57</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40" w:hRule="atLeast"/>
          <w:jc w:val="center"/>
        </w:trPr>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1.02</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0.73</w:t>
            </w: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0.03</w:t>
            </w: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0" w:type="auto"/>
            <w:tcBorders>
              <w:top w:val="nil"/>
              <w:left w:val="nil"/>
              <w:bottom w:val="nil"/>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74.51</w:t>
            </w:r>
          </w:p>
        </w:tc>
        <w:tc>
          <w:tcPr>
            <w:tcW w:w="0" w:type="auto"/>
            <w:tcBorders>
              <w:top w:val="nil"/>
              <w:left w:val="nil"/>
              <w:bottom w:val="nil"/>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340" w:hRule="atLeast"/>
          <w:jc w:val="center"/>
        </w:trPr>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合计</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56.23</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36.6</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90.17</w:t>
            </w:r>
          </w:p>
        </w:tc>
        <w:tc>
          <w:tcPr>
            <w:tcW w:w="0" w:type="auto"/>
            <w:tcBorders>
              <w:top w:val="nil"/>
              <w:left w:val="nil"/>
              <w:bottom w:val="single" w:color="000000" w:sz="4" w:space="0"/>
              <w:right w:val="nil"/>
            </w:tcBorders>
            <w:shd w:val="clear" w:color="auto" w:fill="auto"/>
            <w:noWrap/>
            <w:tcMar>
              <w:top w:w="15" w:type="dxa"/>
              <w:left w:w="15" w:type="dxa"/>
              <w:right w:w="15" w:type="dxa"/>
            </w:tcMar>
            <w:vAlign w:val="center"/>
          </w:tcPr>
          <w:p>
            <w:pPr>
              <w:rPr>
                <w:rFonts w:hint="eastAsia" w:ascii="宋体" w:hAnsi="宋体" w:eastAsia="宋体" w:cs="宋体"/>
                <w:i w:val="0"/>
                <w:color w:val="000000"/>
                <w:sz w:val="22"/>
                <w:szCs w:val="22"/>
                <w:u w:val="none"/>
              </w:rPr>
            </w:pPr>
          </w:p>
        </w:tc>
      </w:tr>
    </w:tbl>
    <w:p>
      <w:pPr>
        <w:keepNext w:val="0"/>
        <w:keepLines w:val="0"/>
        <w:pageBreakBefore w:val="0"/>
        <w:numPr>
          <w:ilvl w:val="0"/>
          <w:numId w:val="0"/>
        </w:numPr>
        <w:kinsoku/>
        <w:wordWrap/>
        <w:overflowPunct/>
        <w:topLinePunct w:val="0"/>
        <w:autoSpaceDE/>
        <w:autoSpaceDN/>
        <w:bidi w:val="0"/>
        <w:adjustRightInd/>
        <w:snapToGrid/>
        <w:spacing w:line="470" w:lineRule="exact"/>
        <w:ind w:left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1.1秸秆肥料化利用</w:t>
      </w:r>
    </w:p>
    <w:p>
      <w:pPr>
        <w:keepNext w:val="0"/>
        <w:keepLines w:val="0"/>
        <w:pageBreakBefore w:val="0"/>
        <w:widowControl w:val="0"/>
        <w:kinsoku/>
        <w:wordWrap/>
        <w:overflowPunct/>
        <w:topLinePunct w:val="0"/>
        <w:autoSpaceDE/>
        <w:autoSpaceDN/>
        <w:bidi w:val="0"/>
        <w:adjustRightInd/>
        <w:snapToGrid/>
        <w:spacing w:line="470" w:lineRule="exact"/>
        <w:ind w:firstLine="560" w:firstLineChars="200"/>
        <w:jc w:val="left"/>
        <w:textAlignment w:val="auto"/>
        <w:rPr>
          <w:rFonts w:hint="eastAsia" w:ascii="仿宋_GB2312" w:hAnsi="仿宋_GB2312" w:eastAsia="仿宋_GB2312" w:cs="仿宋_GB2312"/>
          <w:sz w:val="28"/>
          <w:szCs w:val="28"/>
          <w:lang w:eastAsia="zh-CN"/>
        </w:rPr>
      </w:pPr>
      <w:r>
        <w:rPr>
          <w:rFonts w:hint="eastAsia" w:ascii="仿宋" w:hAnsi="仿宋" w:eastAsia="仿宋" w:cs="仿宋"/>
          <w:sz w:val="28"/>
          <w:szCs w:val="28"/>
          <w:lang w:val="en-US" w:eastAsia="zh-CN"/>
        </w:rPr>
        <w:t>肥料化利用一方面采取非机械化还田，如稻麦双套还田、覆盖还田等进行肥料化利用，但占比少；另一方面是机械化还田。水田地区农业机械化水平高、机械化还田率已接近70%，旱田地区秸杆还田相对较慢，机械化还田率约为30%。2019年</w:t>
      </w:r>
      <w:r>
        <w:rPr>
          <w:rFonts w:hint="eastAsia" w:ascii="仿宋_GB2312" w:hAnsi="仿宋_GB2312" w:eastAsia="仿宋_GB2312" w:cs="仿宋_GB2312"/>
          <w:sz w:val="28"/>
          <w:szCs w:val="28"/>
          <w:lang w:val="en-US" w:eastAsia="zh-CN"/>
        </w:rPr>
        <w:t>农作物秸秆还田36.6万</w:t>
      </w:r>
      <w:r>
        <w:rPr>
          <w:rFonts w:hint="eastAsia" w:ascii="仿宋_GB2312" w:hAnsi="仿宋_GB2312" w:eastAsia="仿宋_GB2312" w:cs="仿宋_GB2312"/>
          <w:sz w:val="28"/>
          <w:szCs w:val="28"/>
        </w:rPr>
        <w:t>吨，占秸秆利用率</w:t>
      </w:r>
      <w:r>
        <w:rPr>
          <w:rFonts w:hint="eastAsia" w:ascii="仿宋_GB2312" w:hAnsi="仿宋_GB2312" w:eastAsia="仿宋_GB2312" w:cs="仿宋_GB2312"/>
          <w:sz w:val="28"/>
          <w:szCs w:val="28"/>
          <w:lang w:val="en-US" w:eastAsia="zh-CN"/>
        </w:rPr>
        <w:t>70.07</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Chars="0"/>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1.2秸秆饲料化利用</w:t>
      </w:r>
    </w:p>
    <w:p>
      <w:pPr>
        <w:keepNext w:val="0"/>
        <w:keepLines w:val="0"/>
        <w:pageBreakBefore w:val="0"/>
        <w:widowControl w:val="0"/>
        <w:kinsoku/>
        <w:wordWrap/>
        <w:overflowPunct/>
        <w:topLinePunct w:val="0"/>
        <w:autoSpaceDE/>
        <w:autoSpaceDN/>
        <w:bidi w:val="0"/>
        <w:adjustRightInd/>
        <w:snapToGrid/>
        <w:spacing w:line="470" w:lineRule="exact"/>
        <w:ind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饲料化利用主要通过收集玉米、水稻、大豆等农作物秸秆打捆、分捡粉碎揉丝、微贮、青贮、氨化等处理技术，提高秸杆转化率，增加秸杆饲料的营养价值。2019年农作物秸杆过腹还田约6.9万吨，占12.27%。</w:t>
      </w: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Chars="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1.3秸秆能源化利用</w:t>
      </w:r>
    </w:p>
    <w:p>
      <w:pPr>
        <w:keepNext w:val="0"/>
        <w:keepLines w:val="0"/>
        <w:pageBreakBefore w:val="0"/>
        <w:widowControl w:val="0"/>
        <w:kinsoku/>
        <w:wordWrap/>
        <w:overflowPunct/>
        <w:topLinePunct w:val="0"/>
        <w:autoSpaceDE/>
        <w:autoSpaceDN/>
        <w:bidi w:val="0"/>
        <w:adjustRightInd/>
        <w:snapToGrid/>
        <w:spacing w:line="470" w:lineRule="exact"/>
        <w:ind w:firstLine="560" w:firstLineChars="200"/>
        <w:jc w:val="left"/>
        <w:textAlignment w:val="auto"/>
        <w:rPr>
          <w:rFonts w:hint="eastAsia" w:ascii="仿宋_GB2312" w:hAnsi="仿宋_GB2312" w:eastAsia="仿宋_GB2312" w:cs="仿宋_GB2312"/>
          <w:sz w:val="28"/>
          <w:szCs w:val="28"/>
          <w:lang w:eastAsia="zh-CN"/>
        </w:rPr>
      </w:pPr>
      <w:r>
        <w:rPr>
          <w:rFonts w:hint="eastAsia" w:ascii="仿宋" w:hAnsi="仿宋" w:eastAsia="仿宋" w:cs="仿宋"/>
          <w:sz w:val="28"/>
          <w:szCs w:val="28"/>
          <w:lang w:val="en-US" w:eastAsia="zh-CN"/>
        </w:rPr>
        <w:t>能源化利用主要通过收集棉花、小麦、水稻秸秆进行粉碎，输送至生物质固化成型机压缩成块状或颗粒状，经过处理行到密度为0.8-1.4g.cm</w:t>
      </w:r>
      <w:r>
        <w:rPr>
          <w:rFonts w:hint="eastAsia" w:ascii="仿宋" w:hAnsi="仿宋" w:eastAsia="仿宋" w:cs="仿宋"/>
          <w:sz w:val="28"/>
          <w:szCs w:val="28"/>
          <w:vertAlign w:val="superscript"/>
          <w:lang w:val="en-US" w:eastAsia="zh-CN"/>
        </w:rPr>
        <w:t>-3</w:t>
      </w:r>
      <w:r>
        <w:rPr>
          <w:rFonts w:hint="eastAsia" w:ascii="仿宋" w:hAnsi="仿宋" w:eastAsia="仿宋" w:cs="仿宋"/>
          <w:sz w:val="28"/>
          <w:szCs w:val="28"/>
          <w:vertAlign w:val="baseline"/>
          <w:lang w:val="en-US" w:eastAsia="zh-CN"/>
        </w:rPr>
        <w:t>,热值为16.72MJ.kg</w:t>
      </w:r>
      <w:r>
        <w:rPr>
          <w:rFonts w:hint="eastAsia" w:ascii="仿宋" w:hAnsi="仿宋" w:eastAsia="仿宋" w:cs="仿宋"/>
          <w:sz w:val="28"/>
          <w:szCs w:val="28"/>
          <w:vertAlign w:val="superscript"/>
          <w:lang w:val="en-US" w:eastAsia="zh-CN"/>
        </w:rPr>
        <w:t>-1</w:t>
      </w:r>
      <w:r>
        <w:rPr>
          <w:rFonts w:hint="eastAsia" w:ascii="仿宋" w:hAnsi="仿宋" w:eastAsia="仿宋" w:cs="仿宋"/>
          <w:sz w:val="28"/>
          <w:szCs w:val="28"/>
          <w:vertAlign w:val="baseline"/>
          <w:lang w:val="en-US" w:eastAsia="zh-CN"/>
        </w:rPr>
        <w:t>左右的成型燃料</w:t>
      </w:r>
      <w:r>
        <w:rPr>
          <w:rFonts w:hint="eastAsia" w:ascii="仿宋" w:hAnsi="仿宋" w:eastAsia="仿宋" w:cs="仿宋"/>
          <w:sz w:val="28"/>
          <w:szCs w:val="28"/>
          <w:vertAlign w:val="superscript"/>
          <w:lang w:val="en-US" w:eastAsia="zh-CN"/>
        </w:rPr>
        <w:t>［1］</w:t>
      </w:r>
      <w:r>
        <w:rPr>
          <w:rFonts w:hint="eastAsia" w:ascii="仿宋" w:hAnsi="仿宋" w:eastAsia="仿宋" w:cs="仿宋"/>
          <w:sz w:val="28"/>
          <w:szCs w:val="28"/>
          <w:vertAlign w:val="baseline"/>
          <w:lang w:val="en-US" w:eastAsia="zh-CN"/>
        </w:rPr>
        <w:t>。2019年农作物秸秆</w:t>
      </w:r>
      <w:r>
        <w:rPr>
          <w:rFonts w:hint="eastAsia" w:ascii="仿宋_GB2312" w:hAnsi="仿宋_GB2312" w:eastAsia="仿宋_GB2312" w:cs="仿宋_GB2312"/>
          <w:sz w:val="28"/>
          <w:szCs w:val="28"/>
          <w:lang w:eastAsia="zh-CN"/>
        </w:rPr>
        <w:t>能源化利用</w:t>
      </w:r>
      <w:r>
        <w:rPr>
          <w:rFonts w:hint="eastAsia" w:ascii="仿宋_GB2312" w:hAnsi="仿宋_GB2312" w:eastAsia="仿宋_GB2312" w:cs="仿宋_GB2312"/>
          <w:sz w:val="28"/>
          <w:szCs w:val="28"/>
          <w:lang w:val="en-US" w:eastAsia="zh-CN"/>
        </w:rPr>
        <w:t>4.8万</w:t>
      </w:r>
      <w:r>
        <w:rPr>
          <w:rFonts w:hint="eastAsia" w:ascii="仿宋_GB2312" w:hAnsi="仿宋_GB2312" w:eastAsia="仿宋_GB2312" w:cs="仿宋_GB2312"/>
          <w:sz w:val="28"/>
          <w:szCs w:val="28"/>
        </w:rPr>
        <w:t>吨，占秸秆利用率</w:t>
      </w:r>
      <w:r>
        <w:rPr>
          <w:rFonts w:hint="eastAsia" w:ascii="仿宋_GB2312" w:hAnsi="仿宋_GB2312" w:eastAsia="仿宋_GB2312" w:cs="仿宋_GB2312"/>
          <w:sz w:val="28"/>
          <w:szCs w:val="28"/>
          <w:lang w:val="en-US" w:eastAsia="zh-CN"/>
        </w:rPr>
        <w:t>8.54</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ind w:leftChars="0"/>
        <w:jc w:val="left"/>
        <w:textAlignment w:val="auto"/>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1.4秸秆收储运利用</w:t>
      </w:r>
    </w:p>
    <w:p>
      <w:pPr>
        <w:keepNext w:val="0"/>
        <w:keepLines w:val="0"/>
        <w:pageBreakBefore w:val="0"/>
        <w:widowControl w:val="0"/>
        <w:kinsoku/>
        <w:wordWrap/>
        <w:overflowPunct/>
        <w:topLinePunct w:val="0"/>
        <w:autoSpaceDE/>
        <w:autoSpaceDN/>
        <w:bidi w:val="0"/>
        <w:adjustRightInd/>
        <w:snapToGrid/>
        <w:spacing w:line="470" w:lineRule="exact"/>
        <w:ind w:firstLine="560" w:firstLineChars="200"/>
        <w:jc w:val="left"/>
        <w:textAlignment w:val="auto"/>
        <w:rPr>
          <w:rFonts w:hint="default" w:ascii="仿宋" w:hAnsi="仿宋" w:eastAsia="仿宋" w:cs="仿宋"/>
          <w:sz w:val="28"/>
          <w:szCs w:val="28"/>
          <w:lang w:val="en-US" w:eastAsia="zh-CN"/>
        </w:rPr>
      </w:pPr>
      <w:r>
        <w:rPr>
          <w:rFonts w:hint="eastAsia" w:ascii="仿宋_GB2312" w:hAnsi="仿宋_GB2312" w:eastAsia="仿宋_GB2312" w:cs="仿宋_GB2312"/>
          <w:sz w:val="28"/>
          <w:szCs w:val="28"/>
          <w:lang w:val="en-US" w:eastAsia="zh-CN"/>
        </w:rPr>
        <w:t>秸秆收储运利用主要是通过秸秆利用企业收集农作物秸秆打捆对外销售，主要用于</w:t>
      </w:r>
      <w:r>
        <w:rPr>
          <w:rFonts w:hint="eastAsia" w:ascii="仿宋" w:hAnsi="仿宋" w:eastAsia="仿宋" w:cs="仿宋"/>
          <w:sz w:val="28"/>
          <w:szCs w:val="28"/>
          <w:lang w:val="en-US" w:eastAsia="zh-CN"/>
        </w:rPr>
        <w:t>化工、编织、建材、造纸以及饲料等领域。2019年秸秆收储运企业调出秸秆量2.4万吨，占秸秆利用率4.27%。</w:t>
      </w:r>
    </w:p>
    <w:p>
      <w:pPr>
        <w:keepNext w:val="0"/>
        <w:keepLines w:val="0"/>
        <w:pageBreakBefore w:val="0"/>
        <w:widowControl w:val="0"/>
        <w:numPr>
          <w:ilvl w:val="0"/>
          <w:numId w:val="1"/>
        </w:numPr>
        <w:kinsoku/>
        <w:wordWrap/>
        <w:overflowPunct/>
        <w:topLinePunct w:val="0"/>
        <w:autoSpaceDE/>
        <w:autoSpaceDN/>
        <w:bidi w:val="0"/>
        <w:adjustRightInd/>
        <w:snapToGrid/>
        <w:spacing w:line="470" w:lineRule="exact"/>
        <w:jc w:val="left"/>
        <w:textAlignment w:val="auto"/>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秸秆综合利用存在的问题</w:t>
      </w:r>
    </w:p>
    <w:p>
      <w:pPr>
        <w:keepNext w:val="0"/>
        <w:keepLines w:val="0"/>
        <w:pageBreakBefore w:val="0"/>
        <w:widowControl w:val="0"/>
        <w:numPr>
          <w:ilvl w:val="1"/>
          <w:numId w:val="1"/>
        </w:numPr>
        <w:kinsoku/>
        <w:wordWrap/>
        <w:overflowPunct/>
        <w:topLinePunct w:val="0"/>
        <w:autoSpaceDE/>
        <w:autoSpaceDN/>
        <w:bidi w:val="0"/>
        <w:adjustRightInd/>
        <w:snapToGrid/>
        <w:spacing w:line="470" w:lineRule="exact"/>
        <w:jc w:val="left"/>
        <w:textAlignment w:val="auto"/>
        <w:rPr>
          <w:rFonts w:hint="eastAsia" w:ascii="仿宋" w:hAnsi="仿宋" w:eastAsia="仿宋" w:cs="仿宋"/>
          <w:sz w:val="28"/>
          <w:szCs w:val="28"/>
          <w:lang w:val="en-US" w:eastAsia="zh-CN"/>
        </w:rPr>
      </w:pPr>
      <w:r>
        <w:rPr>
          <w:rFonts w:hint="eastAsia" w:ascii="仿宋_GB2312" w:hAnsi="仿宋_GB2312" w:eastAsia="仿宋_GB2312" w:cs="仿宋_GB2312"/>
          <w:sz w:val="28"/>
          <w:szCs w:val="28"/>
          <w:lang w:val="en-US" w:eastAsia="zh-CN"/>
        </w:rPr>
        <w:t>政策长效激励机制缺乏。</w:t>
      </w:r>
      <w:r>
        <w:rPr>
          <w:rFonts w:hint="eastAsia" w:ascii="仿宋" w:hAnsi="仿宋" w:eastAsia="仿宋" w:cs="仿宋"/>
          <w:sz w:val="28"/>
          <w:szCs w:val="28"/>
          <w:lang w:val="en-US" w:eastAsia="zh-CN"/>
        </w:rPr>
        <w:t>秸杆综合利用补贴政策有待完善，扶持力度不大、覆盖面不够宽、系统性不完备、利益纽带不紧密。潜江市目前现有优惠政策主要是针对实施秸秆综合利用的企业进行补贴，且补贴额度较少。农户未能直接受益，导致积极性普遍不高。</w:t>
      </w:r>
    </w:p>
    <w:p>
      <w:pPr>
        <w:keepNext w:val="0"/>
        <w:keepLines w:val="0"/>
        <w:pageBreakBefore w:val="0"/>
        <w:widowControl w:val="0"/>
        <w:numPr>
          <w:ilvl w:val="1"/>
          <w:numId w:val="1"/>
        </w:numPr>
        <w:kinsoku/>
        <w:wordWrap/>
        <w:overflowPunct/>
        <w:topLinePunct w:val="0"/>
        <w:autoSpaceDE/>
        <w:autoSpaceDN/>
        <w:bidi w:val="0"/>
        <w:adjustRightInd/>
        <w:snapToGrid/>
        <w:spacing w:line="470" w:lineRule="exact"/>
        <w:jc w:val="left"/>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秸秆综合利用效率低。从现有情况看，肥料化利用在旱田区采用机械翻压还田，而在虾稻共作区采用粉碎直接还田，虽然对土壤有机质的提高和土壤结构的改善具有促进作用，但当秸秆带有病菌时则会直接污染土壤，增加农作物病害。能源化、饲料化、原料化、基料化还处于相对较低水平</w:t>
      </w:r>
      <w:r>
        <w:rPr>
          <w:rFonts w:hint="eastAsia" w:ascii="仿宋" w:hAnsi="仿宋" w:eastAsia="仿宋" w:cs="仿宋"/>
          <w:sz w:val="28"/>
          <w:szCs w:val="28"/>
          <w:vertAlign w:val="superscript"/>
          <w:lang w:val="en-US" w:eastAsia="zh-CN"/>
        </w:rPr>
        <w:t>［2］</w:t>
      </w:r>
      <w:r>
        <w:rPr>
          <w:rFonts w:hint="eastAsia" w:ascii="仿宋" w:hAnsi="仿宋" w:eastAsia="仿宋" w:cs="仿宋"/>
          <w:sz w:val="28"/>
          <w:szCs w:val="28"/>
          <w:lang w:val="en-US"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470" w:lineRule="exact"/>
        <w:ind w:left="0" w:leftChars="0" w:firstLine="0" w:firstLineChars="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秸杆产业化供需矛盾突出。</w:t>
      </w:r>
      <w:r>
        <w:rPr>
          <w:rFonts w:hint="eastAsia" w:ascii="仿宋" w:hAnsi="仿宋" w:eastAsia="仿宋" w:cs="仿宋"/>
          <w:b w:val="0"/>
          <w:bCs w:val="0"/>
          <w:sz w:val="28"/>
          <w:szCs w:val="28"/>
          <w:lang w:val="en-US" w:eastAsia="zh-CN"/>
        </w:rPr>
        <w:t>潜江市是小龙虾之乡，虾稻共作面积超80万亩，纯水稻田逐年减少，适合大型机械进行打捆作业的水稻面积更是有限，而秸杆综合利用企业真正所需是水稻秸杆，由此产生秸杆综合利用企业大量需求秸杆与资源逐渐减少的矛盾，造成</w:t>
      </w:r>
      <w:r>
        <w:rPr>
          <w:rFonts w:hint="eastAsia" w:ascii="仿宋" w:hAnsi="仿宋" w:eastAsia="仿宋" w:cs="仿宋"/>
          <w:sz w:val="28"/>
          <w:szCs w:val="28"/>
          <w:lang w:val="en-US" w:eastAsia="zh-CN"/>
        </w:rPr>
        <w:t>社会资本投资秸杆综合利用领域的积极性不高。</w:t>
      </w:r>
    </w:p>
    <w:p>
      <w:pPr>
        <w:keepNext w:val="0"/>
        <w:keepLines w:val="0"/>
        <w:pageBreakBefore w:val="0"/>
        <w:widowControl w:val="0"/>
        <w:kinsoku/>
        <w:wordWrap/>
        <w:overflowPunct/>
        <w:topLinePunct w:val="0"/>
        <w:autoSpaceDE/>
        <w:autoSpaceDN/>
        <w:bidi w:val="0"/>
        <w:adjustRightInd/>
        <w:snapToGrid/>
        <w:spacing w:line="470" w:lineRule="exact"/>
        <w:jc w:val="left"/>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2.4 收储运体系急待健全。秸杆收集、打捆、转运设施设备少，专业队伍奇缺，造成秸杆的收集、转运、堆集难度大，成本高，难成体系。据调查，全市收储企业（合作社）只有2家，每家只能覆盖2个乡镇，每家设备只有2套，按一套设备每天收储200亩计算，全年只能收储约2万吨秸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70" w:lineRule="exact"/>
        <w:ind w:right="0"/>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sz w:val="28"/>
          <w:szCs w:val="28"/>
          <w:lang w:val="en-US" w:eastAsia="zh-CN"/>
        </w:rPr>
        <w:t>2.5 秸秆回收成本较高。</w:t>
      </w:r>
      <w:r>
        <w:rPr>
          <w:rFonts w:hint="eastAsia" w:ascii="仿宋" w:hAnsi="仿宋" w:eastAsia="仿宋" w:cs="仿宋"/>
          <w:b w:val="0"/>
          <w:bCs w:val="0"/>
          <w:sz w:val="28"/>
          <w:szCs w:val="28"/>
          <w:lang w:val="en-US" w:eastAsia="zh-CN"/>
        </w:rPr>
        <w:t>秸杆综合利用企业无论是收集水稻或是小麦秸杆，必须要确保是的秸杆质量。原则上是要不能过雨、无霉变,杂草含量控制在5%以内，但在实际操作过程中能达标的秸杆占比最高也只能在35%以内。据秸杆综合利用企业初步测算，每收集打捆转运一吨秸杆综合成本约为240元左右，企业每收一吨质量不达标的秸杆直接亏损为240元，年复一年，企业难以正常运转。</w:t>
      </w:r>
    </w:p>
    <w:p>
      <w:pPr>
        <w:keepNext w:val="0"/>
        <w:keepLines w:val="0"/>
        <w:pageBreakBefore w:val="0"/>
        <w:kinsoku/>
        <w:wordWrap/>
        <w:overflowPunct/>
        <w:topLinePunct w:val="0"/>
        <w:autoSpaceDE/>
        <w:autoSpaceDN/>
        <w:bidi w:val="0"/>
        <w:adjustRightInd/>
        <w:snapToGrid/>
        <w:spacing w:line="470" w:lineRule="exact"/>
        <w:textAlignment w:val="auto"/>
        <w:rPr>
          <w:rFonts w:hint="eastAsia" w:ascii="仿宋" w:hAnsi="仿宋" w:eastAsia="仿宋" w:cs="仿宋"/>
          <w:b w:val="0"/>
          <w:bCs w:val="0"/>
          <w:sz w:val="28"/>
          <w:szCs w:val="28"/>
          <w:lang w:val="en-US" w:eastAsia="zh-CN"/>
        </w:rPr>
      </w:pPr>
      <w:r>
        <w:rPr>
          <w:rFonts w:hint="eastAsia" w:ascii="仿宋" w:hAnsi="仿宋" w:eastAsia="仿宋" w:cs="仿宋"/>
          <w:b w:val="0"/>
          <w:bCs w:val="0"/>
          <w:sz w:val="28"/>
          <w:szCs w:val="28"/>
          <w:lang w:val="en-US" w:eastAsia="zh-CN"/>
        </w:rPr>
        <w:t>3.秸秆综合利用的建议</w:t>
      </w: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jc w:val="left"/>
        <w:textAlignment w:val="auto"/>
        <w:rPr>
          <w:rFonts w:hint="eastAsia" w:ascii="仿宋" w:hAnsi="仿宋" w:eastAsia="仿宋" w:cs="仿宋"/>
          <w:sz w:val="28"/>
          <w:szCs w:val="28"/>
          <w:lang w:val="en-US" w:eastAsia="zh-CN"/>
        </w:rPr>
      </w:pPr>
      <w:r>
        <w:rPr>
          <w:rFonts w:hint="eastAsia" w:ascii="仿宋" w:hAnsi="仿宋" w:eastAsia="仿宋" w:cs="仿宋"/>
          <w:b w:val="0"/>
          <w:bCs w:val="0"/>
          <w:sz w:val="28"/>
          <w:szCs w:val="28"/>
          <w:lang w:val="en-US" w:eastAsia="zh-CN"/>
        </w:rPr>
        <w:t>3.1</w:t>
      </w:r>
      <w:r>
        <w:rPr>
          <w:rFonts w:hint="eastAsia" w:ascii="仿宋" w:hAnsi="仿宋" w:eastAsia="仿宋" w:cs="仿宋"/>
          <w:sz w:val="28"/>
          <w:szCs w:val="28"/>
          <w:lang w:val="en-US" w:eastAsia="zh-CN"/>
        </w:rPr>
        <w:t>加大秸杆利用政策扶持。一是大力发展农机社会化服务。采取“以奖代补”的形式，鼓励和扶持农机专业合作社和农机大户。依托农机服务组织，积极开展以机耕、机播、机收和机械化还田为主要内容的农机作业服务；二是落实秸杆综合利用补贴政策。对秸杆固化成型燃料生产企业、秸杆收储运体系给予资金支持。对专业合作组织和企业购置秸杆机械给予信贷支持。大力引导和鼓励社会资本投入到秸杆综合利用领域中来；三是制定秸杆产业发展扶持政策。支持个人、团体和企业发展秸杆综合利用产业，鼓励发展生物质燃料、秸杆打捆销售、秸杆生物质肥料、秸杆代料栽培食用菌、秸杆沼气等技术。</w:t>
      </w: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3.2积极推广秸杆利用新技术。一是推广腐熟剂腐熟还田技术。秸杆腐熟剂是由多种不同有益微生物组成的，能使秸杆等有机废弃物快速腐熟，以提高土壤中有机质含量，增强植物抗逆性。因此，要结合实际，区域性推广秸杆腐熟剂腐熟还田技术，做好示范；二是完善农作物机械化还田技术。按照宜还则还原则，大力推广油菜秸秆旋埋还田、小麦秸秆覆盖还田等机械化还田持术；三是完善机械化秸秆还田农艺配套措施，提高秸秆还田技术应用效果</w:t>
      </w:r>
      <w:r>
        <w:rPr>
          <w:rFonts w:hint="eastAsia" w:ascii="仿宋" w:hAnsi="仿宋" w:eastAsia="仿宋" w:cs="仿宋"/>
          <w:sz w:val="28"/>
          <w:szCs w:val="28"/>
          <w:vertAlign w:val="superscript"/>
          <w:lang w:val="en-US" w:eastAsia="zh-CN"/>
        </w:rPr>
        <w:t>［3］</w:t>
      </w:r>
      <w:r>
        <w:rPr>
          <w:rFonts w:hint="eastAsia" w:ascii="仿宋" w:hAnsi="仿宋" w:eastAsia="仿宋" w:cs="仿宋"/>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470" w:lineRule="exact"/>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3.3 大力推进秸杆全量利用。一是因地制宜支持秸秆有机肥料生产企业，依托潜江市白鹭春农牧业科技有限公司，大力发展有机肥生产，主要对蔬菜生产供肥，生产有机蔬菜；二是大力发展以秸杆为原料的生物质能源。扶持湖北浩程新能源、潜江市巨金米业有限公司利用秸杆炭化及固化成型等技术发展生物质能源，逐步改善农村能源结构；三是，大力支持以秸杆为原料或饲料的企业。鼓励湖北鹏乐农业发展有限公司开展种养殖业综合利用秸杆，发展食用菌产业。扶持湖北汇盛环保科技有限公司等龙头企业采用清洁生产工艺，发展以秸杆为主要原料的包装材料、复合板材等产品生产，不断提高秸杆综合利用附加值。</w:t>
      </w:r>
    </w:p>
    <w:p>
      <w:pPr>
        <w:keepNext w:val="0"/>
        <w:keepLines w:val="0"/>
        <w:pageBreakBefore w:val="0"/>
        <w:widowControl w:val="0"/>
        <w:kinsoku/>
        <w:wordWrap/>
        <w:overflowPunct/>
        <w:topLinePunct w:val="0"/>
        <w:autoSpaceDE/>
        <w:autoSpaceDN/>
        <w:bidi w:val="0"/>
        <w:adjustRightInd/>
        <w:snapToGrid/>
        <w:spacing w:line="470" w:lineRule="exact"/>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3.4 加快建设完善秸杆收储运体系。一是强化人才支撑，以农广校、新型职业农民培训为载体，培养一批经纪队伍，为农户与秸秆利用企业搭起桥梁，建立秸秆收购销售畅通的渠道；二是建立专业化储运网络。在乡（镇）合理建设小型秸秆仓储基地，相对集中堆放、贮存，形成“区域收贮、集中转运、全量利用”模式，解决“有秆难收、有收难储、有储难运”问题；三是引导农户和大规模种植户与秸秆利用企业建立长期的产销合作关系，形成利益共同体，构建以企业为主体、市场化运作的秸秆收储运体系。</w:t>
      </w:r>
    </w:p>
    <w:p>
      <w:pPr>
        <w:keepNext w:val="0"/>
        <w:keepLines w:val="0"/>
        <w:pageBreakBefore w:val="0"/>
        <w:widowControl w:val="0"/>
        <w:numPr>
          <w:ilvl w:val="0"/>
          <w:numId w:val="0"/>
        </w:numPr>
        <w:kinsoku/>
        <w:wordWrap/>
        <w:overflowPunct/>
        <w:topLinePunct w:val="0"/>
        <w:autoSpaceDE/>
        <w:autoSpaceDN/>
        <w:bidi w:val="0"/>
        <w:adjustRightInd/>
        <w:snapToGrid/>
        <w:spacing w:line="470" w:lineRule="exact"/>
        <w:jc w:val="left"/>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3.5 做好综合服务。一是加快土地平整进度。重点在虾稻共作区开展土地平整，解决稻田单块面积小、不集中，大型机械设备难以开展打捆作业问题；二</w:t>
      </w:r>
      <w:r>
        <w:rPr>
          <w:rFonts w:hint="eastAsia" w:ascii="仿宋" w:hAnsi="仿宋" w:eastAsia="仿宋" w:cs="仿宋"/>
          <w:b w:val="0"/>
          <w:bCs w:val="0"/>
          <w:sz w:val="28"/>
          <w:szCs w:val="28"/>
          <w:lang w:val="en-US" w:eastAsia="zh-CN"/>
        </w:rPr>
        <w:t>是加快土地流转。通过土地流转，扶持一些种植大户，优化种植结构，通过统一供种、集中育秧，做到收割一致；</w:t>
      </w:r>
      <w:r>
        <w:rPr>
          <w:rFonts w:hint="eastAsia" w:ascii="仿宋" w:hAnsi="仿宋" w:eastAsia="仿宋" w:cs="仿宋"/>
          <w:sz w:val="28"/>
          <w:szCs w:val="28"/>
          <w:lang w:val="en-US" w:eastAsia="zh-CN"/>
        </w:rPr>
        <w:t>三是做好协调管理。在收割期统一调度，</w:t>
      </w:r>
      <w:r>
        <w:rPr>
          <w:rFonts w:hint="eastAsia" w:ascii="仿宋" w:hAnsi="仿宋" w:eastAsia="仿宋" w:cs="仿宋"/>
          <w:b w:val="0"/>
          <w:bCs w:val="0"/>
          <w:sz w:val="28"/>
          <w:szCs w:val="28"/>
          <w:lang w:val="en-US" w:eastAsia="zh-CN"/>
        </w:rPr>
        <w:t>对适合于大型机械作业的田块收割在前，对于小田块采取直接粉碎还田在后或同步进行，确保秸杆收储企业在有限时间提高打捆作业效率，降低作业成本，保证秸杆质量。</w:t>
      </w:r>
    </w:p>
    <w:p>
      <w:pPr>
        <w:keepNext w:val="0"/>
        <w:keepLines w:val="0"/>
        <w:pageBreakBefore w:val="0"/>
        <w:widowControl w:val="0"/>
        <w:kinsoku/>
        <w:wordWrap/>
        <w:overflowPunct/>
        <w:topLinePunct w:val="0"/>
        <w:autoSpaceDE/>
        <w:autoSpaceDN/>
        <w:bidi w:val="0"/>
        <w:adjustRightInd/>
        <w:snapToGrid/>
        <w:spacing w:line="470" w:lineRule="exact"/>
        <w:ind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参考文献：</w:t>
      </w:r>
    </w:p>
    <w:p>
      <w:pPr>
        <w:keepNext w:val="0"/>
        <w:keepLines w:val="0"/>
        <w:pageBreakBefore w:val="0"/>
        <w:widowControl w:val="0"/>
        <w:kinsoku/>
        <w:wordWrap/>
        <w:overflowPunct/>
        <w:topLinePunct w:val="0"/>
        <w:autoSpaceDE/>
        <w:autoSpaceDN/>
        <w:bidi w:val="0"/>
        <w:adjustRightInd/>
        <w:snapToGrid/>
        <w:spacing w:line="470" w:lineRule="exact"/>
        <w:ind w:firstLine="560" w:firstLineChars="200"/>
        <w:jc w:val="left"/>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［1］  吴凤，韩子贵，曹宝群，向小飞.湖北省农作物秸秆能源化利用模式探索［J］.中国沼气2014，32，（5）：67-70.</w:t>
      </w:r>
    </w:p>
    <w:p>
      <w:pPr>
        <w:keepNext w:val="0"/>
        <w:keepLines w:val="0"/>
        <w:pageBreakBefore w:val="0"/>
        <w:widowControl w:val="0"/>
        <w:kinsoku/>
        <w:wordWrap/>
        <w:overflowPunct/>
        <w:topLinePunct w:val="0"/>
        <w:autoSpaceDE/>
        <w:autoSpaceDN/>
        <w:bidi w:val="0"/>
        <w:adjustRightInd/>
        <w:snapToGrid/>
        <w:spacing w:line="470" w:lineRule="exact"/>
        <w:ind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  那伟，赵新颖，祝延立，郗登宝.吉林省主要农作物秸秆综合利用现状、问题及对策分析［J］.黑龙江农业科学2019（3）：169-173.</w:t>
      </w:r>
    </w:p>
    <w:p>
      <w:pPr>
        <w:keepNext w:val="0"/>
        <w:keepLines w:val="0"/>
        <w:pageBreakBefore w:val="0"/>
        <w:widowControl w:val="0"/>
        <w:kinsoku/>
        <w:wordWrap/>
        <w:overflowPunct/>
        <w:topLinePunct w:val="0"/>
        <w:autoSpaceDE/>
        <w:autoSpaceDN/>
        <w:bidi w:val="0"/>
        <w:adjustRightInd/>
        <w:snapToGrid/>
        <w:spacing w:line="530" w:lineRule="exact"/>
        <w:ind w:firstLine="560" w:firstLineChars="200"/>
        <w:jc w:val="left"/>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  汤丽洁.安微农作物秸秆综合利用现状及对策研究［J］.绿色科技2017（16）：215-216.</w:t>
      </w:r>
    </w:p>
    <w:p>
      <w:pPr>
        <w:keepNext w:val="0"/>
        <w:keepLines w:val="0"/>
        <w:pageBreakBefore w:val="0"/>
        <w:widowControl w:val="0"/>
        <w:kinsoku/>
        <w:wordWrap/>
        <w:overflowPunct/>
        <w:topLinePunct w:val="0"/>
        <w:autoSpaceDE/>
        <w:autoSpaceDN/>
        <w:bidi w:val="0"/>
        <w:adjustRightInd/>
        <w:snapToGrid/>
        <w:spacing w:line="530" w:lineRule="exact"/>
        <w:ind w:firstLine="560" w:firstLineChars="200"/>
        <w:jc w:val="left"/>
        <w:textAlignment w:val="auto"/>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530" w:lineRule="exact"/>
        <w:ind w:firstLine="560" w:firstLineChars="200"/>
        <w:jc w:val="left"/>
        <w:textAlignment w:val="auto"/>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作者简介：张国栋，男，1981.1月生，湖北潜江人，大学学历，农艺师，主要从事农业技术推广、农村能源利用与推广。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00" w:usb3="00000000" w:csb0="00040000" w:csb1="00000000"/>
  </w:font>
  <w:font w:name="方正小标宋简体">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06B0CD"/>
    <w:multiLevelType w:val="multilevel"/>
    <w:tmpl w:val="F706B0CD"/>
    <w:lvl w:ilvl="0" w:tentative="0">
      <w:start w:val="2"/>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00E30"/>
    <w:rsid w:val="04042F6B"/>
    <w:rsid w:val="06135124"/>
    <w:rsid w:val="0A297CCA"/>
    <w:rsid w:val="0DFE6232"/>
    <w:rsid w:val="0E7B20E2"/>
    <w:rsid w:val="10207201"/>
    <w:rsid w:val="135D66DC"/>
    <w:rsid w:val="151B0D61"/>
    <w:rsid w:val="1528617A"/>
    <w:rsid w:val="162248DD"/>
    <w:rsid w:val="1A025784"/>
    <w:rsid w:val="1C164B9A"/>
    <w:rsid w:val="1D944621"/>
    <w:rsid w:val="1ED96A58"/>
    <w:rsid w:val="1EF714A2"/>
    <w:rsid w:val="213C757B"/>
    <w:rsid w:val="24F06D80"/>
    <w:rsid w:val="24F90088"/>
    <w:rsid w:val="250618A9"/>
    <w:rsid w:val="281B68BC"/>
    <w:rsid w:val="29F6582B"/>
    <w:rsid w:val="2A8C17C3"/>
    <w:rsid w:val="2B6903C8"/>
    <w:rsid w:val="2CBC714F"/>
    <w:rsid w:val="3291176E"/>
    <w:rsid w:val="342A1355"/>
    <w:rsid w:val="3584767F"/>
    <w:rsid w:val="3EA17072"/>
    <w:rsid w:val="3F565B1B"/>
    <w:rsid w:val="3F751CC1"/>
    <w:rsid w:val="404D18B4"/>
    <w:rsid w:val="4C4C53DC"/>
    <w:rsid w:val="4D811D9A"/>
    <w:rsid w:val="4E8E06CD"/>
    <w:rsid w:val="4FC21C6B"/>
    <w:rsid w:val="55800E30"/>
    <w:rsid w:val="59653D04"/>
    <w:rsid w:val="59F16678"/>
    <w:rsid w:val="5B695859"/>
    <w:rsid w:val="5F780D5D"/>
    <w:rsid w:val="60004E4E"/>
    <w:rsid w:val="64A45777"/>
    <w:rsid w:val="64DB203B"/>
    <w:rsid w:val="66491669"/>
    <w:rsid w:val="68AF2C02"/>
    <w:rsid w:val="6B5A0D2D"/>
    <w:rsid w:val="6CF76C9A"/>
    <w:rsid w:val="6D482B8A"/>
    <w:rsid w:val="6DCB28CA"/>
    <w:rsid w:val="70806FD1"/>
    <w:rsid w:val="78142DF1"/>
    <w:rsid w:val="7A8A1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段"/>
    <w:next w:val="1"/>
    <w:qFormat/>
    <w:uiPriority w:val="0"/>
    <w:pPr>
      <w:autoSpaceDE w:val="0"/>
      <w:autoSpaceDN w:val="0"/>
      <w:adjustRightInd w:val="0"/>
      <w:snapToGrid w:val="0"/>
      <w:spacing w:line="360" w:lineRule="auto"/>
      <w:ind w:firstLine="200" w:firstLineChars="200"/>
      <w:jc w:val="both"/>
    </w:pPr>
    <w:rPr>
      <w:rFonts w:ascii="宋体" w:hAnsi="Calibri" w:eastAsia="宋体" w:cs="黑体"/>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2020-04-20T02:19:00Z</dcterms:created>
  <dc:creator>Administrator</dc:creator>
  <cp:lastModifiedBy>Administrator</cp:lastModifiedBy>
  <dcterms:modified xsi:type="dcterms:W3CDTF">2020-04-23T01:02:49Z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