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Rule="auto"/>
        <w:ind w:left="0" w:firstLine="0"/>
        <w:rPr>
          <w:b w:val="1"/>
          <w:bCs w:val="1"/>
          <w:sz w:val="36"/>
          <w:szCs w:val="36"/>
        </w:rPr>
      </w:pPr>
      <w:r w:rsidDel="00000000" w:rsidR="00000000" w:rsidRPr="00000000">
        <w:rPr>
          <w:b w:val="1"/>
          <w:bCs w:val="1"/>
          <w:sz w:val="36"/>
          <w:szCs w:val="36"/>
          <w:rtl w:val="0"/>
        </w:rPr>
        <w:t xml:space="preserve">Energy4Life Differentiation</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t xml:space="preserve">Energy4Life (aka E4L) shares many philosophical similarities with other holistic approaches to health, but it also has its distinctions and things that are absolutely exclusive to its approach.</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spacing w:after="0" w:before="0" w:lineRule="auto"/>
        <w:ind w:left="0" w:firstLine="0"/>
        <w:rPr/>
      </w:pPr>
      <w:r w:rsidDel="00000000" w:rsidR="00000000" w:rsidRPr="00000000">
        <w:rPr>
          <w:rtl w:val="0"/>
        </w:rPr>
        <w:t xml:space="preserve">Like other systems, it considers itself complementary to healthy lifestyle choices rather than a magical solution that allows you to be healthy while continually making unhealthy choices.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t xml:space="preserve">E4L absolutely encourages healthy choices around:</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numPr>
          <w:ilvl w:val="0"/>
          <w:numId w:val="1"/>
        </w:numPr>
        <w:spacing w:after="0" w:before="0" w:lineRule="auto"/>
        <w:ind w:left="720" w:hanging="360"/>
        <w:rPr>
          <w:u w:val="none"/>
        </w:rPr>
      </w:pPr>
      <w:r w:rsidDel="00000000" w:rsidR="00000000" w:rsidRPr="00000000">
        <w:rPr>
          <w:rtl w:val="0"/>
        </w:rPr>
        <w:t xml:space="preserve">Relationships</w:t>
      </w:r>
    </w:p>
    <w:p w:rsidR="00000000" w:rsidDel="00000000" w:rsidP="00000000" w:rsidRDefault="00000000" w:rsidRPr="00000000" w14:paraId="0000000A">
      <w:pPr>
        <w:numPr>
          <w:ilvl w:val="0"/>
          <w:numId w:val="1"/>
        </w:numPr>
        <w:spacing w:after="0" w:before="0" w:lineRule="auto"/>
        <w:ind w:left="720" w:hanging="360"/>
        <w:rPr>
          <w:u w:val="none"/>
        </w:rPr>
      </w:pPr>
      <w:r w:rsidDel="00000000" w:rsidR="00000000" w:rsidRPr="00000000">
        <w:rPr>
          <w:rtl w:val="0"/>
        </w:rPr>
        <w:t xml:space="preserve">Diet</w:t>
      </w:r>
    </w:p>
    <w:p w:rsidR="00000000" w:rsidDel="00000000" w:rsidP="00000000" w:rsidRDefault="00000000" w:rsidRPr="00000000" w14:paraId="0000000B">
      <w:pPr>
        <w:numPr>
          <w:ilvl w:val="0"/>
          <w:numId w:val="1"/>
        </w:numPr>
        <w:spacing w:after="0" w:before="0" w:lineRule="auto"/>
        <w:ind w:left="720" w:hanging="360"/>
        <w:rPr>
          <w:u w:val="none"/>
        </w:rPr>
      </w:pPr>
      <w:r w:rsidDel="00000000" w:rsidR="00000000" w:rsidRPr="00000000">
        <w:rPr>
          <w:rtl w:val="0"/>
        </w:rPr>
        <w:t xml:space="preserve">Sleep</w:t>
      </w:r>
    </w:p>
    <w:p w:rsidR="00000000" w:rsidDel="00000000" w:rsidP="00000000" w:rsidRDefault="00000000" w:rsidRPr="00000000" w14:paraId="0000000C">
      <w:pPr>
        <w:numPr>
          <w:ilvl w:val="0"/>
          <w:numId w:val="1"/>
        </w:numPr>
        <w:spacing w:after="0" w:before="0" w:lineRule="auto"/>
        <w:ind w:left="720" w:hanging="360"/>
        <w:rPr>
          <w:u w:val="none"/>
        </w:rPr>
      </w:pPr>
      <w:r w:rsidDel="00000000" w:rsidR="00000000" w:rsidRPr="00000000">
        <w:rPr>
          <w:rtl w:val="0"/>
        </w:rPr>
        <w:t xml:space="preserve">Exercise</w:t>
      </w:r>
    </w:p>
    <w:p w:rsidR="00000000" w:rsidDel="00000000" w:rsidP="00000000" w:rsidRDefault="00000000" w:rsidRPr="00000000" w14:paraId="0000000D">
      <w:pPr>
        <w:numPr>
          <w:ilvl w:val="0"/>
          <w:numId w:val="1"/>
        </w:numPr>
        <w:spacing w:after="0" w:before="0" w:lineRule="auto"/>
        <w:ind w:left="720" w:hanging="360"/>
        <w:rPr>
          <w:u w:val="none"/>
        </w:rPr>
      </w:pPr>
      <w:r w:rsidDel="00000000" w:rsidR="00000000" w:rsidRPr="00000000">
        <w:rPr>
          <w:rtl w:val="0"/>
        </w:rPr>
        <w:t xml:space="preserve">Environment</w:t>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t xml:space="preserve">And more. In fact, its bioenergetic assessments help to demonstrate when some of these areas of life need to be reviewed, helping to open conversations between practitioners and clients.</w:t>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t xml:space="preserve">But we are also different in a number of ways:</w:t>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b w:val="1"/>
          <w:bCs w:val="1"/>
          <w:rtl w:val="0"/>
        </w:rPr>
        <w:t xml:space="preserve">Body-Field Theory</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t xml:space="preserve">We have developed a deep theory based on an exclusive map of the human body-field. From this, we are able to assess energetic issues in the body in very specific ways within our Bioenergetic Wellness System (BWS) software. For instance:</w:t>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numPr>
          <w:ilvl w:val="0"/>
          <w:numId w:val="3"/>
        </w:numPr>
        <w:spacing w:after="0" w:before="0" w:lineRule="auto"/>
        <w:ind w:left="720" w:hanging="360"/>
        <w:rPr>
          <w:u w:val="none"/>
        </w:rPr>
      </w:pPr>
      <w:r w:rsidDel="00000000" w:rsidR="00000000" w:rsidRPr="00000000">
        <w:rPr>
          <w:rtl w:val="0"/>
        </w:rPr>
        <w:t xml:space="preserve">How well is the body interacting with its environment, including the fields generated by the Earth?</w:t>
      </w:r>
    </w:p>
    <w:p w:rsidR="00000000" w:rsidDel="00000000" w:rsidP="00000000" w:rsidRDefault="00000000" w:rsidRPr="00000000" w14:paraId="00000017">
      <w:pPr>
        <w:numPr>
          <w:ilvl w:val="0"/>
          <w:numId w:val="3"/>
        </w:numPr>
        <w:spacing w:after="0" w:before="0" w:lineRule="auto"/>
        <w:ind w:left="720" w:hanging="360"/>
        <w:rPr>
          <w:u w:val="none"/>
        </w:rPr>
      </w:pPr>
      <w:r w:rsidDel="00000000" w:rsidR="00000000" w:rsidRPr="00000000">
        <w:rPr>
          <w:rtl w:val="0"/>
        </w:rPr>
        <w:t xml:space="preserve">How well powered is the body-field, so it can do its work of driving accurate communication throughout the body?</w:t>
      </w:r>
    </w:p>
    <w:p w:rsidR="00000000" w:rsidDel="00000000" w:rsidP="00000000" w:rsidRDefault="00000000" w:rsidRPr="00000000" w14:paraId="00000018">
      <w:pPr>
        <w:numPr>
          <w:ilvl w:val="0"/>
          <w:numId w:val="3"/>
        </w:numPr>
        <w:spacing w:after="0" w:before="0" w:lineRule="auto"/>
        <w:ind w:left="720" w:hanging="360"/>
        <w:rPr>
          <w:u w:val="none"/>
        </w:rPr>
      </w:pPr>
      <w:r w:rsidDel="00000000" w:rsidR="00000000" w:rsidRPr="00000000">
        <w:rPr>
          <w:rtl w:val="0"/>
        </w:rPr>
        <w:t xml:space="preserve">How accurately is it communicating for both general health maintenance as well as for defense and healing?</w:t>
      </w:r>
    </w:p>
    <w:p w:rsidR="00000000" w:rsidDel="00000000" w:rsidP="00000000" w:rsidRDefault="00000000" w:rsidRPr="00000000" w14:paraId="00000019">
      <w:pPr>
        <w:numPr>
          <w:ilvl w:val="0"/>
          <w:numId w:val="3"/>
        </w:numPr>
        <w:spacing w:after="0" w:before="0" w:lineRule="auto"/>
        <w:ind w:left="720" w:hanging="360"/>
        <w:rPr>
          <w:u w:val="none"/>
        </w:rPr>
      </w:pPr>
      <w:r w:rsidDel="00000000" w:rsidR="00000000" w:rsidRPr="00000000">
        <w:rPr>
          <w:rtl w:val="0"/>
        </w:rPr>
        <w:t xml:space="preserve">How has it been impacted by emotional events like stress, shock, and trauma?</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spacing w:after="0" w:before="0" w:lineRule="auto"/>
        <w:ind w:left="0" w:firstLine="0"/>
        <w:rPr/>
      </w:pPr>
      <w:r w:rsidDel="00000000" w:rsidR="00000000" w:rsidRPr="00000000">
        <w:rPr>
          <w:rtl w:val="0"/>
        </w:rPr>
        <w:t xml:space="preserve">Other bioenergetic tests may look at the body’s relationship to nutrients, toxins, and more, just as BWS does. Others may assess the bioenergetic health of an organ. But no one else explores all these details, the bioenergetic relationships throughout the body, and so on.</w:t>
      </w:r>
      <w:r w:rsidDel="00000000" w:rsidR="00000000" w:rsidRPr="00000000">
        <w:rPr>
          <w:rtl w:val="0"/>
        </w:rPr>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spacing w:after="0" w:before="0" w:lineRule="auto"/>
        <w:ind w:left="0" w:firstLine="0"/>
        <w:rPr/>
      </w:pPr>
      <w:r w:rsidDel="00000000" w:rsidR="00000000" w:rsidRPr="00000000">
        <w:rPr>
          <w:b w:val="1"/>
          <w:bCs w:val="1"/>
          <w:rtl w:val="0"/>
        </w:rPr>
        <w:t xml:space="preserve">Bioenergetic Test Differences</w:t>
      </w:r>
      <w:r w:rsidDel="00000000" w:rsidR="00000000" w:rsidRPr="00000000">
        <w:rPr>
          <w:rtl w:val="0"/>
        </w:rPr>
      </w:r>
    </w:p>
    <w:p w:rsidR="00000000" w:rsidDel="00000000" w:rsidP="00000000" w:rsidRDefault="00000000" w:rsidRPr="00000000" w14:paraId="0000001E">
      <w:pPr>
        <w:spacing w:after="0" w:before="0" w:lineRule="auto"/>
        <w:ind w:left="0" w:firstLine="0"/>
        <w:rPr/>
      </w:pPr>
      <w:r w:rsidDel="00000000" w:rsidR="00000000" w:rsidRPr="00000000">
        <w:rPr>
          <w:rtl w:val="0"/>
        </w:rPr>
        <w:t xml:space="preserve">There are various types of bioenergetic assessments out there, which we discuss in more detail in other documents. But most assessments are based on:</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numPr>
          <w:ilvl w:val="0"/>
          <w:numId w:val="2"/>
        </w:numPr>
        <w:spacing w:after="0" w:before="0" w:lineRule="auto"/>
        <w:ind w:left="720" w:hanging="360"/>
        <w:rPr>
          <w:u w:val="none"/>
        </w:rPr>
      </w:pPr>
      <w:r w:rsidDel="00000000" w:rsidR="00000000" w:rsidRPr="00000000">
        <w:rPr>
          <w:rtl w:val="0"/>
        </w:rPr>
        <w:t xml:space="preserve">Gas discharge of the fingers</w:t>
      </w:r>
    </w:p>
    <w:p w:rsidR="00000000" w:rsidDel="00000000" w:rsidP="00000000" w:rsidRDefault="00000000" w:rsidRPr="00000000" w14:paraId="00000021">
      <w:pPr>
        <w:numPr>
          <w:ilvl w:val="0"/>
          <w:numId w:val="2"/>
        </w:numPr>
        <w:spacing w:after="0" w:before="0" w:lineRule="auto"/>
        <w:ind w:left="720" w:hanging="360"/>
        <w:rPr>
          <w:u w:val="none"/>
        </w:rPr>
      </w:pPr>
      <w:r w:rsidDel="00000000" w:rsidR="00000000" w:rsidRPr="00000000">
        <w:rPr>
          <w:rtl w:val="0"/>
        </w:rPr>
        <w:t xml:space="preserve">Skin conductivity</w:t>
      </w:r>
    </w:p>
    <w:p w:rsidR="00000000" w:rsidDel="00000000" w:rsidP="00000000" w:rsidRDefault="00000000" w:rsidRPr="00000000" w14:paraId="00000022">
      <w:pPr>
        <w:numPr>
          <w:ilvl w:val="0"/>
          <w:numId w:val="2"/>
        </w:numPr>
        <w:spacing w:after="0" w:before="0" w:lineRule="auto"/>
        <w:ind w:left="720" w:hanging="360"/>
        <w:rPr>
          <w:u w:val="none"/>
        </w:rPr>
      </w:pPr>
      <w:r w:rsidDel="00000000" w:rsidR="00000000" w:rsidRPr="00000000">
        <w:rPr>
          <w:rtl w:val="0"/>
        </w:rPr>
        <w:t xml:space="preserve">Electrical readings at acupuncture points</w:t>
      </w:r>
    </w:p>
    <w:p w:rsidR="00000000" w:rsidDel="00000000" w:rsidP="00000000" w:rsidRDefault="00000000" w:rsidRPr="00000000" w14:paraId="00000023">
      <w:pPr>
        <w:numPr>
          <w:ilvl w:val="0"/>
          <w:numId w:val="2"/>
        </w:numPr>
        <w:spacing w:after="0" w:before="0" w:lineRule="auto"/>
        <w:ind w:left="720" w:hanging="360"/>
        <w:rPr>
          <w:u w:val="none"/>
        </w:rPr>
      </w:pPr>
      <w:r w:rsidDel="00000000" w:rsidR="00000000" w:rsidRPr="00000000">
        <w:rPr>
          <w:rtl w:val="0"/>
        </w:rPr>
        <w:t xml:space="preserve">The field generated by the body</w:t>
      </w:r>
    </w:p>
    <w:p w:rsidR="00000000" w:rsidDel="00000000" w:rsidP="00000000" w:rsidRDefault="00000000" w:rsidRPr="00000000" w14:paraId="00000024">
      <w:pPr>
        <w:numPr>
          <w:ilvl w:val="0"/>
          <w:numId w:val="2"/>
        </w:numPr>
        <w:spacing w:after="0" w:before="0" w:lineRule="auto"/>
        <w:ind w:left="720" w:hanging="360"/>
        <w:rPr>
          <w:u w:val="none"/>
        </w:rPr>
      </w:pPr>
      <w:r w:rsidDel="00000000" w:rsidR="00000000" w:rsidRPr="00000000">
        <w:rPr>
          <w:rtl w:val="0"/>
        </w:rPr>
        <w:t xml:space="preserve">The voice</w:t>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t xml:space="preserve">Our testing has shown skin conductivity tests to be unreliable, as even subtle movements of the client or practitioner can alter the reading. Electrical acupuncture readings can take a long time and may be uncomfortable especially on sensitive or small fingers and toes. The acupuncture readings also only consider meridians, which is only one component of our reading.</w:t>
      </w:r>
    </w:p>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t xml:space="preserve">Gas discharge readings seem promising, with some repeatability, but the assessments are fairly narrow, focusing only on the organs and not distinguishing specific bioenergetic aspects of them.</w:t>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t xml:space="preserve">Most voice readings are based on frequency only, which is theoretically challenging because everyone speaks in a different pitch.</w:t>
      </w:r>
    </w:p>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t xml:space="preserve">E4L historically based its Bioenergetic Wellness System (BWS) assessment on the field generated by the body, and can still do so, though many practitioners now assess by voice. In either case, we treat the field or the voice as a carrier wave that is modulated by all the activity of the body, therefore carries information about it on that wave. By exposing the field or voice to a specific frequency in the software, we can determine whether there is a resonant match or whether more support is needed for that frequency in the body.</w:t>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tl w:val="0"/>
        </w:rPr>
        <w:t xml:space="preserve">And when we say frequency, we really mean a complex frequency pattern, or a wave pattern in space. But we tend to use the simpler term “frequency” to convey the idea more easily.</w:t>
      </w:r>
    </w:p>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tl w:val="0"/>
        </w:rPr>
        <w:t xml:space="preserve">With the introduction of the Energy4Life GEM – a wearable device – we are also about to assess energy levels through pulse readings.</w:t>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spacing w:after="0" w:before="0" w:lineRule="auto"/>
        <w:rPr>
          <w:b w:val="1"/>
          <w:bCs w:val="1"/>
        </w:rPr>
      </w:pPr>
      <w:r w:rsidDel="00000000" w:rsidR="00000000" w:rsidRPr="00000000">
        <w:rPr>
          <w:b w:val="1"/>
          <w:bCs w:val="1"/>
          <w:rtl w:val="0"/>
        </w:rPr>
        <w:t xml:space="preserve">Resonance Based Solutions</w:t>
      </w:r>
    </w:p>
    <w:p w:rsidR="00000000" w:rsidDel="00000000" w:rsidP="00000000" w:rsidRDefault="00000000" w:rsidRPr="00000000" w14:paraId="00000033">
      <w:pPr>
        <w:spacing w:after="0" w:before="0" w:lineRule="auto"/>
        <w:rPr/>
      </w:pPr>
      <w:r w:rsidDel="00000000" w:rsidR="00000000" w:rsidRPr="00000000">
        <w:rPr>
          <w:rtl w:val="0"/>
        </w:rPr>
        <w:t xml:space="preserve">Some bioenergetic companies and many holistic or natural health practitioners base their solutions on herbs or nutrients, in addition to lifestyle guidance. We encourage all of these, but complement these efforts with proprietary resonance solutions.</w:t>
      </w:r>
    </w:p>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t xml:space="preserve">What does this mean?</w:t>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t xml:space="preserve">Similar to the idea of homeopathy, our solutions are based on vibrations or frequencies rather than chemicals or molecules.</w:t>
      </w:r>
    </w:p>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tl w:val="0"/>
        </w:rPr>
        <w:t xml:space="preserve">In homeopathy, however, frequencies are largely based on substances that would normally cause the symptoms that someone is dealing with; when that substance is succussed to the point that little or nothing remains of the original substance, and only its energetic signature is left, it provides a stressor signal that the body can react to, reacting in the direction of health. This assumes, however, that the body has enough energy to respond to the stressor signal, and it knows in what way to react.</w:t>
      </w:r>
    </w:p>
    <w:p w:rsidR="00000000" w:rsidDel="00000000" w:rsidP="00000000" w:rsidRDefault="00000000" w:rsidRPr="00000000" w14:paraId="0000003A">
      <w:pPr>
        <w:spacing w:after="0" w:before="0" w:lineRule="auto"/>
        <w:rPr/>
      </w:pP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tl w:val="0"/>
        </w:rPr>
        <w:t xml:space="preserve">Infoceuticals, delivered digitally (via light and magnetic fields) or via liquid, take a different approach. They provide the frequencies of healthy cells and tissues, effectively giving directions to the body on how to respond and, by amplifying a healthy signal, making it easier for the body to respond whether it has the energy or not.</w:t>
      </w:r>
    </w:p>
    <w:p w:rsidR="00000000" w:rsidDel="00000000" w:rsidP="00000000" w:rsidRDefault="00000000" w:rsidRPr="00000000" w14:paraId="0000003C">
      <w:pPr>
        <w:spacing w:after="0" w:before="0" w:lineRule="auto"/>
        <w:rPr/>
      </w:pP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tl w:val="0"/>
        </w:rPr>
        <w:t xml:space="preserve">On top of that, Infoceuticals, GEM, and miHealth help to boost the body’s energy levels, further assisting it with a corrective response and moving it closer to health.</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