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0" w:after="60"/>
      </w:pPr>
      <w:r>
        <w:rPr>
          <w:rFonts w:ascii="Calibri" w:hAnsi="Calibri" w:eastAsia="微软雅黑"/>
          <w:b/>
          <w:color w:val="000000"/>
          <w:sz w:val="44"/>
        </w:rPr>
        <w:t>个性化任务推送逻辑与任务清单</w:t>
      </w:r>
    </w:p>
    <w:p>
      <w:pPr>
        <w:spacing w:after="40"/>
      </w:pPr>
    </w:p>
    <w:p>
      <w:pPr>
        <w:pStyle w:val="3"/>
      </w:pPr>
      <w:r>
        <w:t>1. 总体定位</w:t>
      </w:r>
    </w:p>
    <w:p>
      <w:r>
        <w:rPr>
          <w:rFonts w:ascii="Calibri" w:hAnsi="Calibri" w:eastAsia="微软雅黑"/>
          <w:b w:val="0"/>
          <w:color w:val="1F2937"/>
          <w:sz w:val="21"/>
        </w:rPr>
        <w:t>个性化任务不是替代一期的 10 个固定必修 Training 任务，而是在固定必修任务之外，由老师的阶段、课程数据、行为数据、反馈数据和人工复核结果触发的第二层任务。</w:t>
      </w:r>
    </w:p>
    <w:p>
      <w:r>
        <w:rPr>
          <w:rFonts w:ascii="Calibri" w:hAnsi="Calibri" w:eastAsia="微软雅黑"/>
          <w:b w:val="0"/>
          <w:color w:val="1F2937"/>
          <w:sz w:val="21"/>
        </w:rPr>
        <w:t>整体机制建议分为三层：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650"/>
        <w:gridCol w:w="4300"/>
        <w:gridCol w:w="39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层级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任务类型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触发方式</w:t>
            </w:r>
          </w:p>
        </w:tc>
        <w:tc>
          <w:tcPr>
            <w:tcW w:w="39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目标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第一层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固定必修成长任务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入职/激活/首课前/试用期阶段自动生成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保证上线准备度，决定首推流量资格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第二层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个性化触发任务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课程、出席、设备、反馈、产能等数据命中规则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让老师知道哪里需要改、如何恢复积分/状态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第三层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人工确认任务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投诉、拉黑、重大差评、设备争议、高风险行为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避免系统直接定责，由运营 validate 后关闭或升级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color w:val="1F2937"/>
          <w:sz w:val="21"/>
        </w:rPr>
        <w:t>产品侧表达原则：</w:t>
      </w:r>
    </w:p>
    <w:p>
      <w:pPr>
        <w:pStyle w:val="16"/>
      </w:pPr>
      <w:r>
        <w:rPr>
          <w:rFonts w:ascii="Calibri" w:hAnsi="Calibri" w:eastAsia="微软雅黑"/>
          <w:b w:val="0"/>
          <w:color w:val="1F2937"/>
          <w:sz w:val="21"/>
        </w:rPr>
        <w:t>不做强惩罚感的“扣分通知”，对老师展示为“未得分/待改进/恢复路径/可获得积分”。</w:t>
      </w:r>
    </w:p>
    <w:p>
      <w:pPr>
        <w:pStyle w:val="16"/>
      </w:pPr>
      <w:r>
        <w:rPr>
          <w:rFonts w:ascii="Calibri" w:hAnsi="Calibri" w:eastAsia="微软雅黑"/>
          <w:b w:val="0"/>
          <w:color w:val="1F2937"/>
          <w:sz w:val="21"/>
        </w:rPr>
        <w:t>每个任务必须有触发原因、证据链、完成标准、截止时间、关闭条件。</w:t>
      </w:r>
    </w:p>
    <w:p>
      <w:pPr>
        <w:pStyle w:val="16"/>
      </w:pPr>
      <w:r>
        <w:rPr>
          <w:rFonts w:ascii="Calibri" w:hAnsi="Calibri" w:eastAsia="微软雅黑"/>
          <w:b w:val="0"/>
          <w:color w:val="1F2937"/>
          <w:sz w:val="21"/>
        </w:rPr>
        <w:t>红线、重大投诉、拉黑和高风险行为不通过总分抵消，必须进入人工确认。</w:t>
      </w:r>
    </w:p>
    <w:p>
      <w:pPr>
        <w:pStyle w:val="16"/>
      </w:pPr>
      <w:r>
        <w:rPr>
          <w:rFonts w:ascii="Calibri" w:hAnsi="Calibri" w:eastAsia="微软雅黑"/>
          <w:b w:val="0"/>
          <w:color w:val="1F2937"/>
          <w:sz w:val="21"/>
        </w:rPr>
        <w:t>前 10 天和低样本阶段以观察、提醒、训练为主，不直接强淘汰。</w:t>
      </w:r>
    </w:p>
    <w:p>
      <w:pPr>
        <w:pStyle w:val="3"/>
      </w:pPr>
      <w:r>
        <w:t>2. 推送决策流程</w:t>
      </w:r>
    </w:p>
    <w:p>
      <w:r>
        <w:rPr>
          <w:rFonts w:ascii="Calibri" w:hAnsi="Calibri" w:eastAsia="微软雅黑"/>
          <w:b w:val="0"/>
          <w:color w:val="1F2937"/>
          <w:sz w:val="21"/>
        </w:rPr>
        <w:t>任务推送建议按以下流程执行：</w:t>
      </w:r>
    </w:p>
    <w:tbl>
      <w:tblPr>
        <w:tblStyle w:val="33"/>
        <w:tblW w:w="14112" w:type="dxa"/>
        <w:tblInd w:w="120" w:type="dxa"/>
        <w:tblBorders>
          <w:top w:val="single" w:color="D6DDE5" w:sz="4" w:space="0"/>
          <w:left w:val="single" w:color="D6DDE5" w:sz="4" w:space="0"/>
          <w:bottom w:val="single" w:color="D6DDE5" w:sz="4" w:space="0"/>
          <w:right w:val="single" w:color="D6DDE5" w:sz="4" w:space="0"/>
          <w:insideH w:val="single" w:color="D6DDE5" w:sz="4" w:space="0"/>
          <w:insideV w:val="single" w:color="D6DD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2"/>
      </w:tblGrid>
      <w:tr>
        <w:tblPrEx>
          <w:tblBorders>
            <w:top w:val="single" w:color="D6DDE5" w:sz="4" w:space="0"/>
            <w:left w:val="single" w:color="D6DDE5" w:sz="4" w:space="0"/>
            <w:bottom w:val="single" w:color="D6DDE5" w:sz="4" w:space="0"/>
            <w:right w:val="single" w:color="D6DDE5" w:sz="4" w:space="0"/>
            <w:insideH w:val="single" w:color="D6DDE5" w:sz="4" w:space="0"/>
            <w:insideV w:val="single" w:color="D6DDE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2" w:type="dxa"/>
            <w:shd w:val="clear" w:color="auto" w:fill="F7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1F2937"/>
                <w:sz w:val="19"/>
              </w:rPr>
              <w:t>数据输入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规则识别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生成候选任务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安全门禁与人工确认判断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去重/冷却/合并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优先级排序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推送到教师端/运营端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完成校验</w:t>
            </w:r>
            <w:r>
              <w:rPr>
                <w:rFonts w:ascii="Consolas" w:hAnsi="Consolas" w:eastAsia="微软雅黑"/>
                <w:color w:val="1F2937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F2937"/>
                <w:sz w:val="19"/>
              </w:rPr>
              <w:t xml:space="preserve">  -&gt; 关闭、继续观察、豁免或升级</w:t>
            </w:r>
          </w:p>
        </w:tc>
      </w:tr>
    </w:tbl>
    <w:p>
      <w:pPr>
        <w:spacing w:after="40"/>
      </w:pPr>
    </w:p>
    <w:p>
      <w:pPr>
        <w:pStyle w:val="4"/>
      </w:pPr>
      <w:r>
        <w:t>2.1 数据输入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3900"/>
        <w:gridCol w:w="78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数据类型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关键字段</w:t>
            </w:r>
          </w:p>
        </w:tc>
        <w:tc>
          <w:tcPr>
            <w:tcW w:w="78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用途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老师基础数据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teacher_id、入职时间、试用期第 X 天、国家/时区、状态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判断适用阶段、是否在 30 天试用期内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task_id、状态、截止时间、完成结果、复核结果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判断必修任务是否完成、是否逾期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培训数据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课程完成、考试结果、培训标签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判断新师任务、Cocos/SET/Free Trial 等训练是否完成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课程数据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lesson_id、课程时间、课程类型、完课状态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关联出席、课堂质量、反馈和产能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出席数据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缺席、迟到、早退、假早退、睡觉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触发可靠性类任务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设备网络数据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CPU、RAM、延迟、带宽、音视频、摄像头、麦克风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触发设备网络与课堂质量任务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学员反馈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好评、差评、评价标签、复约、收藏、拉黑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触发教学提升、观察或人工确认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投诉数据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二级/三级分类、Level、valid 状态、处理状态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触发人工确认和专项整改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产能数据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peak slots、TTP slots、真实完课量、活跃天数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触发补开时段和供给提升任务</w:t>
            </w:r>
          </w:p>
        </w:tc>
      </w:tr>
    </w:tbl>
    <w:p>
      <w:pPr>
        <w:spacing w:after="40"/>
      </w:pPr>
    </w:p>
    <w:p>
      <w:pPr>
        <w:pStyle w:val="4"/>
      </w:pPr>
      <w:r>
        <w:t>2.2 候选任务生成</w:t>
      </w:r>
    </w:p>
    <w:p>
      <w:r>
        <w:rPr>
          <w:rFonts w:ascii="Calibri" w:hAnsi="Calibri" w:eastAsia="微软雅黑"/>
          <w:b w:val="0"/>
          <w:color w:val="1F2937"/>
          <w:sz w:val="21"/>
        </w:rPr>
        <w:t>系统先从各数据源生成候选任务，但不直接全部推给老师。候选任务必须至少包含：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字段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说明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trigger_rule_id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触发规则，如 reliability_late_count_v1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trigger_reason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老师可理解的触发原因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evidence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lesson_id、课程时间、异常类型、检测记录、反馈/投诉记录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task_template_id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匹配的任务模板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priority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P0/P1/P2/P3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due_time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截止时间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close_condition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关闭条件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appeal_type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是否允许申诉/重新检测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owner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系统、培训、运营、客服或人工审核负责人</w:t>
            </w:r>
          </w:p>
        </w:tc>
      </w:tr>
    </w:tbl>
    <w:p>
      <w:pPr>
        <w:spacing w:after="40"/>
      </w:pPr>
    </w:p>
    <w:p>
      <w:pPr>
        <w:pStyle w:val="4"/>
      </w:pPr>
      <w:r>
        <w:t>2.3 安全门禁</w:t>
      </w:r>
    </w:p>
    <w:p>
      <w:r>
        <w:rPr>
          <w:rFonts w:ascii="Calibri" w:hAnsi="Calibri" w:eastAsia="微软雅黑"/>
          <w:b w:val="0"/>
          <w:color w:val="1F2937"/>
          <w:sz w:val="21"/>
        </w:rPr>
        <w:t>推送前先判断是否需要人工确认：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场景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处理逻辑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Level 0 零容忍/红线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不直接推普通整改任务，进入 P0 运营人工确认，冻结普通积分恢复路径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Level 1 严重投诉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先进入人工确认；valid 后再触发专项整改、观察或升级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拉黑/重大差评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结合样本量、课程记录和投诉记录判断；低样本先观察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设备/网络争议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允许重新检测或人工豁免，不直接定责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首课缺席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即时触达老师确认后续课程是否继续，同时进入运营观察</w:t>
            </w:r>
          </w:p>
        </w:tc>
      </w:tr>
    </w:tbl>
    <w:p>
      <w:pPr>
        <w:spacing w:after="40"/>
      </w:pPr>
    </w:p>
    <w:p>
      <w:pPr>
        <w:pStyle w:val="4"/>
      </w:pPr>
      <w:r>
        <w:t>2.4 去重与冷却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规则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同类任务合并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同一老师同一周期内多次设备异常，合并为一个“设备与网络优化任务”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冷却期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完成后在配置周期内不重复推同一任务，除非风险升级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升级策略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未完成/逾期/再次命中时提高优先级，而不是重复发多条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任务上限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教师端首页只突出 1 个首要任务，最多展示 2 个次要任务；完整列表进入任务中心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低样本保护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前 10 天或低课量阶段，反馈类任务以观察和资源推荐为主</w:t>
            </w:r>
          </w:p>
        </w:tc>
      </w:tr>
    </w:tbl>
    <w:p>
      <w:pPr>
        <w:spacing w:after="40"/>
      </w:pPr>
    </w:p>
    <w:p>
      <w:pPr>
        <w:pStyle w:val="4"/>
      </w:pPr>
      <w:r>
        <w:t>2.5 优先级排序</w:t>
      </w:r>
    </w:p>
    <w:p>
      <w:r>
        <w:rPr>
          <w:rFonts w:ascii="Calibri" w:hAnsi="Calibri" w:eastAsia="微软雅黑"/>
          <w:b w:val="0"/>
          <w:color w:val="1F2937"/>
          <w:sz w:val="21"/>
        </w:rPr>
        <w:t>建议教师端和运营端使用同一套优先级，但展示口径不同。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650"/>
        <w:gridCol w:w="4300"/>
        <w:gridCol w:w="39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优先级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触发类型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老师端展示</w:t>
            </w:r>
          </w:p>
        </w:tc>
        <w:tc>
          <w:tcPr>
            <w:tcW w:w="39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运营端动作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P0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红线、严重投诉、首课缺席未回复、课程风险需释放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不直接展示定责，可展示“需补充说明/等待确认”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立即进入待办，人工 validate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P1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阻塞首推/毕业/开课资格的任务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首页首要任务，强提醒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关注逾期和未通过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P2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影响积分或成长状态的个性化整改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To-Do List 高位展示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看完成率和后续指标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P3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成长提升、资源推荐、优秀包装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推荐区或成长路径展示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用于分层经营和激励</w:t>
            </w:r>
          </w:p>
        </w:tc>
      </w:tr>
    </w:tbl>
    <w:p>
      <w:pPr>
        <w:spacing w:after="40"/>
      </w:pPr>
    </w:p>
    <w:p>
      <w:pPr>
        <w:pStyle w:val="4"/>
      </w:pPr>
      <w:r>
        <w:t>2.6 推送渠道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场景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渠道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新任务/必修任务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教师端任务中心 + 首页提醒 + Email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即将截止/逾期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教师端任务中心 + Email，必要时升级运营待办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首课缺席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即时触达 + 运营提醒；渠道可配置为站内信、Email、短信/WhatsApp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投诉/重大反馈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运营触达为主，不建议完全自动化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设备重测/整改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教师端任务中心 + 检测入口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成长/优秀包装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成长路径、My TIT、推荐任务</w:t>
            </w:r>
          </w:p>
        </w:tc>
      </w:tr>
    </w:tbl>
    <w:p>
      <w:pPr>
        <w:spacing w:after="40"/>
      </w:pPr>
    </w:p>
    <w:p>
      <w:pPr>
        <w:pStyle w:val="3"/>
      </w:pPr>
      <w:r>
        <w:t>3. 固定必修任务基线</w:t>
      </w:r>
    </w:p>
    <w:p>
      <w:r>
        <w:rPr>
          <w:rFonts w:ascii="Calibri" w:hAnsi="Calibri" w:eastAsia="微软雅黑"/>
          <w:b w:val="0"/>
          <w:color w:val="1F2937"/>
          <w:sz w:val="21"/>
        </w:rPr>
        <w:t>这 10 个任务作为所有新师的一期基础任务，用于保证“能否被首推”。它们不是严格意义上的个性化任务，但会参与后续个性化判断。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650"/>
        <w:gridCol w:w="4300"/>
        <w:gridCol w:w="39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阶段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任务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完成方式</w:t>
            </w:r>
          </w:p>
        </w:tc>
        <w:tc>
          <w:tcPr>
            <w:tcW w:w="39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推送目的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1-7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Profile &amp; Credentials Completion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上传审核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补齐资料、Self-intro、资质证明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1-7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Device &amp; Network Check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外部设备检测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确保首课前设备网络达标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1-7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Platform Policies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学习小测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学习平台规则、合规要求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ind w:left="0" w:leftChars="0" w:firstLine="0" w:firstLineChars="0"/>
              <w:jc w:val="left"/>
              <w:rPr>
                <w:rFonts w:ascii="Calibri" w:hAnsi="Calibri" w:eastAsia="微软雅黑"/>
                <w:b w:val="0"/>
                <w:color w:val="1F2937"/>
                <w:sz w:val="19"/>
              </w:rPr>
            </w:pPr>
            <w:bookmarkStart w:id="0" w:name="_GoBack"/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ind w:left="0" w:leftChars="0" w:firstLine="0" w:firstLineChars="0"/>
              <w:jc w:val="left"/>
              <w:rPr>
                <w:rFonts w:ascii="Calibri" w:hAnsi="Calibri" w:eastAsia="微软雅黑"/>
                <w:b w:val="0"/>
                <w:color w:val="1F2937"/>
                <w:sz w:val="19"/>
              </w:rPr>
            </w:pP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ind w:left="0" w:leftChars="0" w:firstLine="0" w:firstLineChars="0"/>
              <w:jc w:val="left"/>
              <w:rPr>
                <w:rFonts w:ascii="Calibri" w:hAnsi="Calibri" w:eastAsia="微软雅黑"/>
                <w:b w:val="0"/>
                <w:color w:val="1F2937"/>
                <w:sz w:val="19"/>
              </w:rPr>
            </w:pP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ind w:left="0" w:leftChars="0" w:firstLine="0" w:firstLineChars="0"/>
              <w:jc w:val="center"/>
              <w:rPr>
                <w:rFonts w:ascii="Calibri" w:hAnsi="Calibri" w:eastAsia="微软雅黑"/>
                <w:b w:val="0"/>
                <w:color w:val="1F2937"/>
                <w:sz w:val="19"/>
              </w:rPr>
            </w:pPr>
          </w:p>
        </w:tc>
      </w:tr>
      <w:bookmarkEnd w:id="0"/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1-7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Lesson Preparation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学习清单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建立首课准备动作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8-14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TTP Orientation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学习清单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了解 TTP/重点业务场景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8-14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ME Culture &amp; PARSNIP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学习小测/确认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文化与敏感边界学习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8-14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Reliability Training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学习小测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履约、出席、迟到早退规则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8-14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Free Trial Training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外部培训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支撑体验课/首推场景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15-30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Cocos Course Training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外部培训/标签回传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获得 Cocos 能力标签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Day 15-30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  <w:rPr>
                <w:rFonts w:hint="default"/>
                <w:woUserID w:val="1"/>
              </w:rPr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SET Teaching Fundamentals</w:t>
            </w:r>
            <w:r>
              <w:rPr>
                <w:b w:val="0"/>
                <w:color w:val="1F2937"/>
                <w:sz w:val="19"/>
                <w:woUserID w:val="1"/>
              </w:rPr>
              <w:t>--待定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外部培训/标签回传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获得 SET 教学基础标签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color w:val="1F2937"/>
          <w:sz w:val="21"/>
        </w:rPr>
        <w:t>建议首推流量前置条件先锁定为“必修三板斧”：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三板斧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建议口径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Self-intro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Review Standards -&gt; Register Web App -&gt; Upload &amp; Complete AI-Audit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课前准备/设备截图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 Lesson Preparation + Device &amp; Network Check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Policy 培训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 Platform Policies 学习和小测</w:t>
            </w:r>
          </w:p>
        </w:tc>
      </w:tr>
    </w:tbl>
    <w:p>
      <w:pPr>
        <w:spacing w:after="40"/>
      </w:pPr>
    </w:p>
    <w:p>
      <w:pPr>
        <w:pStyle w:val="3"/>
      </w:pPr>
      <w:r>
        <w:t>4. 个性化任务分类与具体任务</w:t>
      </w:r>
    </w:p>
    <w:p>
      <w:pPr>
        <w:pStyle w:val="4"/>
      </w:pPr>
      <w:r>
        <w:t>4.1 可靠性类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目标：解决缺席、迟到、早退、假早退、睡觉等履约风险。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迟到命中配置阈值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Reliability 规则复训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学习迟到/出席规则并通过小测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小测通过；后续连续达标课程数达到配置值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缺席命中规则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缺席原因确认与履约恢复任务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查看缺席证据，提交原因或申诉，完成复训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运营确认/申诉关闭；后续无缺席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P1/P0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首课缺席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首课缺席后续课程确认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回复后续课程是否继续 yes/no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Yes 保留课程并进入观察；No 自动释放课程；未回复升级运营待办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早退/假早退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完课规则复训与异常说明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学习完课标准，必要时提交说明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系统/人工确认；后续连续完课达标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Lesson memo 未提交导致缺席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Lesson memo 补交与规范学习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补交 memo，学习规范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memo 状态恢复或人工确认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睡觉/长时间未响应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高风险课堂行为说明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提交说明，等待运营复核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 validate 后关闭或升级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4"/>
      </w:pPr>
      <w:r>
        <w:t>4.2 设备网络类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目标：解决 CPU、内存、延迟、带宽、音视频、摄像头、麦克风等影响课堂流畅度的问题。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CPU 分数低于 3500 或机型不达标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设备升级建议任务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查看设备要求，提交升级计划或人工确认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新设备检测达标或运营豁免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内存低于要求或占用率高于 75%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关闭后台应用并重测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按指引关闭应用，重新检测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检测结果达标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CPU 占用率高于 50%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设备性能优化任务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按清单优化电脑并重测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检测结果达标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网络延迟高于 75ms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网络优化任务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按指引切换网络/重启路由/重测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网络检测达标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带宽低于 1M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带宽检查与网络升级任务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完成网络检测，提交结果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带宽达标或运营确认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麦克风/扬声器/摄像头异常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音视频设备检测任务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完成 AC 或外部检测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音视频设备状态正常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多节课出现卡顿/无声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设备网络专项整改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完成重测并提交截图/检测记录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连续课程无同类异常或人工通过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4"/>
      </w:pPr>
      <w:r>
        <w:t>4.3 课堂环境与课堂质量类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目标：处理灯光、背景、噪音、摄像头、appearance、准备度、课堂流畅度等问题。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灯光过暗/过亮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Lights, Camera, Activate 整改任务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查看示例，调整灯光并提交截图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AI 识别达标或人工审核通过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背景杂乱/出现无关人员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Teaching Background 整改任务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按标准整理背景并提交截图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截图审核通过；后续课堂无异常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噪音明显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课堂降噪任务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检查麦克风和环境，提交重测结果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音频检测达标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故意不开摄像头/遮挡摄像头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Camera-on 规则确认任务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学习摄像头规则，必要时说明原因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后续课堂摄像头状态正常；重复则升级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课堂准备不足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Pre-class Preparation Checklist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完成课前准备清单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后续课件查看/准备行为达标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课堂流畅度异常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课堂流畅度恢复任务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查看问题类型并完成设备/网络/准备整改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连续课程质量达标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4"/>
      </w:pPr>
      <w:r>
        <w:t>4.4 教学能力与课堂互动类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目标：把教学问题转成可执行的学习任务，优先用微课、案例和训练清单解决。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只朗读课文/缺少互动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Interaction Boost 微课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学习互动技巧并完成小测/清单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小测通过；后续观察互动反馈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无纠错/纠错不足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Error Correction 微课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学习纠错方法并完成练习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训练完成；后续反馈改善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未讲完教材/节奏异常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Pacing &amp; Lesson Flow 训练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学习课堂节奏控制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训练完成；后续课堂节奏达标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语速过快/过慢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Speaking Pace 调整任务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学习语速与分层表达技巧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训练完成；后续反馈改善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授课用语过难/缺少引导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Scaffolding Language 微课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学习低龄/低基础引导话术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小测或清单完成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缺少教具/课堂不生动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Teaching Aids 资源学习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查看案例库并完成清单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学习完成；可结合后续评价观察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未及时回应学生问题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Student Response 训练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学习回应节奏与课堂关注点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训练完成；后续投诉/反馈改善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4"/>
      </w:pPr>
      <w:r>
        <w:t>4.5 用户反馈与复约类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目标：对差评、复约低、收藏低、求课少、拉黑等信号做分层处理。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单条差评且低样本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反馈观察提醒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查看反馈，不强制训练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进入观察；不直接定责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多条差评或样本充足后低分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Teaching Improvement Plan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学习对应教学提升内容，完成清单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后续反馈改善或运营确认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复约率低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Retention &amp; Follow-up 训练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学习课堂承接和课后引导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样本充足后复约改善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收藏/好评少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Positive Feedback Boost 资源推荐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学习高分课堂案例和表达方式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学习完成，后续观察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拉黑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拉黑原因人工确认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老师不直接定责；运营结合证据判断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 validate 后关闭或升级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P0/P1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重大差评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重大反馈人工确认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提交说明或申诉材料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运营确认 valid/invalid/pending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P0/P1</w:t>
            </w:r>
          </w:p>
        </w:tc>
      </w:tr>
    </w:tbl>
    <w:p>
      <w:pPr>
        <w:spacing w:after="40"/>
      </w:pPr>
    </w:p>
    <w:p>
      <w:pPr>
        <w:pStyle w:val="4"/>
      </w:pPr>
      <w:r>
        <w:t>4.6 投诉与高风险类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目标：系统只生成证据链和待确认任务，不直接执行处罚。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Level 0 零容忍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 运营人工确认任务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老师端不展示定责结论，必要时提交说明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 validate；按红线流程处理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Level 1 严重投诉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严重投诉复核任务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提交说明/申诉，等待复核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valid 后触发专项整改或升级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P0/P1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Level 2A 高风险行为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高优先级专项整改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学习规则，提交整改说明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运营确认；重复升级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Level 2B 行为/态度问题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行为规范整改任务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学习规范并确认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完成任务；重复触发升级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Level 3/4 质量提醒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Quality Reminder 学习任务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学习对应微课或清单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学习完成，后续指标观察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P2/P3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投诉 valid / invalid / pending 未定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 validate 待办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老师可提交补充材料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运营填写结果后关闭/升级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P0/P1</w:t>
            </w:r>
          </w:p>
        </w:tc>
      </w:tr>
    </w:tbl>
    <w:p>
      <w:pPr>
        <w:spacing w:after="40"/>
      </w:pPr>
    </w:p>
    <w:p>
      <w:pPr>
        <w:pStyle w:val="4"/>
      </w:pPr>
      <w:r>
        <w:t>4.7 产能与供给类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目标：把“老师供给不足”变成清晰的开放时段任务，与首推流量、毕业和优秀包装联动。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未开课/未开放 slots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Open Your First Slots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查看开课价值，开放首批 slots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达到最小开放数量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Peak slots 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补开高峰时段任务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开放推荐高峰时段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达到运营配置目标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TTP slots 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补开 TTP 重点时段任务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开放 TTP 推荐时段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 TTP slots 目标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活跃天数不足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Active Days Challenge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在建议周期内增加活跃天数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达到活跃天数目标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真实完课量不足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完课量提升任务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开放更多 slots 并保持履约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达到真实完课量目标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高分但供给不足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优秀老师供给补齐任务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开放更多高价值 slots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达到优秀包装供给门槛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pStyle w:val="4"/>
      </w:pPr>
      <w:r>
        <w:t>4.8 成长、毕业与优秀包装类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目标：把老师从“完成任务”引导到“毕业、金牌、项目承接和激励”。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3050"/>
        <w:gridCol w:w="3650"/>
        <w:gridCol w:w="4300"/>
        <w:gridCol w:w="10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触发信号</w:t>
            </w:r>
          </w:p>
        </w:tc>
        <w:tc>
          <w:tcPr>
            <w:tcW w:w="30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推送任务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老师动作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校验/关闭条件</w:t>
            </w:r>
          </w:p>
        </w:tc>
        <w:tc>
          <w:tcPr>
            <w:tcW w:w="10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临近毕业但基础任务未完成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Graduation Sprint Checklist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补齐剩余必修任务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必修任务完成并达标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P1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 100 分附近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Graduation Readiness Review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查看毕业条件和缺口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达到毕业线并无红线阻塞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 100 分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毕业状态确认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查看毕业反馈和下一阶段任务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系统/运营确认毕业状态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 200 分附近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Gold Candidate Challenge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补齐评价数、供给、红线清洁等门槛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达到金牌候选条件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高分通过试用期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优秀外教包装资料任务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提交亮点标签、适合学生画像、可承接项目/时段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运营审核通过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P2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高分且稳定供给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重点项目承接推荐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申请体验课、TTP 或重点项目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运营/系统准入通过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金牌/优秀达标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激励确认任务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查看奖励/流量权益说明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权益发放或运营确认</w:t>
            </w:r>
          </w:p>
        </w:tc>
        <w:tc>
          <w:tcPr>
            <w:tcW w:w="1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P3</w:t>
            </w:r>
          </w:p>
        </w:tc>
      </w:tr>
    </w:tbl>
    <w:p>
      <w:pPr>
        <w:spacing w:after="40"/>
      </w:pPr>
    </w:p>
    <w:p>
      <w:pPr>
        <w:pStyle w:val="4"/>
      </w:pPr>
      <w:r>
        <w:t>4.9 资源推荐类</w:t>
      </w:r>
    </w:p>
    <w:p>
      <w:r>
        <w:rPr>
          <w:rFonts w:ascii="Calibri" w:hAnsi="Calibri" w:eastAsia="微软雅黑"/>
          <w:b w:val="0"/>
          <w:color w:val="1F2937"/>
          <w:sz w:val="21"/>
        </w:rPr>
        <w:t>目标：不打扰老师主任务的前提下，根据弱信号推荐轻量资源。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3650"/>
        <w:gridCol w:w="4300"/>
        <w:gridCol w:w="39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触发信号</w:t>
            </w:r>
          </w:p>
        </w:tc>
        <w:tc>
          <w:tcPr>
            <w:tcW w:w="3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推荐内容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展示位置</w:t>
            </w:r>
          </w:p>
        </w:tc>
        <w:tc>
          <w:tcPr>
            <w:tcW w:w="39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关闭方式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教学技巧弱信号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高分课堂案例库、互动技巧微课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Recommended for You / Resource Hub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学习完成或关闭推荐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设备网络弱信号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设备网络 FAQ、重测指南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任务详情帮助区 / Resource Hub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查看完成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新师阶段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入职基础课程、平台规则 FAQ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成长路径 / Resource Hub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阶段完成后降权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完成某认证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更高阶工作坊或认证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Certification Center / Recommended for You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报名或忽略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低样本反馈波动</w:t>
            </w:r>
          </w:p>
        </w:tc>
        <w:tc>
          <w:tcPr>
            <w:tcW w:w="3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课堂承接案例、课后引导话术</w:t>
            </w:r>
          </w:p>
        </w:tc>
        <w:tc>
          <w:tcPr>
            <w:tcW w:w="4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Recommended for You</w:t>
            </w:r>
          </w:p>
        </w:tc>
        <w:tc>
          <w:tcPr>
            <w:tcW w:w="39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查看完成</w:t>
            </w:r>
          </w:p>
        </w:tc>
      </w:tr>
    </w:tbl>
    <w:p>
      <w:pPr>
        <w:spacing w:after="40"/>
      </w:pPr>
    </w:p>
    <w:p>
      <w:pPr>
        <w:pStyle w:val="3"/>
      </w:pPr>
      <w:r>
        <w:t>5. 教师端展示口径</w:t>
      </w:r>
    </w:p>
    <w:p>
      <w:pPr>
        <w:pStyle w:val="4"/>
      </w:pPr>
      <w:r>
        <w:t>5.1 任务卡字段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字段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展示方式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任务名称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简洁动作导向，如“Complete your device check”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为什么收到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用老师可理解语言说明，不展示内部判责术语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怎么完成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步骤、入口、预计用时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完成标准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系统检测通过、标签回传、人工审核通过、小测通过等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完成收益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可获得积分、解锁首推/毕业/成长路径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截止时间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明确日期或“首课前完成”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状态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Start / Continue / Under review / Done / Try again / Overdue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帮助入口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规则说明、重新检测、申诉或联系支持</w:t>
            </w:r>
          </w:p>
        </w:tc>
      </w:tr>
    </w:tbl>
    <w:p>
      <w:pPr>
        <w:spacing w:after="40"/>
      </w:pPr>
    </w:p>
    <w:p>
      <w:pPr>
        <w:pStyle w:val="4"/>
      </w:pPr>
      <w:r>
        <w:t>5.2 首页展示</w:t>
      </w:r>
    </w:p>
    <w:p>
      <w:r>
        <w:rPr>
          <w:rFonts w:ascii="Calibri" w:hAnsi="Calibri" w:eastAsia="微软雅黑"/>
          <w:b w:val="0"/>
          <w:color w:val="1F2937"/>
          <w:sz w:val="21"/>
        </w:rPr>
        <w:t>首页只解决“今天先做什么”：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区域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展示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首要任务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1 个最影响首推/毕业/积分恢复的任务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次要任务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最多 2 个可继续完成的任务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My TIT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当前积分、可获得积分、待确认积分、成长路径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推荐学习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不影响主任务的轻量资源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异常/争议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用“待确认/可提交说明/可重新检测”表达，避免直接定责</w:t>
            </w:r>
          </w:p>
        </w:tc>
      </w:tr>
    </w:tbl>
    <w:p>
      <w:pPr>
        <w:spacing w:after="40"/>
      </w:pPr>
    </w:p>
    <w:p>
      <w:pPr>
        <w:pStyle w:val="3"/>
      </w:pPr>
      <w:r>
        <w:t>6. 运营端展示口径</w:t>
      </w:r>
    </w:p>
    <w:p>
      <w:r>
        <w:rPr>
          <w:rFonts w:ascii="Calibri" w:hAnsi="Calibri" w:eastAsia="微软雅黑"/>
          <w:b w:val="0"/>
          <w:color w:val="1F2937"/>
          <w:sz w:val="21"/>
        </w:rPr>
        <w:t>运营端重点不是“老师看到什么”，而是“谁需要先处理、为什么、处理到哪一步”。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模块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展示字段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风险名单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teacher_id、服务分层、试用期第 X 天、红线/待确认状态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触发原因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可靠性、设备网络、课堂质量、产能、反馈、培训未完成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证据链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lesson_id、课程时间、异常类型、检测记录、投诉/反馈记录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任务状态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已触发、待完成、已完成、未通过、逾期、人工复核、已豁免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操作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手动触发、调优先级、延期、关闭、豁免、升级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效果回看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任务完成前后指标变化</w:t>
            </w:r>
          </w:p>
        </w:tc>
      </w:tr>
    </w:tbl>
    <w:p>
      <w:pPr>
        <w:spacing w:after="40"/>
      </w:pPr>
    </w:p>
    <w:p>
      <w:pPr>
        <w:pStyle w:val="3"/>
      </w:pPr>
      <w:r>
        <w:t>7. 建议先落地的 MVP 规则包</w:t>
      </w:r>
    </w:p>
    <w:p>
      <w:r>
        <w:rPr>
          <w:rFonts w:ascii="Calibri" w:hAnsi="Calibri" w:eastAsia="微软雅黑"/>
          <w:b w:val="0"/>
          <w:color w:val="1F2937"/>
          <w:sz w:val="21"/>
        </w:rPr>
        <w:t>为了避免一开始规则过重，MVP 先落以下任务包：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3900"/>
        <w:gridCol w:w="786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规则包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覆盖任务</w:t>
            </w:r>
          </w:p>
        </w:tc>
        <w:tc>
          <w:tcPr>
            <w:tcW w:w="786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原因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首推资格包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Self-intro、设备检测、Platform Policies、Lesson Preparation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决定老师能不能被首推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可靠性包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缺席、迟到、早退、lesson memo 缺失、首课缺席确认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数据相对明确，影响履约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设备网络包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CPU/RAM/延迟/带宽/音视频异常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可通过检测闭环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人工确认包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投诉、拉黑、重大差评、高风险行为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避免系统误判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产能包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未开课、peak/TTP slots 不足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与有效供给和首推流量直接相关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成长提示包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毕业冲刺、优秀包装、金牌候选</w:t>
            </w:r>
          </w:p>
        </w:tc>
        <w:tc>
          <w:tcPr>
            <w:tcW w:w="78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与 100/200 分机制衔接</w:t>
            </w:r>
          </w:p>
        </w:tc>
      </w:tr>
    </w:tbl>
    <w:p>
      <w:pPr>
        <w:spacing w:after="40"/>
      </w:pPr>
    </w:p>
    <w:p>
      <w:pPr>
        <w:pStyle w:val="3"/>
      </w:pPr>
      <w:r>
        <w:t>8. 待运营补充项</w:t>
      </w:r>
    </w:p>
    <w:tbl>
      <w:tblPr>
        <w:tblStyle w:val="33"/>
        <w:tblW w:w="14112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1412"/>
      </w:tblGrid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  <w:highlight w:val="yellow"/>
              </w:rPr>
              <w:t>待补充项</w:t>
            </w:r>
          </w:p>
        </w:tc>
        <w:tc>
          <w:tcPr>
            <w:tcW w:w="1141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影响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每类任务的具体分值、阈值、样本量保护线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影响是否触发、是否影响积分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连续达标课程数 N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影响可靠性和课堂质量任务关闭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任务冷却期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影响重复触发和老师打扰度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每项任务的正式中英文文案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影响教师端上线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个性化任务对应素材链接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影响任务是否可完成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投诉 valid / invalid / pending 标准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影响人工确认任务处理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设备检测通过后的有效期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影响重测频率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首课缺席未回复等待时长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影响是否自动释放课程</w:t>
            </w:r>
          </w:p>
        </w:tc>
      </w:tr>
      <w:tr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金牌/优秀门槛</w:t>
            </w:r>
          </w:p>
        </w:tc>
        <w:tc>
          <w:tcPr>
            <w:tcW w:w="114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9"/>
              </w:rPr>
              <w:t>影响优秀包装和项目承接</w:t>
            </w:r>
          </w:p>
        </w:tc>
      </w:tr>
    </w:tbl>
    <w:p>
      <w:pPr>
        <w:spacing w:after="40"/>
      </w:pPr>
    </w:p>
    <w:p>
      <w:pPr>
        <w:pStyle w:val="3"/>
      </w:pPr>
      <w:r>
        <w:t>9. 一句话版本</w:t>
      </w:r>
    </w:p>
    <w:p>
      <w:r>
        <w:rPr>
          <w:rFonts w:ascii="Calibri" w:hAnsi="Calibri" w:eastAsia="微软雅黑"/>
          <w:b w:val="0"/>
          <w:color w:val="1F2937"/>
          <w:sz w:val="21"/>
        </w:rPr>
        <w:t>个性化任务推送的核心逻辑是：先用固定必修任务保证新师具备首推资格，再用课程、出席、设备、反馈、产能和投诉数据生成可解释的个性化任务；普通问题给老师明确恢复路径，重大争议交给运营确认，任务完成后回写积分、状态、风险和下一步推荐。</w:t>
      </w:r>
    </w:p>
    <w:sectPr>
      <w:headerReference r:id="rId5" w:type="default"/>
      <w:footerReference r:id="rId6" w:type="default"/>
      <w:pgSz w:w="15840" w:h="12240" w:orient="landscape"/>
      <w:pgMar w:top="792" w:right="864" w:bottom="792" w:left="86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Noto Serif Bengal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Liberation Sans Narrow"/>
    <w:panose1 w:val="020B0609020204030204"/>
    <w:charset w:val="00"/>
    <w:family w:val="auto"/>
    <w:pitch w:val="default"/>
    <w:sig w:usb0="E00006FF" w:usb1="0000FCFF" w:usb2="00000001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erif Bengali">
    <w:panose1 w:val="02020502040504020204"/>
    <w:charset w:val="00"/>
    <w:family w:val="auto"/>
    <w:pitch w:val="default"/>
    <w:sig w:usb0="00010000" w:usb1="00000000" w:usb2="00000000" w:usb3="00000000" w:csb0="00000001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Calibri" w:hAnsi="Calibri" w:eastAsia="微软雅黑"/>
        <w:color w:val="5A6573"/>
        <w:sz w:val="17"/>
      </w:rPr>
      <w:t xml:space="preserve">项目整理稿 | 2026-07-20 | 第 </w:t>
    </w:r>
    <w:r>
      <w:rPr>
        <w:rFonts w:ascii="Calibri" w:hAnsi="Calibri" w:eastAsia="微软雅黑"/>
        <w:color w:val="5A6573"/>
        <w:sz w:val="17"/>
      </w:rPr>
      <w:fldChar w:fldCharType="begin"/>
    </w:r>
    <w:r>
      <w:rPr>
        <w:rFonts w:ascii="Calibri" w:hAnsi="Calibri" w:eastAsia="微软雅黑"/>
        <w:color w:val="5A6573"/>
        <w:sz w:val="17"/>
      </w:rPr>
      <w:instrText xml:space="preserve"> PAGE </w:instrText>
    </w:r>
    <w:r>
      <w:rPr>
        <w:rFonts w:ascii="Calibri" w:hAnsi="Calibri" w:eastAsia="微软雅黑"/>
        <w:color w:val="5A6573"/>
        <w:sz w:val="17"/>
      </w:rPr>
      <w:fldChar w:fldCharType="separate"/>
    </w:r>
    <w:r>
      <w:rPr>
        <w:rFonts w:ascii="Calibri" w:hAnsi="Calibri" w:eastAsia="微软雅黑"/>
        <w:color w:val="5A6573"/>
        <w:sz w:val="17"/>
      </w:rPr>
      <w:t>1</w:t>
    </w:r>
    <w:r>
      <w:rPr>
        <w:rFonts w:ascii="Calibri" w:hAnsi="Calibri" w:eastAsia="微软雅黑"/>
        <w:color w:val="5A6573"/>
        <w:sz w:val="17"/>
      </w:rPr>
      <w:fldChar w:fldCharType="end"/>
    </w:r>
    <w:r>
      <w:rPr>
        <w:rFonts w:ascii="Calibri" w:hAnsi="Calibri" w:eastAsia="微软雅黑"/>
        <w:color w:val="5A657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spacing w:after="0"/>
    </w:pPr>
    <w:r>
      <w:rPr>
        <w:rFonts w:ascii="Calibri" w:hAnsi="Calibri" w:eastAsia="微软雅黑"/>
        <w:color w:val="5A6573"/>
        <w:sz w:val="17"/>
      </w:rPr>
      <w:t>个性化任务推送逻辑与任务清单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FD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Calibri" w:hAnsi="Calibri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76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76" w:lineRule="auto"/>
      <w:ind w:left="540" w:hanging="271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2026-07-20T14:05:21Z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